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8"/>
        <w:ind w:left="484" w:right="1273" w:hanging="2"/>
        <w:jc w:val="center"/>
        <w:rPr>
          <w:b/>
          <w:sz w:val="28"/>
        </w:rPr>
      </w:pPr>
      <w:r>
        <w:rPr>
          <w:b/>
          <w:sz w:val="28"/>
        </w:rPr>
        <w:t>DESIGN AND DEVELOPMENT OF A STARCH-BASED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MULTIFUNCTIONAL EXCIPIENT (</w:t>
      </w:r>
      <w:r>
        <w:rPr>
          <w:b/>
          <w:i/>
          <w:sz w:val="28"/>
        </w:rPr>
        <w:t>STARGELASIL</w:t>
      </w:r>
      <w:r>
        <w:rPr>
          <w:b/>
          <w:sz w:val="28"/>
        </w:rPr>
        <w:t>) FOR TABLET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FORMULATION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44"/>
        </w:rPr>
      </w:pPr>
    </w:p>
    <w:p>
      <w:pPr>
        <w:spacing w:before="0"/>
        <w:ind w:left="646" w:right="1436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07"/>
        <w:ind w:left="645" w:right="1436" w:firstLine="0"/>
        <w:jc w:val="center"/>
        <w:rPr>
          <w:b/>
          <w:sz w:val="28"/>
        </w:rPr>
      </w:pPr>
      <w:r>
        <w:rPr>
          <w:b/>
          <w:sz w:val="28"/>
        </w:rPr>
        <w:t>YONNI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ESHOVO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APEJI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07"/>
        <w:ind w:left="1669" w:right="2463" w:firstLine="5"/>
        <w:jc w:val="center"/>
        <w:rPr>
          <w:b/>
          <w:sz w:val="28"/>
        </w:rPr>
      </w:pPr>
      <w:r>
        <w:rPr>
          <w:b/>
          <w:sz w:val="28"/>
        </w:rPr>
        <w:t>DEPARTMENT OF PHARMACEUTICS AND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PHARMACEUTICAL MICROBIOLOGY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FACULTY OF PHARMACEUTICAL SCIENCES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AHMADU BELLO UNIVERSITY, ZARIA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NIGERIA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42"/>
        </w:rPr>
      </w:pPr>
    </w:p>
    <w:p>
      <w:pPr>
        <w:spacing w:before="0"/>
        <w:ind w:left="648" w:right="1436" w:firstLine="0"/>
        <w:jc w:val="center"/>
        <w:rPr>
          <w:b/>
          <w:sz w:val="28"/>
        </w:rPr>
      </w:pPr>
      <w:r>
        <w:rPr>
          <w:b/>
          <w:sz w:val="28"/>
        </w:rPr>
        <w:t>MARCH,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2016</w:t>
      </w:r>
    </w:p>
    <w:p>
      <w:pPr>
        <w:spacing w:after="0"/>
        <w:jc w:val="center"/>
        <w:rPr>
          <w:sz w:val="28"/>
        </w:rPr>
        <w:sectPr>
          <w:footerReference w:type="default" r:id="rId5"/>
          <w:type w:val="continuous"/>
          <w:pgSz w:w="11910" w:h="16840"/>
          <w:pgMar w:footer="1067" w:top="1320" w:bottom="1260" w:left="1520" w:right="160"/>
          <w:pgNumType w:start="1"/>
        </w:sectPr>
      </w:pPr>
    </w:p>
    <w:p>
      <w:pPr>
        <w:pStyle w:val="BodyText"/>
        <w:spacing w:before="72"/>
        <w:ind w:left="648" w:right="1436"/>
        <w:jc w:val="center"/>
      </w:pPr>
      <w:r>
        <w:rPr/>
        <w:t>DESIGN AND DEVELOPMENT OF A STARCH-BASED MULTIFUNCTIONAL</w:t>
      </w:r>
      <w:r>
        <w:rPr>
          <w:spacing w:val="-57"/>
        </w:rPr>
        <w:t> </w:t>
      </w:r>
      <w:r>
        <w:rPr/>
        <w:t>EXCIPIENT</w:t>
      </w:r>
      <w:r>
        <w:rPr>
          <w:spacing w:val="-1"/>
        </w:rPr>
        <w:t> </w:t>
      </w:r>
      <w:r>
        <w:rPr/>
        <w:t>(</w:t>
      </w:r>
      <w:r>
        <w:rPr>
          <w:i/>
        </w:rPr>
        <w:t>STARGELASIL</w:t>
      </w:r>
      <w:r>
        <w:rPr/>
        <w:t>) FOR</w:t>
      </w:r>
      <w:r>
        <w:rPr>
          <w:spacing w:val="-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FORMULATION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644" w:right="1436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5"/>
        <w:ind w:left="1261" w:right="2060"/>
        <w:jc w:val="center"/>
      </w:pPr>
      <w:r>
        <w:rPr/>
        <w:t>YONNI</w:t>
      </w:r>
      <w:r>
        <w:rPr>
          <w:spacing w:val="-5"/>
        </w:rPr>
        <w:t> </w:t>
      </w:r>
      <w:r>
        <w:rPr/>
        <w:t>ESHOVO</w:t>
      </w:r>
      <w:r>
        <w:rPr>
          <w:spacing w:val="-2"/>
        </w:rPr>
        <w:t> </w:t>
      </w:r>
      <w:r>
        <w:rPr/>
        <w:t>APEJI,</w:t>
      </w:r>
      <w:r>
        <w:rPr>
          <w:spacing w:val="1"/>
        </w:rPr>
        <w:t> </w:t>
      </w:r>
      <w:r>
        <w:rPr/>
        <w:t>B.PHARM</w:t>
      </w:r>
      <w:r>
        <w:rPr>
          <w:spacing w:val="-1"/>
        </w:rPr>
        <w:t> </w:t>
      </w:r>
      <w:r>
        <w:rPr/>
        <w:t>(ABU)</w:t>
      </w:r>
      <w:r>
        <w:rPr>
          <w:spacing w:val="-3"/>
        </w:rPr>
        <w:t> </w:t>
      </w:r>
      <w:r>
        <w:rPr/>
        <w:t>2004,</w:t>
      </w:r>
      <w:r>
        <w:rPr>
          <w:spacing w:val="-1"/>
        </w:rPr>
        <w:t> </w:t>
      </w:r>
      <w:r>
        <w:rPr/>
        <w:t>M.SC</w:t>
      </w:r>
      <w:r>
        <w:rPr>
          <w:spacing w:val="-1"/>
        </w:rPr>
        <w:t> </w:t>
      </w:r>
      <w:r>
        <w:rPr/>
        <w:t>(ABU)</w:t>
      </w:r>
      <w:r>
        <w:rPr>
          <w:spacing w:val="-3"/>
        </w:rPr>
        <w:t> </w:t>
      </w:r>
      <w:r>
        <w:rPr/>
        <w:t>2010</w:t>
      </w:r>
      <w:r>
        <w:rPr>
          <w:spacing w:val="-57"/>
        </w:rPr>
        <w:t> </w:t>
      </w:r>
      <w:r>
        <w:rPr/>
        <w:t>PHD/PHARM-SCI/1813/2010-11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643" w:right="1436"/>
        <w:jc w:val="center"/>
      </w:pPr>
      <w:r>
        <w:rPr/>
        <w:t>A THESIS SUBMITTED TO THE SCHOOL OF POSTGRADUATE STUDIES,</w:t>
      </w:r>
      <w:r>
        <w:rPr>
          <w:spacing w:val="-58"/>
        </w:rPr>
        <w:t> </w:t>
      </w:r>
      <w:r>
        <w:rPr/>
        <w:t>AHMADU BELLO UNIVERSITY IN PARTIAL FULFILMENT OF THE</w:t>
      </w:r>
      <w:r>
        <w:rPr>
          <w:spacing w:val="1"/>
        </w:rPr>
        <w:t> </w:t>
      </w:r>
      <w:r>
        <w:rPr/>
        <w:t>REQUIREMENTS FOR THE AWARD OF THE DOCTOR OF PHILOSOPHY</w:t>
      </w:r>
      <w:r>
        <w:rPr>
          <w:spacing w:val="1"/>
        </w:rPr>
        <w:t> </w:t>
      </w:r>
      <w:r>
        <w:rPr/>
        <w:t>DEGREE IN PHARMACEUTICS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5"/>
        <w:ind w:left="643" w:right="1436"/>
        <w:jc w:val="center"/>
      </w:pPr>
      <w:r>
        <w:rPr/>
        <w:t>DEPARTMENT OF PHARMACEUTICS AND PHARMACEUTICAL</w:t>
      </w:r>
      <w:r>
        <w:rPr>
          <w:spacing w:val="-58"/>
        </w:rPr>
        <w:t> </w:t>
      </w:r>
      <w:r>
        <w:rPr/>
        <w:t>MICROBIOLOGY,</w:t>
      </w:r>
    </w:p>
    <w:p>
      <w:pPr>
        <w:pStyle w:val="BodyText"/>
        <w:ind w:left="2014" w:right="2809"/>
        <w:jc w:val="center"/>
      </w:pPr>
      <w:r>
        <w:rPr/>
        <w:t>FACULTY OF PHARMACEUTICAL SCIENCES,</w:t>
      </w:r>
      <w:r>
        <w:rPr>
          <w:spacing w:val="-57"/>
        </w:rPr>
        <w:t> </w:t>
      </w:r>
      <w:r>
        <w:rPr/>
        <w:t>AHMADU BELLO</w:t>
      </w:r>
      <w:r>
        <w:rPr>
          <w:spacing w:val="-1"/>
        </w:rPr>
        <w:t> </w:t>
      </w:r>
      <w:r>
        <w:rPr/>
        <w:t>UNIVERSITY, ZARIA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1"/>
        </w:rPr>
      </w:pPr>
    </w:p>
    <w:p>
      <w:pPr>
        <w:pStyle w:val="BodyText"/>
        <w:spacing w:before="1"/>
        <w:ind w:left="648" w:right="1436"/>
        <w:jc w:val="center"/>
      </w:pPr>
      <w:r>
        <w:rPr/>
        <w:t>MARCH,</w:t>
      </w:r>
      <w:r>
        <w:rPr>
          <w:spacing w:val="-1"/>
        </w:rPr>
        <w:t> </w:t>
      </w:r>
      <w:r>
        <w:rPr/>
        <w:t>2016</w:t>
      </w:r>
    </w:p>
    <w:p>
      <w:pPr>
        <w:spacing w:after="0"/>
        <w:jc w:val="center"/>
        <w:sectPr>
          <w:pgSz w:w="11910" w:h="16840"/>
          <w:pgMar w:header="0" w:footer="1067" w:top="1320" w:bottom="1260" w:left="1520" w:right="160"/>
        </w:sectPr>
      </w:pPr>
    </w:p>
    <w:p>
      <w:pPr>
        <w:pStyle w:val="Heading3"/>
        <w:ind w:left="644" w:right="1436"/>
        <w:jc w:val="center"/>
      </w:pPr>
      <w:bookmarkStart w:name="_TOC_250105" w:id="1"/>
      <w:bookmarkEnd w:id="1"/>
      <w:r>
        <w:rPr/>
        <w:t>DECLARATION</w:t>
      </w:r>
    </w:p>
    <w:p>
      <w:pPr>
        <w:pStyle w:val="BodyText"/>
        <w:spacing w:before="116"/>
        <w:ind w:left="465" w:right="1251"/>
        <w:jc w:val="both"/>
      </w:pPr>
      <w:r>
        <w:rPr/>
        <w:t>I declare that the work in this thesis entitled “Design and development of a starch-based</w:t>
      </w:r>
      <w:r>
        <w:rPr>
          <w:spacing w:val="1"/>
        </w:rPr>
        <w:t> </w:t>
      </w:r>
      <w:r>
        <w:rPr/>
        <w:t>multifunctional excipient (</w:t>
      </w:r>
      <w:r>
        <w:rPr>
          <w:i/>
        </w:rPr>
        <w:t>StarGelaSil</w:t>
      </w:r>
      <w:r>
        <w:rPr/>
        <w:t>) for tablet formulation” has been carried out by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Microbiology.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 derived from the literature has been duly acknowledged in the text and the</w:t>
      </w:r>
      <w:r>
        <w:rPr>
          <w:spacing w:val="1"/>
        </w:rPr>
        <w:t> </w:t>
      </w:r>
      <w:r>
        <w:rPr/>
        <w:t>list of references provided. No part of this dissertation was previously prevented for</w:t>
      </w:r>
      <w:r>
        <w:rPr>
          <w:spacing w:val="1"/>
        </w:rPr>
        <w:t> </w:t>
      </w:r>
      <w:r>
        <w:rPr/>
        <w:t>another</w:t>
      </w:r>
      <w:r>
        <w:rPr>
          <w:spacing w:val="-2"/>
        </w:rPr>
        <w:t> </w:t>
      </w:r>
      <w:r>
        <w:rPr/>
        <w:t>degree</w:t>
      </w:r>
      <w:r>
        <w:rPr>
          <w:spacing w:val="-1"/>
        </w:rPr>
        <w:t> </w:t>
      </w:r>
      <w:r>
        <w:rPr/>
        <w:t>or diploma</w:t>
      </w:r>
      <w:r>
        <w:rPr>
          <w:spacing w:val="-1"/>
        </w:rPr>
        <w:t> </w:t>
      </w:r>
      <w:r>
        <w:rPr/>
        <w:t>at this or any</w:t>
      </w:r>
      <w:r>
        <w:rPr>
          <w:spacing w:val="-5"/>
        </w:rPr>
        <w:t> </w:t>
      </w:r>
      <w:r>
        <w:rPr/>
        <w:t>other</w:t>
      </w:r>
      <w:r>
        <w:rPr>
          <w:spacing w:val="-2"/>
        </w:rPr>
        <w:t> </w:t>
      </w:r>
      <w:r>
        <w:rPr/>
        <w:t>institution.</w:t>
      </w:r>
    </w:p>
    <w:p>
      <w:pPr>
        <w:pStyle w:val="BodyText"/>
        <w:spacing w:before="5"/>
      </w:pPr>
    </w:p>
    <w:p>
      <w:pPr>
        <w:pStyle w:val="Heading3"/>
        <w:spacing w:before="0"/>
        <w:ind w:left="465"/>
        <w:jc w:val="both"/>
      </w:pPr>
      <w:r>
        <w:rPr/>
        <w:t>Yonni</w:t>
      </w:r>
      <w:r>
        <w:rPr>
          <w:spacing w:val="-2"/>
        </w:rPr>
        <w:t> </w:t>
      </w:r>
      <w:r>
        <w:rPr/>
        <w:t>Eshovo</w:t>
      </w:r>
      <w:r>
        <w:rPr>
          <w:spacing w:val="-1"/>
        </w:rPr>
        <w:t> </w:t>
      </w:r>
      <w:r>
        <w:rPr/>
        <w:t>Apeji</w:t>
      </w:r>
    </w:p>
    <w:p>
      <w:pPr>
        <w:pStyle w:val="BodyText"/>
        <w:spacing w:before="4"/>
        <w:rPr>
          <w:b/>
          <w:sz w:val="19"/>
        </w:rPr>
      </w:pPr>
      <w:r>
        <w:rPr/>
        <w:pict>
          <v:shape style="position:absolute;margin-left:99.264pt;margin-top:13.332566pt;width:102pt;height:.1pt;mso-position-horizontal-relative:page;mso-position-vertical-relative:paragraph;z-index:-15728640;mso-wrap-distance-left:0;mso-wrap-distance-right:0" coordorigin="1985,267" coordsize="2040,0" path="m1985,267l4025,267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43.289993pt;margin-top:13.332566pt;width:102pt;height:.1pt;mso-position-horizontal-relative:page;mso-position-vertical-relative:paragraph;z-index:-15728128;mso-wrap-distance-left:0;mso-wrap-distance-right:0" coordorigin="4866,267" coordsize="2040,0" path="m4866,267l6906,267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7.339996pt;margin-top:13.332566pt;width:102pt;height:.1pt;mso-position-horizontal-relative:page;mso-position-vertical-relative:paragraph;z-index:-15727616;mso-wrap-distance-left:0;mso-wrap-distance-right:0" coordorigin="7747,267" coordsize="2040,0" path="m7747,267l9787,26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946" w:val="left" w:leader="none"/>
        </w:tabs>
        <w:spacing w:line="247" w:lineRule="exact"/>
        <w:ind w:left="4066"/>
      </w:pPr>
      <w:r>
        <w:rPr/>
        <w:t>Signature</w:t>
        <w:tab/>
        <w:t>Date</w:t>
      </w:r>
    </w:p>
    <w:p>
      <w:pPr>
        <w:spacing w:after="0" w:line="247" w:lineRule="exact"/>
        <w:sectPr>
          <w:pgSz w:w="11910" w:h="16840"/>
          <w:pgMar w:header="0" w:footer="1067" w:top="1320" w:bottom="1260" w:left="1520" w:right="160"/>
        </w:sectPr>
      </w:pPr>
    </w:p>
    <w:p>
      <w:pPr>
        <w:pStyle w:val="Heading3"/>
        <w:ind w:left="644" w:right="1436"/>
        <w:jc w:val="center"/>
      </w:pPr>
      <w:bookmarkStart w:name="_TOC_250104" w:id="2"/>
      <w:bookmarkEnd w:id="2"/>
      <w:r>
        <w:rPr/>
        <w:t>CERTIFICATION</w:t>
      </w:r>
    </w:p>
    <w:p>
      <w:pPr>
        <w:pStyle w:val="BodyText"/>
        <w:tabs>
          <w:tab w:pos="3247" w:val="left" w:leader="none"/>
          <w:tab w:pos="4969" w:val="left" w:leader="none"/>
          <w:tab w:pos="7100" w:val="left" w:leader="none"/>
          <w:tab w:pos="8052" w:val="left" w:leader="none"/>
        </w:tabs>
        <w:spacing w:before="116"/>
        <w:ind w:left="465" w:right="1254"/>
        <w:jc w:val="center"/>
      </w:pPr>
      <w:r>
        <w:rPr/>
        <w:t>This</w:t>
      </w:r>
      <w:r>
        <w:rPr>
          <w:spacing w:val="48"/>
        </w:rPr>
        <w:t> </w:t>
      </w:r>
      <w:r>
        <w:rPr/>
        <w:t>thesis</w:t>
      </w:r>
      <w:r>
        <w:rPr>
          <w:spacing w:val="49"/>
        </w:rPr>
        <w:t> </w:t>
      </w:r>
      <w:r>
        <w:rPr/>
        <w:t>entitled</w:t>
      </w:r>
      <w:r>
        <w:rPr>
          <w:spacing w:val="47"/>
        </w:rPr>
        <w:t> </w:t>
      </w:r>
      <w:r>
        <w:rPr/>
        <w:t>DESIGN</w:t>
      </w:r>
      <w:r>
        <w:rPr>
          <w:spacing w:val="49"/>
        </w:rPr>
        <w:t> </w:t>
      </w:r>
      <w:r>
        <w:rPr/>
        <w:t>AND</w:t>
      </w:r>
      <w:r>
        <w:rPr>
          <w:spacing w:val="47"/>
        </w:rPr>
        <w:t> </w:t>
      </w:r>
      <w:r>
        <w:rPr/>
        <w:t>DEVELOPMENT</w:t>
      </w:r>
      <w:r>
        <w:rPr>
          <w:spacing w:val="47"/>
        </w:rPr>
        <w:t> </w:t>
      </w:r>
      <w:r>
        <w:rPr/>
        <w:t>OF</w:t>
      </w:r>
      <w:r>
        <w:rPr>
          <w:spacing w:val="45"/>
        </w:rPr>
        <w:t> </w:t>
      </w:r>
      <w:r>
        <w:rPr/>
        <w:t>A</w:t>
      </w:r>
      <w:r>
        <w:rPr>
          <w:spacing w:val="47"/>
        </w:rPr>
        <w:t> </w:t>
      </w:r>
      <w:r>
        <w:rPr/>
        <w:t>STARCH-BASED</w:t>
      </w:r>
      <w:r>
        <w:rPr>
          <w:spacing w:val="-57"/>
        </w:rPr>
        <w:t> </w:t>
      </w:r>
      <w:r>
        <w:rPr/>
        <w:t>MULTIFUNCTIONAL</w:t>
        <w:tab/>
        <w:t>EXCIPIENT</w:t>
        <w:tab/>
        <w:t>(</w:t>
      </w:r>
      <w:r>
        <w:rPr>
          <w:i/>
        </w:rPr>
        <w:t>STARGELASIL</w:t>
      </w:r>
      <w:r>
        <w:rPr/>
        <w:t>)</w:t>
        <w:tab/>
        <w:t>FOR</w:t>
        <w:tab/>
      </w:r>
      <w:r>
        <w:rPr>
          <w:spacing w:val="-1"/>
        </w:rPr>
        <w:t>TABLET</w:t>
      </w:r>
    </w:p>
    <w:p>
      <w:pPr>
        <w:pStyle w:val="BodyText"/>
        <w:ind w:left="465" w:right="1260"/>
        <w:jc w:val="both"/>
      </w:pPr>
      <w:r>
        <w:rPr/>
        <w:t>FORMULATION by Yonni Eshovo APEJI meets the regulations governing the award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Pharmaceutics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Ahmadu</w:t>
      </w:r>
      <w:r>
        <w:rPr>
          <w:spacing w:val="60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is approved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its contribution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literary</w:t>
      </w:r>
      <w:r>
        <w:rPr>
          <w:spacing w:val="-6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after="0"/>
        <w:sectPr>
          <w:pgSz w:w="11910" w:h="16840"/>
          <w:pgMar w:header="0" w:footer="1067" w:top="1320" w:bottom="1260" w:left="1520" w:right="160"/>
        </w:sectPr>
      </w:pPr>
    </w:p>
    <w:p>
      <w:pPr>
        <w:pStyle w:val="Heading3"/>
        <w:spacing w:before="90"/>
        <w:ind w:left="465"/>
      </w:pPr>
      <w:r>
        <w:rPr/>
        <w:t>Prof.</w:t>
      </w:r>
      <w:r>
        <w:rPr>
          <w:spacing w:val="-1"/>
        </w:rPr>
        <w:t> </w:t>
      </w:r>
      <w:r>
        <w:rPr/>
        <w:t>A.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Oyi</w:t>
      </w:r>
    </w:p>
    <w:p>
      <w:pPr>
        <w:pStyle w:val="BodyText"/>
        <w:spacing w:before="4"/>
        <w:rPr>
          <w:b/>
          <w:sz w:val="19"/>
        </w:rPr>
      </w:pPr>
      <w:r>
        <w:rPr/>
        <w:pict>
          <v:shape style="position:absolute;margin-left:99.264pt;margin-top:13.333336pt;width:174.05pt;height:.1pt;mso-position-horizontal-relative:page;mso-position-vertical-relative:paragraph;z-index:-15727104;mso-wrap-distance-left:0;mso-wrap-distance-right:0" coordorigin="1985,267" coordsize="3481,0" path="m1985,267l5466,26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465" w:right="0" w:firstLine="0"/>
        <w:jc w:val="left"/>
        <w:rPr>
          <w:b/>
          <w:sz w:val="24"/>
        </w:rPr>
      </w:pPr>
      <w:r>
        <w:rPr>
          <w:b/>
          <w:sz w:val="24"/>
        </w:rPr>
        <w:t>Chairman,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Supervisory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Committee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3"/>
        <w:spacing w:before="183"/>
        <w:ind w:left="465"/>
      </w:pPr>
      <w:r>
        <w:rPr/>
        <w:t>Prof.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</w:t>
      </w:r>
      <w:r>
        <w:rPr/>
        <w:t>Isah</w:t>
      </w:r>
    </w:p>
    <w:p>
      <w:pPr>
        <w:pStyle w:val="BodyText"/>
        <w:spacing w:before="4"/>
        <w:rPr>
          <w:b/>
          <w:sz w:val="19"/>
        </w:rPr>
      </w:pPr>
      <w:r>
        <w:rPr/>
        <w:pict>
          <v:shape style="position:absolute;margin-left:99.264pt;margin-top:13.336157pt;width:168.05pt;height:.1pt;mso-position-horizontal-relative:page;mso-position-vertical-relative:paragraph;z-index:-15726592;mso-wrap-distance-left:0;mso-wrap-distance-right:0" coordorigin="1985,267" coordsize="3361,0" path="m1985,267l5346,26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465" w:right="0" w:firstLine="0"/>
        <w:jc w:val="left"/>
        <w:rPr>
          <w:b/>
          <w:sz w:val="24"/>
        </w:rPr>
      </w:pPr>
      <w:r>
        <w:rPr>
          <w:b/>
          <w:sz w:val="24"/>
        </w:rPr>
        <w:t>Member,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Supervisory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Committee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3"/>
        <w:spacing w:before="182"/>
        <w:ind w:left="465"/>
      </w:pPr>
      <w:r>
        <w:rPr/>
        <w:t>Dr</w:t>
      </w:r>
      <w:r>
        <w:rPr>
          <w:spacing w:val="-3"/>
        </w:rPr>
        <w:t> </w:t>
      </w:r>
      <w:r>
        <w:rPr/>
        <w:t>T. S. Allagh</w:t>
      </w:r>
    </w:p>
    <w:p>
      <w:pPr>
        <w:pStyle w:val="BodyText"/>
        <w:spacing w:before="5"/>
        <w:rPr>
          <w:b/>
          <w:sz w:val="19"/>
        </w:rPr>
      </w:pPr>
      <w:r>
        <w:rPr/>
        <w:pict>
          <v:shape style="position:absolute;margin-left:99.264pt;margin-top:13.376147pt;width:168.05pt;height:.1pt;mso-position-horizontal-relative:page;mso-position-vertical-relative:paragraph;z-index:-15726080;mso-wrap-distance-left:0;mso-wrap-distance-right:0" coordorigin="1985,268" coordsize="3361,0" path="m1985,268l5346,26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465" w:right="0" w:firstLine="0"/>
        <w:jc w:val="left"/>
        <w:rPr>
          <w:b/>
          <w:sz w:val="24"/>
        </w:rPr>
      </w:pPr>
      <w:r>
        <w:rPr>
          <w:b/>
          <w:sz w:val="24"/>
        </w:rPr>
        <w:t>Member,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Supervisory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Committee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3"/>
        <w:spacing w:line="480" w:lineRule="auto" w:before="182"/>
        <w:ind w:left="465" w:right="1751"/>
      </w:pPr>
      <w:r>
        <w:rPr/>
        <w:pict>
          <v:line style="position:absolute;mso-position-horizontal-relative:page;mso-position-vertical-relative:paragraph;z-index:-20907008" from="99.264pt,36.215153pt" to="261.290003pt,36.215153pt" stroked="true" strokeweight=".48pt" strokecolor="#000000">
            <v:stroke dashstyle="solid"/>
            <w10:wrap type="none"/>
          </v:line>
        </w:pict>
      </w:r>
      <w:r>
        <w:rPr/>
        <w:t>Prof. A. B. Isah</w:t>
      </w:r>
      <w:r>
        <w:rPr>
          <w:spacing w:val="1"/>
        </w:rPr>
        <w:t> </w:t>
      </w:r>
      <w:r>
        <w:rPr/>
        <w:t>Head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Department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29"/>
        <w:ind w:left="465" w:right="0" w:firstLine="0"/>
        <w:jc w:val="left"/>
        <w:rPr>
          <w:b/>
          <w:sz w:val="24"/>
        </w:rPr>
      </w:pPr>
      <w:r>
        <w:rPr>
          <w:b/>
          <w:sz w:val="24"/>
        </w:rPr>
        <w:t>Prof. Kabir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Bala</w:t>
      </w:r>
    </w:p>
    <w:p>
      <w:pPr>
        <w:pStyle w:val="BodyText"/>
        <w:spacing w:before="9"/>
        <w:rPr>
          <w:b/>
          <w:sz w:val="18"/>
        </w:rPr>
      </w:pPr>
      <w:r>
        <w:rPr/>
        <w:pict>
          <v:shape style="position:absolute;margin-left:99.264pt;margin-top:13.185365pt;width:162.050pt;height:.1pt;mso-position-horizontal-relative:page;mso-position-vertical-relative:paragraph;z-index:-15725568;mso-wrap-distance-left:0;mso-wrap-distance-right:0" coordorigin="1985,264" coordsize="3241,0" path="m1985,264l5226,264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Heading3"/>
        <w:spacing w:before="0"/>
        <w:ind w:left="465"/>
      </w:pPr>
      <w:r>
        <w:rPr/>
        <w:t>Dean,</w:t>
      </w:r>
      <w:r>
        <w:rPr>
          <w:spacing w:val="-2"/>
        </w:rPr>
        <w:t> </w:t>
      </w:r>
      <w:r>
        <w:rPr/>
        <w:t>School</w:t>
      </w:r>
      <w:r>
        <w:rPr>
          <w:spacing w:val="-2"/>
        </w:rPr>
        <w:t> </w:t>
      </w:r>
      <w:r>
        <w:rPr/>
        <w:t>of Postgraduate</w:t>
      </w:r>
      <w:r>
        <w:rPr>
          <w:spacing w:val="-3"/>
        </w:rPr>
        <w:t> </w:t>
      </w:r>
      <w:r>
        <w:rPr/>
        <w:t>Studies</w:t>
      </w:r>
    </w:p>
    <w:p>
      <w:pPr>
        <w:pStyle w:val="BodyText"/>
        <w:spacing w:before="5"/>
        <w:rPr>
          <w:b/>
          <w:sz w:val="31"/>
        </w:rPr>
      </w:pPr>
      <w:r>
        <w:rPr/>
        <w:br w:type="column"/>
      </w:r>
      <w:r>
        <w:rPr>
          <w:b/>
          <w:sz w:val="31"/>
        </w:rPr>
      </w:r>
    </w:p>
    <w:p>
      <w:pPr>
        <w:pStyle w:val="BodyText"/>
        <w:tabs>
          <w:tab w:pos="2051" w:val="left" w:leader="none"/>
        </w:tabs>
        <w:ind w:left="465"/>
      </w:pPr>
      <w:r>
        <w:rPr/>
        <w:t>Date</w:t>
      </w:r>
      <w:r>
        <w:rPr>
          <w:u w:val="single"/>
        </w:rPr>
        <w:t> </w:t>
        <w:tab/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2051" w:val="left" w:leader="none"/>
        </w:tabs>
        <w:spacing w:before="162"/>
        <w:ind w:left="465"/>
      </w:pPr>
      <w:r>
        <w:rPr/>
        <w:pict>
          <v:line style="position:absolute;mso-position-horizontal-relative:page;mso-position-vertical-relative:paragraph;z-index:15732224" from="315.309998pt,-74.974876pt" to="399.31pt,-74.974876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2736" from="315.309998pt,21.655125pt" to="399.31pt,21.655125pt" stroked="true" strokeweight=".48pt" strokecolor="#000000">
            <v:stroke dashstyle="solid"/>
            <w10:wrap type="none"/>
          </v:line>
        </w:pict>
      </w:r>
      <w:r>
        <w:rPr/>
        <w:t>Date</w:t>
      </w:r>
      <w:r>
        <w:rPr>
          <w:u w:val="single"/>
        </w:rPr>
        <w:t> </w:t>
        <w:tab/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2051" w:val="left" w:leader="none"/>
        </w:tabs>
        <w:spacing w:before="161"/>
        <w:ind w:left="465"/>
      </w:pPr>
      <w:r>
        <w:rPr/>
        <w:pict>
          <v:line style="position:absolute;mso-position-horizontal-relative:page;mso-position-vertical-relative:paragraph;z-index:15733248" from="315.309998pt,21.605125pt" to="399.31pt,21.605125pt" stroked="true" strokeweight=".48pt" strokecolor="#000000">
            <v:stroke dashstyle="solid"/>
            <w10:wrap type="none"/>
          </v:line>
        </w:pict>
      </w:r>
      <w:r>
        <w:rPr/>
        <w:t>Date</w:t>
      </w:r>
      <w:r>
        <w:rPr>
          <w:u w:val="single"/>
        </w:rPr>
        <w:t> </w:t>
        <w:tab/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2051" w:val="left" w:leader="none"/>
        </w:tabs>
        <w:spacing w:before="161"/>
        <w:ind w:left="465"/>
      </w:pPr>
      <w:r>
        <w:rPr/>
        <w:pict>
          <v:line style="position:absolute;mso-position-horizontal-relative:page;mso-position-vertical-relative:paragraph;z-index:15734272" from="315.309998pt,21.605125pt" to="399.339998pt,21.605125pt" stroked="true" strokeweight=".48pt" strokecolor="#000000">
            <v:stroke dashstyle="solid"/>
            <w10:wrap type="none"/>
          </v:line>
        </w:pict>
      </w:r>
      <w:r>
        <w:rPr/>
        <w:t>Date</w:t>
      </w:r>
      <w:r>
        <w:rPr>
          <w:u w:val="single"/>
        </w:rPr>
        <w:t> </w:t>
        <w:tab/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2051" w:val="left" w:leader="none"/>
        </w:tabs>
        <w:spacing w:before="160"/>
        <w:ind w:left="465"/>
      </w:pPr>
      <w:r>
        <w:rPr/>
        <w:pict>
          <v:line style="position:absolute;mso-position-horizontal-relative:page;mso-position-vertical-relative:paragraph;z-index:15734784" from="315.309998pt,21.417126pt" to="399.310002pt,21.417126pt" stroked="true" strokeweight=".756pt" strokecolor="#000000">
            <v:stroke dashstyle="solid"/>
            <w10:wrap type="none"/>
          </v:line>
        </w:pict>
      </w:r>
      <w:r>
        <w:rPr/>
        <w:t>Date</w:t>
      </w:r>
      <w:r>
        <w:rPr>
          <w:u w:val="single"/>
        </w:rPr>
        <w:t> </w:t>
        <w:tab/>
      </w:r>
    </w:p>
    <w:p>
      <w:pPr>
        <w:spacing w:after="0"/>
        <w:sectPr>
          <w:type w:val="continuous"/>
          <w:pgSz w:w="11910" w:h="16840"/>
          <w:pgMar w:top="1320" w:bottom="1260" w:left="1520" w:right="160"/>
          <w:cols w:num="2" w:equalWidth="0">
            <w:col w:w="4327" w:space="2155"/>
            <w:col w:w="3748"/>
          </w:cols>
        </w:sectPr>
      </w:pPr>
    </w:p>
    <w:p>
      <w:pPr>
        <w:pStyle w:val="Heading3"/>
        <w:ind w:left="644" w:right="1436"/>
        <w:jc w:val="center"/>
      </w:pPr>
      <w:bookmarkStart w:name="_TOC_250103" w:id="3"/>
      <w:bookmarkEnd w:id="3"/>
      <w:r>
        <w:rPr/>
        <w:t>DEDICATION</w:t>
      </w:r>
    </w:p>
    <w:p>
      <w:pPr>
        <w:pStyle w:val="BodyText"/>
        <w:spacing w:before="116"/>
        <w:ind w:left="465" w:right="1254"/>
      </w:pPr>
      <w:r>
        <w:rPr/>
        <w:t>This</w:t>
      </w:r>
      <w:r>
        <w:rPr>
          <w:spacing w:val="11"/>
        </w:rPr>
        <w:t> </w:t>
      </w:r>
      <w:r>
        <w:rPr/>
        <w:t>work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dedicated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everyone</w:t>
      </w:r>
      <w:r>
        <w:rPr>
          <w:spacing w:val="9"/>
        </w:rPr>
        <w:t> </w:t>
      </w:r>
      <w:r>
        <w:rPr/>
        <w:t>who</w:t>
      </w:r>
      <w:r>
        <w:rPr>
          <w:spacing w:val="10"/>
        </w:rPr>
        <w:t> </w:t>
      </w:r>
      <w:r>
        <w:rPr/>
        <w:t>has</w:t>
      </w:r>
      <w:r>
        <w:rPr>
          <w:spacing w:val="14"/>
        </w:rPr>
        <w:t> </w:t>
      </w:r>
      <w:r>
        <w:rPr/>
        <w:t>contributed</w:t>
      </w:r>
      <w:r>
        <w:rPr>
          <w:spacing w:val="10"/>
        </w:rPr>
        <w:t> </w:t>
      </w:r>
      <w:r>
        <w:rPr/>
        <w:t>significantly</w:t>
      </w:r>
      <w:r>
        <w:rPr>
          <w:spacing w:val="3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completion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this thesis.</w:t>
      </w:r>
    </w:p>
    <w:p>
      <w:pPr>
        <w:spacing w:after="0"/>
        <w:sectPr>
          <w:pgSz w:w="11910" w:h="16840"/>
          <w:pgMar w:header="0" w:footer="1067" w:top="1320" w:bottom="1260" w:left="1520" w:right="160"/>
        </w:sectPr>
      </w:pPr>
    </w:p>
    <w:p>
      <w:pPr>
        <w:pStyle w:val="Heading3"/>
        <w:ind w:left="3369"/>
      </w:pPr>
      <w:bookmarkStart w:name="_TOC_250102" w:id="4"/>
      <w:bookmarkEnd w:id="4"/>
      <w:r>
        <w:rPr/>
        <w:t>ACKNOWLEDGEMENT</w:t>
      </w:r>
    </w:p>
    <w:p>
      <w:pPr>
        <w:pStyle w:val="BodyText"/>
        <w:spacing w:before="116"/>
        <w:ind w:left="465" w:right="1263"/>
        <w:jc w:val="both"/>
      </w:pPr>
      <w:r>
        <w:rPr/>
        <w:t>I will like to appreciate God Almighty for granting me the inspiration and grace to</w:t>
      </w:r>
      <w:r>
        <w:rPr>
          <w:spacing w:val="1"/>
        </w:rPr>
        <w:t> </w:t>
      </w:r>
      <w:r>
        <w:rPr/>
        <w:t>commence and complete</w:t>
      </w:r>
      <w:r>
        <w:rPr>
          <w:spacing w:val="1"/>
        </w:rPr>
        <w:t> </w:t>
      </w:r>
      <w:r>
        <w:rPr/>
        <w:t>this thesis.</w:t>
      </w:r>
      <w:r>
        <w:rPr>
          <w:spacing w:val="5"/>
        </w:rPr>
        <w:t> </w:t>
      </w:r>
      <w:r>
        <w:rPr/>
        <w:t>I</w:t>
      </w:r>
      <w:r>
        <w:rPr>
          <w:spacing w:val="-6"/>
        </w:rPr>
        <w:t> </w:t>
      </w:r>
      <w:r>
        <w:rPr/>
        <w:t>ascribe</w:t>
      </w:r>
      <w:r>
        <w:rPr>
          <w:spacing w:val="-2"/>
        </w:rPr>
        <w:t> </w:t>
      </w:r>
      <w:r>
        <w:rPr/>
        <w:t>all the</w:t>
      </w:r>
      <w:r>
        <w:rPr>
          <w:spacing w:val="-1"/>
        </w:rPr>
        <w:t> </w:t>
      </w:r>
      <w:r>
        <w:rPr/>
        <w:t>glory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Him.</w:t>
      </w:r>
    </w:p>
    <w:p>
      <w:pPr>
        <w:pStyle w:val="BodyText"/>
      </w:pPr>
    </w:p>
    <w:p>
      <w:pPr>
        <w:pStyle w:val="BodyText"/>
        <w:ind w:left="465" w:right="1254"/>
        <w:jc w:val="both"/>
      </w:pPr>
      <w:r>
        <w:rPr/>
        <w:t>My sincere gratitude goes to my supervisors namely; Prof. A. R. Oyi, Prof. A. B. Isah</w:t>
      </w:r>
      <w:r>
        <w:rPr>
          <w:spacing w:val="1"/>
        </w:rPr>
        <w:t> </w:t>
      </w:r>
      <w:r>
        <w:rPr/>
        <w:t>and Dr T. S. Allagh who provided guidance and support to ensure that this work is</w:t>
      </w:r>
      <w:r>
        <w:rPr>
          <w:spacing w:val="1"/>
        </w:rPr>
        <w:t> </w:t>
      </w:r>
      <w:r>
        <w:rPr/>
        <w:t>completed. I am also indebted to Prof. A. K. Bansal and his team at</w:t>
      </w:r>
      <w:r>
        <w:rPr>
          <w:spacing w:val="60"/>
        </w:rPr>
        <w:t> </w:t>
      </w:r>
      <w:r>
        <w:rPr/>
        <w:t>National Institute</w:t>
      </w:r>
      <w:r>
        <w:rPr>
          <w:spacing w:val="1"/>
        </w:rPr>
        <w:t> </w:t>
      </w:r>
      <w:r>
        <w:rPr/>
        <w:t>for Pharmaceutical Education and Research (NIPER), Mohali, India who were gracious</w:t>
      </w:r>
      <w:r>
        <w:rPr>
          <w:spacing w:val="1"/>
        </w:rPr>
        <w:t> </w:t>
      </w:r>
      <w:r>
        <w:rPr/>
        <w:t>to host me in their lab for six (6) months for part of the work to be carried out. I</w:t>
      </w:r>
      <w:r>
        <w:rPr>
          <w:spacing w:val="1"/>
        </w:rPr>
        <w:t> </w:t>
      </w:r>
      <w:r>
        <w:rPr/>
        <w:t>appreciate the contributions of the staff of Central Instrumentation Laboratory (CIL),</w:t>
      </w:r>
      <w:r>
        <w:rPr>
          <w:spacing w:val="1"/>
        </w:rPr>
        <w:t> </w:t>
      </w:r>
      <w:r>
        <w:rPr/>
        <w:t>NIPER, Mohali, who assisted me greatly with theanalysis. I acknowledge the input of</w:t>
      </w:r>
      <w:r>
        <w:rPr>
          <w:spacing w:val="1"/>
        </w:rPr>
        <w:t> </w:t>
      </w:r>
      <w:r>
        <w:rPr/>
        <w:t>the Tertiary Education Trust Fund (TETFUND) for providing the grant that facilitated</w:t>
      </w:r>
      <w:r>
        <w:rPr>
          <w:spacing w:val="1"/>
        </w:rPr>
        <w:t> </w:t>
      </w:r>
      <w:r>
        <w:rPr/>
        <w:t>my</w:t>
      </w:r>
      <w:r>
        <w:rPr>
          <w:spacing w:val="-6"/>
        </w:rPr>
        <w:t> </w:t>
      </w:r>
      <w:r>
        <w:rPr/>
        <w:t>travel to undertake</w:t>
      </w:r>
      <w:r>
        <w:rPr>
          <w:spacing w:val="-1"/>
        </w:rPr>
        <w:t> </w:t>
      </w:r>
      <w:r>
        <w:rPr/>
        <w:t>the bench work far away</w:t>
      </w:r>
      <w:r>
        <w:rPr>
          <w:spacing w:val="-5"/>
        </w:rPr>
        <w:t> </w:t>
      </w:r>
      <w:r>
        <w:rPr/>
        <w:t>in</w:t>
      </w:r>
      <w:r>
        <w:rPr>
          <w:spacing w:val="4"/>
        </w:rPr>
        <w:t> </w:t>
      </w:r>
      <w:r>
        <w:rPr/>
        <w:t>India.</w:t>
      </w:r>
    </w:p>
    <w:p>
      <w:pPr>
        <w:pStyle w:val="BodyText"/>
        <w:spacing w:before="1"/>
      </w:pPr>
    </w:p>
    <w:p>
      <w:pPr>
        <w:pStyle w:val="BodyText"/>
        <w:ind w:left="465" w:right="1249"/>
        <w:jc w:val="both"/>
      </w:pPr>
      <w:r>
        <w:rPr/>
        <w:t>I appreciate God for my parents (Mr and Mrs F. H. S. Apeji) who thought it wise to</w:t>
      </w:r>
      <w:r>
        <w:rPr>
          <w:spacing w:val="1"/>
        </w:rPr>
        <w:t> </w:t>
      </w:r>
      <w:r>
        <w:rPr/>
        <w:t>invest in my education from childhood. I must thank my siblings and In-laws who</w:t>
      </w:r>
      <w:r>
        <w:rPr>
          <w:spacing w:val="1"/>
        </w:rPr>
        <w:t> </w:t>
      </w:r>
      <w:r>
        <w:rPr/>
        <w:t>granted me moral support while I was pursuing this programme.I wish to thank every</w:t>
      </w:r>
      <w:r>
        <w:rPr>
          <w:spacing w:val="1"/>
        </w:rPr>
        <w:t> </w:t>
      </w:r>
      <w:r>
        <w:rPr/>
        <w:t>member of staff of the Department of Pharmaceutics and Pharmaceutical Microbiology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creating</w:t>
      </w:r>
      <w:r>
        <w:rPr>
          <w:spacing w:val="-3"/>
        </w:rPr>
        <w:t> </w:t>
      </w:r>
      <w:r>
        <w:rPr/>
        <w:t>an environment conducive</w:t>
      </w:r>
      <w:r>
        <w:rPr>
          <w:spacing w:val="-1"/>
        </w:rPr>
        <w:t> </w:t>
      </w:r>
      <w:r>
        <w:rPr/>
        <w:t>for research and learning.</w:t>
      </w:r>
    </w:p>
    <w:p>
      <w:pPr>
        <w:pStyle w:val="BodyText"/>
      </w:pPr>
    </w:p>
    <w:p>
      <w:pPr>
        <w:pStyle w:val="BodyText"/>
        <w:ind w:left="465" w:right="1262"/>
        <w:jc w:val="both"/>
      </w:pPr>
      <w:r>
        <w:rPr/>
        <w:t>Finally,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commend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darling</w:t>
      </w:r>
      <w:r>
        <w:rPr>
          <w:spacing w:val="1"/>
        </w:rPr>
        <w:t> </w:t>
      </w:r>
      <w:r>
        <w:rPr/>
        <w:t>wife</w:t>
      </w:r>
      <w:r>
        <w:rPr>
          <w:spacing w:val="1"/>
        </w:rPr>
        <w:t> </w:t>
      </w:r>
      <w:r>
        <w:rPr/>
        <w:t>(Alice)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lovely</w:t>
      </w:r>
      <w:r>
        <w:rPr>
          <w:spacing w:val="1"/>
        </w:rPr>
        <w:t> </w:t>
      </w:r>
      <w:r>
        <w:rPr/>
        <w:t>kids</w:t>
      </w:r>
      <w:r>
        <w:rPr>
          <w:spacing w:val="1"/>
        </w:rPr>
        <w:t> </w:t>
      </w:r>
      <w:r>
        <w:rPr/>
        <w:t>(Jotham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Rehoboth) who put up with my absenteeism from home in the last two years in order to</w:t>
      </w:r>
      <w:r>
        <w:rPr>
          <w:spacing w:val="1"/>
        </w:rPr>
        <w:t> </w:t>
      </w:r>
      <w:r>
        <w:rPr/>
        <w:t>conclude my</w:t>
      </w:r>
      <w:r>
        <w:rPr>
          <w:spacing w:val="-5"/>
        </w:rPr>
        <w:t> </w:t>
      </w:r>
      <w:r>
        <w:rPr/>
        <w:t>research. May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Lord keep usalive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enjoy</w:t>
      </w:r>
      <w:r>
        <w:rPr>
          <w:spacing w:val="-5"/>
        </w:rPr>
        <w:t> </w:t>
      </w:r>
      <w:r>
        <w:rPr/>
        <w:t>the dividends of</w:t>
      </w:r>
      <w:r>
        <w:rPr>
          <w:spacing w:val="2"/>
        </w:rPr>
        <w:t> </w:t>
      </w:r>
      <w:r>
        <w:rPr/>
        <w:t>our</w:t>
      </w:r>
      <w:r>
        <w:rPr>
          <w:spacing w:val="-1"/>
        </w:rPr>
        <w:t> </w:t>
      </w:r>
      <w:r>
        <w:rPr/>
        <w:t>labour.</w:t>
      </w:r>
    </w:p>
    <w:p>
      <w:pPr>
        <w:spacing w:after="0"/>
        <w:jc w:val="both"/>
        <w:sectPr>
          <w:pgSz w:w="11910" w:h="16840"/>
          <w:pgMar w:header="0" w:footer="1067" w:top="1320" w:bottom="1260" w:left="1520" w:right="160"/>
        </w:sectPr>
      </w:pPr>
    </w:p>
    <w:p>
      <w:pPr>
        <w:pStyle w:val="Heading3"/>
        <w:ind w:left="465" w:right="1254"/>
        <w:jc w:val="center"/>
      </w:pPr>
      <w:bookmarkStart w:name="_TOC_250101" w:id="5"/>
      <w:bookmarkEnd w:id="5"/>
      <w:r>
        <w:rPr/>
        <w:t>ABSTRACT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5"/>
        <w:jc w:val="both"/>
      </w:pPr>
      <w:r>
        <w:rPr/>
        <w:t>The concept of co-processing as a particle engineering technique has been used as a tool</w:t>
      </w:r>
      <w:r>
        <w:rPr>
          <w:spacing w:val="-57"/>
        </w:rPr>
        <w:t> </w:t>
      </w:r>
      <w:r>
        <w:rPr/>
        <w:t>to improve the functionality of many existing excipients. This study was designed to</w:t>
      </w:r>
      <w:r>
        <w:rPr>
          <w:spacing w:val="1"/>
        </w:rPr>
        <w:t> </w:t>
      </w:r>
      <w:r>
        <w:rPr/>
        <w:t>improve the functionality of cassava starch as excipient for direct compression by co-</w:t>
      </w:r>
      <w:r>
        <w:rPr>
          <w:spacing w:val="1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with</w:t>
      </w:r>
      <w:r>
        <w:rPr>
          <w:spacing w:val="2"/>
        </w:rPr>
        <w:t> </w:t>
      </w:r>
      <w:r>
        <w:rPr/>
        <w:t>gelatin and colloidal silicon dioxide.</w:t>
      </w:r>
    </w:p>
    <w:p>
      <w:pPr>
        <w:pStyle w:val="BodyText"/>
        <w:spacing w:line="480" w:lineRule="auto" w:before="120"/>
        <w:ind w:left="465" w:right="1253"/>
        <w:jc w:val="both"/>
      </w:pPr>
      <w:r>
        <w:rPr/>
        <w:t>The Design of Experiment (DoE) approach was employed to optimize the percentage</w:t>
      </w:r>
      <w:r>
        <w:rPr>
          <w:spacing w:val="1"/>
        </w:rPr>
        <w:t> </w:t>
      </w:r>
      <w:r>
        <w:rPr/>
        <w:t>ratios of the primary excipients for the co-processed excipient. Fourteen experimental</w:t>
      </w:r>
      <w:r>
        <w:rPr>
          <w:spacing w:val="1"/>
        </w:rPr>
        <w:t> </w:t>
      </w:r>
      <w:r>
        <w:rPr/>
        <w:t>formulations containing varying proportions of the primary excipients were prepared by</w:t>
      </w:r>
      <w:r>
        <w:rPr>
          <w:spacing w:val="1"/>
        </w:rPr>
        <w:t> </w:t>
      </w:r>
      <w:r>
        <w:rPr/>
        <w:t>the method of co-fusion and twelve tablets each weighing 400 mg each were produced</w:t>
      </w:r>
      <w:r>
        <w:rPr>
          <w:spacing w:val="1"/>
        </w:rPr>
        <w:t> </w:t>
      </w:r>
      <w:r>
        <w:rPr/>
        <w:t>for each formulation using the Hydraulic Carver Press. The compressed tablets were</w:t>
      </w:r>
      <w:r>
        <w:rPr>
          <w:spacing w:val="1"/>
        </w:rPr>
        <w:t> </w:t>
      </w:r>
      <w:r>
        <w:rPr/>
        <w:t>kept for 24 h in the desiccator and evaluated for tensile strength and disintegration time.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tabletswere</w:t>
      </w:r>
      <w:r>
        <w:rPr>
          <w:spacing w:val="1"/>
        </w:rPr>
        <w:t> </w:t>
      </w:r>
      <w:r>
        <w:rPr/>
        <w:t>suitably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Expert</w:t>
      </w:r>
      <w:r>
        <w:rPr>
          <w:spacing w:val="-57"/>
        </w:rPr>
        <w:t> </w:t>
      </w:r>
      <w:r>
        <w:rPr/>
        <w:t>software and fittedto a special quartic model that correlated the effect of varying the</w:t>
      </w:r>
      <w:r>
        <w:rPr>
          <w:spacing w:val="1"/>
        </w:rPr>
        <w:t> </w:t>
      </w:r>
      <w:r>
        <w:rPr/>
        <w:t>proportions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properties.The</w:t>
      </w:r>
      <w:r>
        <w:rPr>
          <w:spacing w:val="-57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desirable</w:t>
      </w:r>
      <w:r>
        <w:rPr>
          <w:spacing w:val="1"/>
        </w:rPr>
        <w:t> </w:t>
      </w:r>
      <w:r>
        <w:rPr/>
        <w:t>characteristics after optimization was found to be cassava starch (90 %), gelatin (7.5 %)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colloidal silicon dioxide</w:t>
      </w:r>
      <w:r>
        <w:rPr>
          <w:spacing w:val="-1"/>
        </w:rPr>
        <w:t> </w:t>
      </w:r>
      <w:r>
        <w:rPr/>
        <w:t>(2.5 %).</w:t>
      </w:r>
    </w:p>
    <w:p>
      <w:pPr>
        <w:pStyle w:val="BodyText"/>
        <w:spacing w:line="480" w:lineRule="auto" w:before="121"/>
        <w:ind w:left="465" w:right="1253"/>
        <w:jc w:val="both"/>
      </w:pPr>
      <w:r>
        <w:rPr/>
        <w:t>The optimized co-processed excipient subsequently known as “</w:t>
      </w:r>
      <w:r>
        <w:rPr>
          <w:i/>
        </w:rPr>
        <w:t>StarGelaSil</w:t>
      </w:r>
      <w:r>
        <w:rPr/>
        <w:t>” (SGS) was</w:t>
      </w:r>
      <w:r>
        <w:rPr>
          <w:spacing w:val="1"/>
        </w:rPr>
        <w:t> </w:t>
      </w:r>
      <w:r>
        <w:rPr/>
        <w:t>prepared in large quantities and stored in an airtight container for further studies. Solid-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shape,</w:t>
      </w:r>
      <w:r>
        <w:rPr>
          <w:spacing w:val="-57"/>
        </w:rPr>
        <w:t> </w:t>
      </w:r>
      <w:r>
        <w:rPr/>
        <w:t>distribution, surface morphology, degree of crystallinity, hygroscopicity, compatibility</w:t>
      </w:r>
      <w:r>
        <w:rPr>
          <w:spacing w:val="1"/>
        </w:rPr>
        <w:t> </w:t>
      </w:r>
      <w:r>
        <w:rPr/>
        <w:t>etc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techniques.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SGS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determined by measuring its flowability using the angle of repose, bulk and tapped</w:t>
      </w:r>
      <w:r>
        <w:rPr>
          <w:spacing w:val="1"/>
        </w:rPr>
        <w:t> </w:t>
      </w:r>
      <w:r>
        <w:rPr/>
        <w:t>densities, porosity, dilution potential, lubricant sensitivity ratio etc. The compaction</w:t>
      </w:r>
      <w:r>
        <w:rPr>
          <w:spacing w:val="1"/>
        </w:rPr>
        <w:t> </w:t>
      </w:r>
      <w:r>
        <w:rPr/>
        <w:t>behaviour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SGS</w:t>
      </w:r>
      <w:r>
        <w:rPr>
          <w:spacing w:val="31"/>
        </w:rPr>
        <w:t> </w:t>
      </w:r>
      <w:r>
        <w:rPr/>
        <w:t>was</w:t>
      </w:r>
      <w:r>
        <w:rPr>
          <w:spacing w:val="33"/>
        </w:rPr>
        <w:t> </w:t>
      </w:r>
      <w:r>
        <w:rPr/>
        <w:t>analysed</w:t>
      </w:r>
      <w:r>
        <w:rPr>
          <w:spacing w:val="30"/>
        </w:rPr>
        <w:t> </w:t>
      </w:r>
      <w:r>
        <w:rPr/>
        <w:t>using</w:t>
      </w:r>
      <w:r>
        <w:rPr>
          <w:spacing w:val="28"/>
        </w:rPr>
        <w:t> </w:t>
      </w:r>
      <w:r>
        <w:rPr/>
        <w:t>Heckel</w:t>
      </w:r>
      <w:r>
        <w:rPr>
          <w:spacing w:val="31"/>
        </w:rPr>
        <w:t> </w:t>
      </w:r>
      <w:r>
        <w:rPr/>
        <w:t>and</w:t>
      </w:r>
      <w:r>
        <w:rPr>
          <w:spacing w:val="30"/>
        </w:rPr>
        <w:t> </w:t>
      </w:r>
      <w:r>
        <w:rPr/>
        <w:t>Kawakita</w:t>
      </w:r>
      <w:r>
        <w:rPr>
          <w:spacing w:val="30"/>
        </w:rPr>
        <w:t> </w:t>
      </w:r>
      <w:r>
        <w:rPr/>
        <w:t>equations</w:t>
      </w:r>
      <w:r>
        <w:rPr>
          <w:spacing w:val="31"/>
        </w:rPr>
        <w:t> </w:t>
      </w:r>
      <w:r>
        <w:rPr/>
        <w:t>and</w:t>
      </w:r>
      <w:r>
        <w:rPr>
          <w:spacing w:val="3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520" w:right="160"/>
        </w:sectPr>
      </w:pPr>
    </w:p>
    <w:p>
      <w:pPr>
        <w:pStyle w:val="BodyText"/>
        <w:spacing w:line="480" w:lineRule="auto" w:before="72"/>
        <w:ind w:left="465" w:right="1253"/>
        <w:jc w:val="both"/>
      </w:pPr>
      <w:r>
        <w:rPr/>
        <w:t>compressibility,</w:t>
      </w:r>
      <w:r>
        <w:rPr>
          <w:spacing w:val="1"/>
        </w:rPr>
        <w:t> </w:t>
      </w:r>
      <w:r>
        <w:rPr/>
        <w:t>tabletability,</w:t>
      </w:r>
      <w:r>
        <w:rPr>
          <w:spacing w:val="1"/>
        </w:rPr>
        <w:t> </w:t>
      </w:r>
      <w:r>
        <w:rPr/>
        <w:t>compactability</w:t>
      </w:r>
      <w:r>
        <w:rPr>
          <w:spacing w:val="1"/>
        </w:rPr>
        <w:t> </w:t>
      </w:r>
      <w:r>
        <w:rPr/>
        <w:t>(CTC)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comparison to the physical mixture of the primary excipients (SGS-PM). Tablets were</w:t>
      </w:r>
      <w:r>
        <w:rPr>
          <w:spacing w:val="1"/>
        </w:rPr>
        <w:t> </w:t>
      </w:r>
      <w:r>
        <w:rPr/>
        <w:t>formulated by direct compression using Ibuprofen as the drug of choice and compared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tablets produced using</w:t>
      </w:r>
      <w:r>
        <w:rPr>
          <w:spacing w:val="-3"/>
        </w:rPr>
        <w:t> </w:t>
      </w:r>
      <w:r>
        <w:rPr/>
        <w:t>Prosolv</w:t>
      </w:r>
      <w:r>
        <w:rPr>
          <w:vertAlign w:val="superscript"/>
        </w:rPr>
        <w:t>®</w:t>
      </w:r>
      <w:r>
        <w:rPr>
          <w:vertAlign w:val="baseline"/>
        </w:rPr>
        <w:t> and StarLac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as reference</w:t>
      </w:r>
      <w:r>
        <w:rPr>
          <w:spacing w:val="-1"/>
          <w:vertAlign w:val="baseline"/>
        </w:rPr>
        <w:t> </w:t>
      </w:r>
      <w:r>
        <w:rPr>
          <w:vertAlign w:val="baseline"/>
        </w:rPr>
        <w:t>standards.</w:t>
      </w:r>
    </w:p>
    <w:p>
      <w:pPr>
        <w:pStyle w:val="BodyText"/>
        <w:spacing w:line="480" w:lineRule="auto" w:before="120"/>
        <w:ind w:left="465" w:right="1251"/>
        <w:jc w:val="both"/>
      </w:pPr>
      <w:r>
        <w:rPr/>
        <w:t>The results revealed that co-processed particles of SGS were largelyamorphous and</w:t>
      </w:r>
      <w:r>
        <w:rPr>
          <w:spacing w:val="1"/>
        </w:rPr>
        <w:t> </w:t>
      </w:r>
      <w:r>
        <w:rPr/>
        <w:t>spherical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rough</w:t>
      </w:r>
      <w:r>
        <w:rPr>
          <w:spacing w:val="1"/>
        </w:rPr>
        <w:t> </w:t>
      </w:r>
      <w:r>
        <w:rPr/>
        <w:t>surfaces.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incompatibility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excipients used for co-processing and between drug and co-processed excipient. Flow</w:t>
      </w:r>
      <w:r>
        <w:rPr>
          <w:spacing w:val="1"/>
        </w:rPr>
        <w:t> </w:t>
      </w:r>
      <w:r>
        <w:rPr/>
        <w:t>properties were enhanced as a result of co-processing. A superior CTC profile 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SGS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SGS-PM.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SGS</w:t>
      </w:r>
      <w:r>
        <w:rPr>
          <w:spacing w:val="1"/>
        </w:rPr>
        <w:t> </w:t>
      </w:r>
      <w:r>
        <w:rPr/>
        <w:t>conformed to the specifications of USP (2009) and compared well with those of the</w:t>
      </w:r>
      <w:r>
        <w:rPr>
          <w:spacing w:val="1"/>
        </w:rPr>
        <w:t> </w:t>
      </w:r>
      <w:r>
        <w:rPr/>
        <w:t>reference excipients in terms of tensile strength, disintegration time and drug-release</w:t>
      </w:r>
      <w:r>
        <w:rPr>
          <w:spacing w:val="1"/>
        </w:rPr>
        <w:t> </w:t>
      </w:r>
      <w:r>
        <w:rPr/>
        <w:t>profile.</w:t>
      </w:r>
    </w:p>
    <w:p>
      <w:pPr>
        <w:pStyle w:val="BodyText"/>
        <w:spacing w:line="480" w:lineRule="auto" w:before="122"/>
        <w:ind w:left="465" w:right="1255"/>
        <w:jc w:val="both"/>
      </w:pPr>
      <w:r>
        <w:rPr/>
        <w:t>This study concluded that co-processing was able to improve the functionality ofcassava</w:t>
      </w:r>
      <w:r>
        <w:rPr>
          <w:spacing w:val="-57"/>
        </w:rPr>
        <w:t> </w:t>
      </w:r>
      <w:r>
        <w:rPr/>
        <w:t>starch as excipient for direct compression. Hence, the excipient can be developed for</w:t>
      </w:r>
      <w:r>
        <w:rPr>
          <w:spacing w:val="1"/>
        </w:rPr>
        <w:t> </w:t>
      </w:r>
      <w:r>
        <w:rPr/>
        <w:t>usein</w:t>
      </w:r>
      <w:r>
        <w:rPr>
          <w:spacing w:val="-2"/>
        </w:rPr>
        <w:t> </w:t>
      </w:r>
      <w:r>
        <w:rPr/>
        <w:t>pharmaceutical industry</w:t>
      </w:r>
      <w:r>
        <w:rPr>
          <w:spacing w:val="-5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choice</w:t>
      </w:r>
      <w:r>
        <w:rPr>
          <w:spacing w:val="2"/>
        </w:rPr>
        <w:t> </w:t>
      </w:r>
      <w:r>
        <w:rPr/>
        <w:t>material for</w:t>
      </w:r>
      <w:r>
        <w:rPr>
          <w:spacing w:val="-3"/>
        </w:rPr>
        <w:t> </w:t>
      </w:r>
      <w:r>
        <w:rPr/>
        <w:t>direct</w:t>
      </w:r>
      <w:r>
        <w:rPr>
          <w:spacing w:val="2"/>
        </w:rPr>
        <w:t> </w:t>
      </w:r>
      <w:r>
        <w:rPr/>
        <w:t>compression.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520" w:right="160"/>
        </w:sectPr>
      </w:pPr>
    </w:p>
    <w:p>
      <w:pPr>
        <w:pStyle w:val="Heading3"/>
        <w:ind w:left="460" w:right="1254"/>
        <w:jc w:val="center"/>
      </w:pPr>
      <w:bookmarkStart w:name="_TOC_250100" w:id="6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CONTENTS</w:t>
      </w:r>
    </w:p>
    <w:p>
      <w:pPr>
        <w:spacing w:after="0"/>
        <w:jc w:val="center"/>
        <w:sectPr>
          <w:pgSz w:w="11910" w:h="16840"/>
          <w:pgMar w:header="0" w:footer="1067" w:top="1320" w:bottom="1569" w:left="1520" w:right="1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963" w:val="right" w:leader="dot"/>
            </w:tabs>
            <w:spacing w:before="274"/>
          </w:pPr>
          <w:hyperlink w:history="true" w:anchor="_TOC_250105">
            <w:r>
              <w:rPr/>
              <w:t>DECLARATION</w:t>
              <w:tab/>
              <w:t>iii</w:t>
            </w:r>
          </w:hyperlink>
        </w:p>
        <w:p>
          <w:pPr>
            <w:pStyle w:val="TOC1"/>
            <w:tabs>
              <w:tab w:pos="8961" w:val="right" w:leader="dot"/>
            </w:tabs>
          </w:pPr>
          <w:hyperlink w:history="true" w:anchor="_TOC_250104">
            <w:r>
              <w:rPr/>
              <w:t>CERTIFICATION</w:t>
              <w:tab/>
              <w:t>iv</w:t>
            </w:r>
          </w:hyperlink>
        </w:p>
        <w:p>
          <w:pPr>
            <w:pStyle w:val="TOC1"/>
            <w:tabs>
              <w:tab w:pos="8960" w:val="right" w:leader="dot"/>
            </w:tabs>
            <w:spacing w:before="140"/>
          </w:pPr>
          <w:hyperlink w:history="true" w:anchor="_TOC_250103">
            <w:r>
              <w:rPr/>
              <w:t>DEDICATION</w:t>
              <w:tab/>
              <w:t>v</w:t>
            </w:r>
          </w:hyperlink>
        </w:p>
        <w:p>
          <w:pPr>
            <w:pStyle w:val="TOC1"/>
            <w:tabs>
              <w:tab w:pos="8960" w:val="right" w:leader="dot"/>
            </w:tabs>
            <w:spacing w:before="136"/>
          </w:pPr>
          <w:hyperlink w:history="true" w:anchor="_TOC_250102">
            <w:r>
              <w:rPr/>
              <w:t>ACKNOWLEDGEMENT</w:t>
              <w:tab/>
              <w:t>vi</w:t>
            </w:r>
          </w:hyperlink>
        </w:p>
        <w:p>
          <w:pPr>
            <w:pStyle w:val="TOC1"/>
            <w:tabs>
              <w:tab w:pos="8959" w:val="right" w:leader="dot"/>
            </w:tabs>
            <w:spacing w:before="140"/>
          </w:pPr>
          <w:hyperlink w:history="true" w:anchor="_TOC_250101">
            <w:r>
              <w:rPr/>
              <w:t>ABSTRACT</w:t>
              <w:tab/>
              <w:t>vii</w:t>
            </w:r>
          </w:hyperlink>
        </w:p>
        <w:p>
          <w:pPr>
            <w:pStyle w:val="TOC1"/>
            <w:tabs>
              <w:tab w:pos="8961" w:val="right" w:leader="dot"/>
            </w:tabs>
            <w:spacing w:before="136"/>
          </w:pPr>
          <w:hyperlink w:history="true" w:anchor="_TOC_250100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ix</w:t>
            </w:r>
          </w:hyperlink>
        </w:p>
        <w:p>
          <w:pPr>
            <w:pStyle w:val="TOC1"/>
            <w:tabs>
              <w:tab w:pos="8962" w:val="right" w:leader="dot"/>
            </w:tabs>
            <w:spacing w:before="140"/>
          </w:pPr>
          <w:hyperlink w:history="true" w:anchor="_TOC_250099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FIGURES</w:t>
              <w:tab/>
              <w:t>xiii</w:t>
            </w:r>
          </w:hyperlink>
        </w:p>
        <w:p>
          <w:pPr>
            <w:pStyle w:val="TOC1"/>
            <w:tabs>
              <w:tab w:pos="8965" w:val="right" w:leader="dot"/>
            </w:tabs>
          </w:pPr>
          <w:hyperlink w:history="true" w:anchor="_TOC_250098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TABLES</w:t>
              <w:tab/>
              <w:t>xv</w:t>
            </w:r>
          </w:hyperlink>
        </w:p>
        <w:p>
          <w:pPr>
            <w:pStyle w:val="TOC1"/>
            <w:tabs>
              <w:tab w:pos="8962" w:val="right" w:leader="dot"/>
            </w:tabs>
            <w:spacing w:before="139"/>
          </w:pPr>
          <w:hyperlink w:history="true" w:anchor="_TOC_250097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PLATES</w:t>
              <w:tab/>
              <w:t>xvi</w:t>
            </w:r>
          </w:hyperlink>
        </w:p>
        <w:p>
          <w:pPr>
            <w:pStyle w:val="TOC1"/>
            <w:tabs>
              <w:tab w:pos="8961" w:val="right" w:leader="dot"/>
            </w:tabs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APPENDICES</w:t>
            <w:tab/>
            <w:t>xvii</w:t>
          </w:r>
        </w:p>
        <w:p>
          <w:pPr>
            <w:pStyle w:val="TOC1"/>
            <w:tabs>
              <w:tab w:pos="8962" w:val="right" w:leader="dot"/>
            </w:tabs>
            <w:spacing w:before="139"/>
          </w:pPr>
          <w:hyperlink w:history="true" w:anchor="_TOC_250096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ABBREVIATIONS</w:t>
              <w:tab/>
              <w:t>xviii</w:t>
            </w:r>
          </w:hyperlink>
        </w:p>
        <w:p>
          <w:pPr>
            <w:pStyle w:val="TOC1"/>
            <w:tabs>
              <w:tab w:pos="8960" w:val="right" w:leader="dot"/>
            </w:tabs>
          </w:pPr>
          <w:hyperlink w:history="true" w:anchor="_TOC_250095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ONE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125" w:val="left" w:leader="none"/>
              <w:tab w:pos="1126" w:val="left" w:leader="none"/>
              <w:tab w:pos="8960" w:val="right" w:leader="dot"/>
            </w:tabs>
            <w:spacing w:line="240" w:lineRule="auto" w:before="139" w:after="0"/>
            <w:ind w:left="1125" w:right="0" w:hanging="661"/>
            <w:jc w:val="left"/>
          </w:pPr>
          <w:hyperlink w:history="true" w:anchor="_TOC_250094">
            <w:r>
              <w:rPr/>
              <w:t>INTRODUCTION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45" w:val="left" w:leader="none"/>
              <w:tab w:pos="1346" w:val="left" w:leader="none"/>
              <w:tab w:pos="8960" w:val="right" w:leader="dot"/>
            </w:tabs>
            <w:spacing w:line="240" w:lineRule="auto" w:before="257" w:after="0"/>
            <w:ind w:left="1346" w:right="0" w:hanging="641"/>
            <w:jc w:val="left"/>
          </w:pPr>
          <w:hyperlink w:history="true" w:anchor="_TOC_250093">
            <w:r>
              <w:rPr/>
              <w:t>Solid</w:t>
            </w:r>
            <w:r>
              <w:rPr>
                <w:spacing w:val="-1"/>
              </w:rPr>
              <w:t> </w:t>
            </w:r>
            <w:r>
              <w:rPr/>
              <w:t>Dosage</w:t>
            </w:r>
            <w:r>
              <w:rPr>
                <w:spacing w:val="1"/>
              </w:rPr>
              <w:t> </w:t>
            </w:r>
            <w:r>
              <w:rPr/>
              <w:t>Forms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45" w:val="left" w:leader="none"/>
              <w:tab w:pos="1346" w:val="left" w:leader="none"/>
              <w:tab w:pos="8960" w:val="right" w:leader="dot"/>
            </w:tabs>
            <w:spacing w:line="240" w:lineRule="auto" w:before="257" w:after="0"/>
            <w:ind w:left="1346" w:right="0" w:hanging="641"/>
            <w:jc w:val="left"/>
          </w:pPr>
          <w:hyperlink w:history="true" w:anchor="_TOC_250092">
            <w:r>
              <w:rPr/>
              <w:t>Excipients</w:t>
              <w:tab/>
              <w:t>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85" w:val="left" w:leader="none"/>
              <w:tab w:pos="1786" w:val="left" w:leader="none"/>
              <w:tab w:pos="8960" w:val="right" w:leader="dot"/>
            </w:tabs>
            <w:spacing w:line="240" w:lineRule="auto" w:before="240" w:after="0"/>
            <w:ind w:left="1785" w:right="0" w:hanging="839"/>
            <w:jc w:val="left"/>
          </w:pPr>
          <w:hyperlink w:history="true" w:anchor="_TOC_250091">
            <w:r>
              <w:rPr/>
              <w:t>Types</w:t>
            </w:r>
            <w:r>
              <w:rPr>
                <w:spacing w:val="-1"/>
              </w:rPr>
              <w:t> </w:t>
            </w:r>
            <w:r>
              <w:rPr/>
              <w:t>of excipients</w:t>
              <w:tab/>
              <w:t>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85" w:val="left" w:leader="none"/>
              <w:tab w:pos="1786" w:val="left" w:leader="none"/>
              <w:tab w:pos="8960" w:val="right" w:leader="dot"/>
            </w:tabs>
            <w:spacing w:line="240" w:lineRule="auto" w:before="137" w:after="0"/>
            <w:ind w:left="1785" w:right="0" w:hanging="839"/>
            <w:jc w:val="left"/>
          </w:pPr>
          <w:hyperlink w:history="true" w:anchor="_TOC_250090">
            <w:r>
              <w:rPr/>
              <w:t>Functionality</w:t>
            </w:r>
            <w:r>
              <w:rPr>
                <w:spacing w:val="-5"/>
              </w:rPr>
              <w:t> </w:t>
            </w:r>
            <w:r>
              <w:rPr/>
              <w:t>of an excipient</w:t>
              <w:tab/>
              <w:t>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85" w:val="left" w:leader="none"/>
              <w:tab w:pos="1786" w:val="left" w:leader="none"/>
              <w:tab w:pos="8960" w:val="right" w:leader="dot"/>
            </w:tabs>
            <w:spacing w:line="240" w:lineRule="auto" w:before="139" w:after="0"/>
            <w:ind w:left="1785" w:right="0" w:hanging="839"/>
            <w:jc w:val="left"/>
          </w:pPr>
          <w:hyperlink w:history="true" w:anchor="_TOC_250089">
            <w:r>
              <w:rPr/>
              <w:t>Powder</w:t>
            </w:r>
            <w:r>
              <w:rPr>
                <w:spacing w:val="-1"/>
              </w:rPr>
              <w:t> </w:t>
            </w:r>
            <w:r>
              <w:rPr/>
              <w:t>compaction and particle</w:t>
            </w:r>
            <w:r>
              <w:rPr>
                <w:spacing w:val="-2"/>
              </w:rPr>
              <w:t> </w:t>
            </w:r>
            <w:r>
              <w:rPr/>
              <w:t>bonding</w:t>
            </w:r>
            <w:r>
              <w:rPr>
                <w:spacing w:val="-3"/>
              </w:rPr>
              <w:t> </w:t>
            </w:r>
            <w:r>
              <w:rPr/>
              <w:t>process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45" w:val="left" w:leader="none"/>
              <w:tab w:pos="1346" w:val="left" w:leader="none"/>
              <w:tab w:pos="8960" w:val="right" w:leader="dot"/>
            </w:tabs>
            <w:spacing w:line="240" w:lineRule="auto" w:before="257" w:after="0"/>
            <w:ind w:left="1346" w:right="0" w:hanging="641"/>
            <w:jc w:val="left"/>
          </w:pPr>
          <w:hyperlink w:history="true" w:anchor="_TOC_250088">
            <w:r>
              <w:rPr/>
              <w:t>Tableting</w:t>
            </w:r>
            <w:r>
              <w:rPr>
                <w:spacing w:val="-3"/>
              </w:rPr>
              <w:t> </w:t>
            </w:r>
            <w:r>
              <w:rPr/>
              <w:t>Methods</w:t>
              <w:tab/>
              <w:t>13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85" w:val="left" w:leader="none"/>
              <w:tab w:pos="1786" w:val="left" w:leader="none"/>
              <w:tab w:pos="8960" w:val="right" w:leader="dot"/>
            </w:tabs>
            <w:spacing w:line="240" w:lineRule="auto" w:before="238" w:after="0"/>
            <w:ind w:left="1785" w:right="0" w:hanging="839"/>
            <w:jc w:val="left"/>
          </w:pPr>
          <w:hyperlink w:history="true" w:anchor="_TOC_250087">
            <w:r>
              <w:rPr/>
              <w:t>Wet</w:t>
            </w:r>
            <w:r>
              <w:rPr>
                <w:spacing w:val="-1"/>
              </w:rPr>
              <w:t> </w:t>
            </w:r>
            <w:r>
              <w:rPr/>
              <w:t>granulation</w:t>
              <w:tab/>
              <w:t>13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85" w:val="left" w:leader="none"/>
              <w:tab w:pos="1786" w:val="left" w:leader="none"/>
              <w:tab w:pos="8960" w:val="right" w:leader="dot"/>
            </w:tabs>
            <w:spacing w:line="240" w:lineRule="auto" w:before="139" w:after="0"/>
            <w:ind w:left="1785" w:right="0" w:hanging="839"/>
            <w:jc w:val="left"/>
          </w:pPr>
          <w:hyperlink w:history="true" w:anchor="_TOC_250086">
            <w:r>
              <w:rPr/>
              <w:t>Dry</w:t>
            </w:r>
            <w:r>
              <w:rPr>
                <w:spacing w:val="-4"/>
              </w:rPr>
              <w:t> </w:t>
            </w:r>
            <w:r>
              <w:rPr/>
              <w:t>granulation</w:t>
              <w:tab/>
              <w:t>13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85" w:val="left" w:leader="none"/>
              <w:tab w:pos="1786" w:val="left" w:leader="none"/>
              <w:tab w:pos="8960" w:val="right" w:leader="dot"/>
            </w:tabs>
            <w:spacing w:line="240" w:lineRule="auto" w:before="137" w:after="0"/>
            <w:ind w:left="1785" w:right="0" w:hanging="839"/>
            <w:jc w:val="left"/>
          </w:pPr>
          <w:hyperlink w:history="true" w:anchor="_TOC_250085">
            <w:r>
              <w:rPr/>
              <w:t>Direct</w:t>
            </w:r>
            <w:r>
              <w:rPr>
                <w:spacing w:val="-1"/>
              </w:rPr>
              <w:t> </w:t>
            </w:r>
            <w:r>
              <w:rPr/>
              <w:t>compression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45" w:val="left" w:leader="none"/>
              <w:tab w:pos="1346" w:val="left" w:leader="none"/>
              <w:tab w:pos="8960" w:val="right" w:leader="dot"/>
            </w:tabs>
            <w:spacing w:line="240" w:lineRule="auto" w:before="260" w:after="0"/>
            <w:ind w:left="1346" w:right="0" w:hanging="641"/>
            <w:jc w:val="left"/>
          </w:pPr>
          <w:hyperlink w:history="true" w:anchor="_TOC_250084">
            <w:r>
              <w:rPr/>
              <w:t>Co-processing</w:t>
              <w:tab/>
              <w:t>18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45" w:val="left" w:leader="none"/>
              <w:tab w:pos="1346" w:val="left" w:leader="none"/>
              <w:tab w:pos="8960" w:val="right" w:leader="dot"/>
            </w:tabs>
            <w:spacing w:line="240" w:lineRule="auto" w:before="257" w:after="0"/>
            <w:ind w:left="1346" w:right="0" w:hanging="641"/>
            <w:jc w:val="left"/>
          </w:pPr>
          <w:hyperlink w:history="true" w:anchor="_TOC_250083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Research Problem</w:t>
              <w:tab/>
              <w:t>18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45" w:val="left" w:leader="none"/>
              <w:tab w:pos="1346" w:val="left" w:leader="none"/>
              <w:tab w:pos="8960" w:val="right" w:leader="dot"/>
            </w:tabs>
            <w:spacing w:line="240" w:lineRule="auto" w:before="256" w:after="0"/>
            <w:ind w:left="1346" w:right="0" w:hanging="641"/>
            <w:jc w:val="left"/>
          </w:pPr>
          <w:hyperlink w:history="true" w:anchor="_TOC_250082">
            <w:r>
              <w:rPr/>
              <w:t>Justification</w:t>
            </w:r>
            <w:r>
              <w:rPr>
                <w:spacing w:val="-1"/>
              </w:rPr>
              <w:t> </w:t>
            </w:r>
            <w:r>
              <w:rPr/>
              <w:t>for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20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45" w:val="left" w:leader="none"/>
              <w:tab w:pos="1346" w:val="left" w:leader="none"/>
              <w:tab w:pos="8960" w:val="right" w:leader="dot"/>
            </w:tabs>
            <w:spacing w:line="240" w:lineRule="auto" w:before="260" w:after="0"/>
            <w:ind w:left="1346" w:right="0" w:hanging="641"/>
            <w:jc w:val="left"/>
          </w:pPr>
          <w:hyperlink w:history="true" w:anchor="_TOC_250081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 Objectives</w:t>
              <w:tab/>
              <w:t>21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85" w:val="left" w:leader="none"/>
              <w:tab w:pos="1786" w:val="left" w:leader="none"/>
              <w:tab w:pos="8960" w:val="right" w:leader="dot"/>
            </w:tabs>
            <w:spacing w:line="240" w:lineRule="auto" w:before="237" w:after="0"/>
            <w:ind w:left="1785" w:right="0" w:hanging="839"/>
            <w:jc w:val="left"/>
          </w:pPr>
          <w:hyperlink w:history="true" w:anchor="_TOC_250080">
            <w:r>
              <w:rPr/>
              <w:t>Aim</w:t>
              <w:tab/>
              <w:t>21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85" w:val="left" w:leader="none"/>
              <w:tab w:pos="1786" w:val="left" w:leader="none"/>
              <w:tab w:pos="8960" w:val="right" w:leader="dot"/>
            </w:tabs>
            <w:spacing w:line="240" w:lineRule="auto" w:before="139" w:after="0"/>
            <w:ind w:left="1785" w:right="0" w:hanging="839"/>
            <w:jc w:val="left"/>
          </w:pPr>
          <w:hyperlink w:history="true" w:anchor="_TOC_250079">
            <w:r>
              <w:rPr/>
              <w:t>Objectives</w:t>
              <w:tab/>
              <w:t>21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45" w:val="left" w:leader="none"/>
              <w:tab w:pos="1346" w:val="left" w:leader="none"/>
              <w:tab w:pos="8960" w:val="right" w:leader="dot"/>
            </w:tabs>
            <w:spacing w:line="240" w:lineRule="auto" w:before="258" w:after="176"/>
            <w:ind w:left="1346" w:right="0" w:hanging="641"/>
            <w:jc w:val="left"/>
          </w:pPr>
          <w:hyperlink w:history="true" w:anchor="_TOC_250078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Hypothesis</w:t>
              <w:tab/>
              <w:t>22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85" w:val="left" w:leader="none"/>
              <w:tab w:pos="1786" w:val="left" w:leader="none"/>
              <w:tab w:pos="8960" w:val="right" w:leader="dot"/>
            </w:tabs>
            <w:spacing w:line="240" w:lineRule="auto" w:before="74" w:after="0"/>
            <w:ind w:left="1785" w:right="0" w:hanging="839"/>
            <w:jc w:val="left"/>
          </w:pPr>
          <w:hyperlink w:history="true" w:anchor="_TOC_250077">
            <w:r>
              <w:rPr/>
              <w:t>Null</w:t>
            </w:r>
            <w:r>
              <w:rPr>
                <w:spacing w:val="-1"/>
              </w:rPr>
              <w:t> </w:t>
            </w:r>
            <w:r>
              <w:rPr/>
              <w:t>Hypothesis (H</w:t>
            </w:r>
            <w:r>
              <w:rPr>
                <w:vertAlign w:val="subscript"/>
              </w:rPr>
              <w:t>0</w:t>
            </w:r>
            <w:r>
              <w:rPr>
                <w:vertAlign w:val="baseline"/>
              </w:rPr>
              <w:t>)</w:t>
              <w:tab/>
              <w:t>22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85" w:val="left" w:leader="none"/>
              <w:tab w:pos="1786" w:val="left" w:leader="none"/>
              <w:tab w:pos="8960" w:val="right" w:leader="dot"/>
            </w:tabs>
            <w:spacing w:line="240" w:lineRule="auto" w:before="137" w:after="0"/>
            <w:ind w:left="1785" w:right="0" w:hanging="839"/>
            <w:jc w:val="left"/>
          </w:pPr>
          <w:hyperlink w:history="true" w:anchor="_TOC_250076">
            <w:r>
              <w:rPr/>
              <w:t>Alternate</w:t>
            </w:r>
            <w:r>
              <w:rPr>
                <w:spacing w:val="-1"/>
              </w:rPr>
              <w:t> </w:t>
            </w:r>
            <w:r>
              <w:rPr/>
              <w:t>Hypothesis (H</w:t>
            </w:r>
            <w:r>
              <w:rPr>
                <w:vertAlign w:val="subscript"/>
              </w:rPr>
              <w:t>a</w:t>
            </w:r>
            <w:r>
              <w:rPr>
                <w:vertAlign w:val="baseline"/>
              </w:rPr>
              <w:t>)</w:t>
              <w:tab/>
              <w:t>22</w:t>
            </w:r>
          </w:hyperlink>
        </w:p>
        <w:p>
          <w:pPr>
            <w:pStyle w:val="TOC1"/>
            <w:tabs>
              <w:tab w:pos="8960" w:val="right" w:leader="dot"/>
            </w:tabs>
            <w:spacing w:before="139"/>
          </w:pPr>
          <w:hyperlink w:history="true" w:anchor="_TOC_250075">
            <w:r>
              <w:rPr/>
              <w:t>CHAPTER TWO</w:t>
              <w:tab/>
              <w:t>23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125" w:val="left" w:leader="none"/>
              <w:tab w:pos="1126" w:val="left" w:leader="none"/>
              <w:tab w:pos="8960" w:val="right" w:leader="dot"/>
            </w:tabs>
            <w:spacing w:line="240" w:lineRule="auto" w:before="137" w:after="0"/>
            <w:ind w:left="1125" w:right="0" w:hanging="661"/>
            <w:jc w:val="left"/>
          </w:pPr>
          <w:hyperlink w:history="true" w:anchor="_TOC_250074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  <w:t>23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45" w:val="left" w:leader="none"/>
              <w:tab w:pos="1346" w:val="left" w:leader="none"/>
              <w:tab w:pos="8960" w:val="right" w:leader="dot"/>
            </w:tabs>
            <w:spacing w:line="240" w:lineRule="auto" w:before="260" w:after="0"/>
            <w:ind w:left="1346" w:right="0" w:hanging="641"/>
            <w:jc w:val="left"/>
          </w:pPr>
          <w:hyperlink w:history="true" w:anchor="_TOC_250073">
            <w:r>
              <w:rPr/>
              <w:t>Development</w:t>
            </w:r>
            <w:r>
              <w:rPr>
                <w:spacing w:val="-1"/>
              </w:rPr>
              <w:t> </w:t>
            </w:r>
            <w:r>
              <w:rPr/>
              <w:t>of novel</w:t>
            </w:r>
            <w:r>
              <w:rPr>
                <w:spacing w:val="2"/>
              </w:rPr>
              <w:t> </w:t>
            </w:r>
            <w:r>
              <w:rPr/>
              <w:t>excipients</w:t>
              <w:tab/>
              <w:t>23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45" w:val="left" w:leader="none"/>
              <w:tab w:pos="1346" w:val="left" w:leader="none"/>
              <w:tab w:pos="8960" w:val="right" w:leader="dot"/>
            </w:tabs>
            <w:spacing w:line="240" w:lineRule="auto" w:before="256" w:after="0"/>
            <w:ind w:left="1346" w:right="0" w:hanging="641"/>
            <w:jc w:val="left"/>
          </w:pPr>
          <w:hyperlink w:history="true" w:anchor="_TOC_250072">
            <w:r>
              <w:rPr/>
              <w:t>Sources</w:t>
            </w:r>
            <w:r>
              <w:rPr>
                <w:spacing w:val="-1"/>
              </w:rPr>
              <w:t> </w:t>
            </w:r>
            <w:r>
              <w:rPr/>
              <w:t>of novel</w:t>
            </w:r>
            <w:r>
              <w:rPr>
                <w:spacing w:val="2"/>
              </w:rPr>
              <w:t> </w:t>
            </w:r>
            <w:r>
              <w:rPr/>
              <w:t>excipients</w:t>
              <w:tab/>
              <w:t>24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785" w:val="left" w:leader="none"/>
              <w:tab w:pos="1786" w:val="left" w:leader="none"/>
              <w:tab w:pos="8960" w:val="right" w:leader="dot"/>
            </w:tabs>
            <w:spacing w:line="240" w:lineRule="auto" w:before="238" w:after="0"/>
            <w:ind w:left="1785" w:right="0" w:hanging="839"/>
            <w:jc w:val="left"/>
          </w:pPr>
          <w:hyperlink w:history="true" w:anchor="_TOC_250071">
            <w:r>
              <w:rPr/>
              <w:t>Particle</w:t>
            </w:r>
            <w:r>
              <w:rPr>
                <w:spacing w:val="-3"/>
              </w:rPr>
              <w:t> </w:t>
            </w:r>
            <w:r>
              <w:rPr/>
              <w:t>engineering</w:t>
            </w:r>
            <w:r>
              <w:rPr>
                <w:spacing w:val="-3"/>
              </w:rPr>
              <w:t> </w:t>
            </w:r>
            <w:r>
              <w:rPr/>
              <w:t>as a</w:t>
            </w:r>
            <w:r>
              <w:rPr>
                <w:spacing w:val="1"/>
              </w:rPr>
              <w:t> </w:t>
            </w:r>
            <w:r>
              <w:rPr/>
              <w:t>source</w:t>
            </w:r>
            <w:r>
              <w:rPr>
                <w:spacing w:val="-1"/>
              </w:rPr>
              <w:t> </w:t>
            </w:r>
            <w:r>
              <w:rPr/>
              <w:t>of new</w:t>
            </w:r>
            <w:r>
              <w:rPr>
                <w:spacing w:val="-1"/>
              </w:rPr>
              <w:t> </w:t>
            </w:r>
            <w:r>
              <w:rPr/>
              <w:t>excipients</w:t>
              <w:tab/>
              <w:t>26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785" w:val="left" w:leader="none"/>
              <w:tab w:pos="1786" w:val="left" w:leader="none"/>
              <w:tab w:pos="8960" w:val="right" w:leader="dot"/>
            </w:tabs>
            <w:spacing w:line="240" w:lineRule="auto" w:before="139" w:after="0"/>
            <w:ind w:left="1785" w:right="0" w:hanging="839"/>
            <w:jc w:val="left"/>
          </w:pPr>
          <w:hyperlink w:history="true" w:anchor="_TOC_250070">
            <w:r>
              <w:rPr/>
              <w:t>Co-processing</w:t>
            </w:r>
            <w:r>
              <w:rPr>
                <w:spacing w:val="-4"/>
              </w:rPr>
              <w:t> </w:t>
            </w:r>
            <w:r>
              <w:rPr/>
              <w:t>as a tool for</w:t>
            </w:r>
            <w:r>
              <w:rPr>
                <w:spacing w:val="-1"/>
              </w:rPr>
              <w:t> </w:t>
            </w:r>
            <w:r>
              <w:rPr/>
              <w:t>developing</w:t>
            </w:r>
            <w:r>
              <w:rPr>
                <w:spacing w:val="-3"/>
              </w:rPr>
              <w:t> </w:t>
            </w:r>
            <w:r>
              <w:rPr/>
              <w:t>novel excipients</w:t>
              <w:tab/>
              <w:t>29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45" w:val="left" w:leader="none"/>
              <w:tab w:pos="1346" w:val="left" w:leader="none"/>
              <w:tab w:pos="8960" w:val="right" w:leader="dot"/>
            </w:tabs>
            <w:spacing w:line="240" w:lineRule="auto" w:before="258" w:after="0"/>
            <w:ind w:left="1346" w:right="0" w:hanging="641"/>
            <w:jc w:val="left"/>
          </w:pPr>
          <w:hyperlink w:history="true" w:anchor="_TOC_250069">
            <w:r>
              <w:rPr/>
              <w:t>Role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material science</w:t>
            </w:r>
            <w:r>
              <w:rPr>
                <w:spacing w:val="-1"/>
              </w:rPr>
              <w:t> </w:t>
            </w:r>
            <w:r>
              <w:rPr/>
              <w:t>in co-processing</w:t>
              <w:tab/>
              <w:t>31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45" w:val="left" w:leader="none"/>
              <w:tab w:pos="1346" w:val="left" w:leader="none"/>
              <w:tab w:pos="8960" w:val="right" w:leader="dot"/>
            </w:tabs>
            <w:spacing w:line="240" w:lineRule="auto" w:before="259" w:after="0"/>
            <w:ind w:left="1346" w:right="0" w:hanging="641"/>
            <w:jc w:val="left"/>
          </w:pPr>
          <w:hyperlink w:history="true" w:anchor="_TOC_250068">
            <w:r>
              <w:rPr/>
              <w:t>Methods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Co-processing</w:t>
              <w:tab/>
              <w:t>33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45" w:val="left" w:leader="none"/>
              <w:tab w:pos="1346" w:val="left" w:leader="none"/>
              <w:tab w:pos="8960" w:val="right" w:leader="dot"/>
            </w:tabs>
            <w:spacing w:line="240" w:lineRule="auto" w:before="257" w:after="0"/>
            <w:ind w:left="1346" w:right="0" w:hanging="641"/>
            <w:jc w:val="left"/>
          </w:pPr>
          <w:hyperlink w:history="true" w:anchor="_TOC_250067">
            <w:r>
              <w:rPr/>
              <w:t>Advantages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co-processed excipients</w:t>
              <w:tab/>
              <w:t>34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45" w:val="left" w:leader="none"/>
              <w:tab w:pos="1346" w:val="left" w:leader="none"/>
              <w:tab w:pos="8960" w:val="right" w:leader="dot"/>
            </w:tabs>
            <w:spacing w:line="240" w:lineRule="auto" w:before="259" w:after="0"/>
            <w:ind w:left="1346" w:right="0" w:hanging="641"/>
            <w:jc w:val="left"/>
          </w:pPr>
          <w:hyperlink w:history="true" w:anchor="_TOC_250066">
            <w:r>
              <w:rPr/>
              <w:t>Co-processed excipients for</w:t>
            </w:r>
            <w:r>
              <w:rPr>
                <w:spacing w:val="-1"/>
              </w:rPr>
              <w:t> </w:t>
            </w:r>
            <w:r>
              <w:rPr/>
              <w:t>direct</w:t>
            </w:r>
            <w:r>
              <w:rPr>
                <w:spacing w:val="2"/>
              </w:rPr>
              <w:t> </w:t>
            </w:r>
            <w:r>
              <w:rPr/>
              <w:t>compression</w:t>
              <w:tab/>
              <w:t>37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785" w:val="left" w:leader="none"/>
              <w:tab w:pos="1786" w:val="left" w:leader="none"/>
              <w:tab w:pos="8960" w:val="right" w:leader="dot"/>
            </w:tabs>
            <w:spacing w:line="240" w:lineRule="auto" w:before="238" w:after="0"/>
            <w:ind w:left="1785" w:right="0" w:hanging="839"/>
            <w:jc w:val="left"/>
          </w:pPr>
          <w:hyperlink w:history="true" w:anchor="_TOC_250065">
            <w:r>
              <w:rPr/>
              <w:t>Lactose-based</w:t>
            </w:r>
            <w:r>
              <w:rPr>
                <w:spacing w:val="-1"/>
              </w:rPr>
              <w:t> </w:t>
            </w:r>
            <w:r>
              <w:rPr/>
              <w:t>excipients</w:t>
              <w:tab/>
              <w:t>38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785" w:val="left" w:leader="none"/>
              <w:tab w:pos="1786" w:val="left" w:leader="none"/>
              <w:tab w:pos="8960" w:val="right" w:leader="dot"/>
            </w:tabs>
            <w:spacing w:line="240" w:lineRule="auto" w:before="136" w:after="0"/>
            <w:ind w:left="1785" w:right="0" w:hanging="839"/>
            <w:jc w:val="left"/>
          </w:pPr>
          <w:hyperlink w:history="true" w:anchor="_TOC_250064">
            <w:r>
              <w:rPr/>
              <w:t>Cellulose-based</w:t>
            </w:r>
            <w:r>
              <w:rPr>
                <w:spacing w:val="-1"/>
              </w:rPr>
              <w:t> </w:t>
            </w:r>
            <w:r>
              <w:rPr/>
              <w:t>excipients</w:t>
              <w:tab/>
              <w:t>45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45" w:val="left" w:leader="none"/>
              <w:tab w:pos="1346" w:val="left" w:leader="none"/>
              <w:tab w:pos="8960" w:val="right" w:leader="dot"/>
            </w:tabs>
            <w:spacing w:line="240" w:lineRule="auto" w:before="260" w:after="0"/>
            <w:ind w:left="1346" w:right="0" w:hanging="641"/>
            <w:jc w:val="left"/>
          </w:pPr>
          <w:hyperlink w:history="true" w:anchor="_TOC_250063">
            <w:r>
              <w:rPr/>
              <w:t>Studies</w:t>
            </w:r>
            <w:r>
              <w:rPr>
                <w:spacing w:val="-1"/>
              </w:rPr>
              <w:t> </w:t>
            </w:r>
            <w:r>
              <w:rPr/>
              <w:t>carried out</w:t>
            </w:r>
            <w:r>
              <w:rPr>
                <w:spacing w:val="-1"/>
              </w:rPr>
              <w:t> </w:t>
            </w:r>
            <w:r>
              <w:rPr/>
              <w:t>on other investigational</w:t>
            </w:r>
            <w:r>
              <w:rPr>
                <w:spacing w:val="-1"/>
              </w:rPr>
              <w:t> </w:t>
            </w:r>
            <w:r>
              <w:rPr/>
              <w:t>co-processed excipients</w:t>
              <w:tab/>
              <w:t>47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45" w:val="left" w:leader="none"/>
              <w:tab w:pos="1346" w:val="left" w:leader="none"/>
              <w:tab w:pos="8960" w:val="right" w:leader="dot"/>
            </w:tabs>
            <w:spacing w:line="240" w:lineRule="auto" w:before="257" w:after="0"/>
            <w:ind w:left="1346" w:right="0" w:hanging="641"/>
            <w:jc w:val="left"/>
          </w:pPr>
          <w:hyperlink w:history="true" w:anchor="_TOC_250062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output on starch-based co-processed excipients</w:t>
              <w:tab/>
              <w:t>49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45" w:val="left" w:leader="none"/>
              <w:tab w:pos="1346" w:val="left" w:leader="none"/>
              <w:tab w:pos="8960" w:val="right" w:leader="dot"/>
            </w:tabs>
            <w:spacing w:line="240" w:lineRule="auto" w:before="259" w:after="0"/>
            <w:ind w:left="1346" w:right="0" w:hanging="641"/>
            <w:jc w:val="left"/>
          </w:pPr>
          <w:hyperlink w:history="true" w:anchor="_TOC_250061">
            <w:r>
              <w:rPr/>
              <w:t>Constituent</w:t>
            </w:r>
            <w:r>
              <w:rPr>
                <w:spacing w:val="-1"/>
              </w:rPr>
              <w:t> </w:t>
            </w:r>
            <w:r>
              <w:rPr/>
              <w:t>excipients for co-processing</w:t>
              <w:tab/>
              <w:t>52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785" w:val="left" w:leader="none"/>
              <w:tab w:pos="1786" w:val="left" w:leader="none"/>
              <w:tab w:pos="8960" w:val="right" w:leader="dot"/>
            </w:tabs>
            <w:spacing w:line="240" w:lineRule="auto" w:before="238" w:after="0"/>
            <w:ind w:left="1785" w:right="0" w:hanging="839"/>
            <w:jc w:val="left"/>
          </w:pPr>
          <w:hyperlink w:history="true" w:anchor="_TOC_250060">
            <w:r>
              <w:rPr/>
              <w:t>Starch</w:t>
              <w:tab/>
              <w:t>52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785" w:val="left" w:leader="none"/>
              <w:tab w:pos="1786" w:val="left" w:leader="none"/>
              <w:tab w:pos="8960" w:val="right" w:leader="dot"/>
            </w:tabs>
            <w:spacing w:line="240" w:lineRule="auto" w:before="139" w:after="0"/>
            <w:ind w:left="1785" w:right="0" w:hanging="839"/>
            <w:jc w:val="left"/>
          </w:pPr>
          <w:hyperlink w:history="true" w:anchor="_TOC_250059">
            <w:r>
              <w:rPr/>
              <w:t>Cassava</w:t>
            </w:r>
            <w:r>
              <w:rPr>
                <w:spacing w:val="-3"/>
              </w:rPr>
              <w:t> </w:t>
            </w:r>
            <w:r>
              <w:rPr/>
              <w:t>starch</w:t>
              <w:tab/>
              <w:t>55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785" w:val="left" w:leader="none"/>
              <w:tab w:pos="1786" w:val="left" w:leader="none"/>
              <w:tab w:pos="8960" w:val="right" w:leader="dot"/>
            </w:tabs>
            <w:spacing w:line="240" w:lineRule="auto" w:before="137" w:after="0"/>
            <w:ind w:left="1785" w:right="0" w:hanging="839"/>
            <w:jc w:val="left"/>
          </w:pPr>
          <w:hyperlink w:history="true" w:anchor="_TOC_250058">
            <w:r>
              <w:rPr/>
              <w:t>Colloidal</w:t>
            </w:r>
            <w:r>
              <w:rPr>
                <w:spacing w:val="-1"/>
              </w:rPr>
              <w:t> </w:t>
            </w:r>
            <w:r>
              <w:rPr/>
              <w:t>silicon dioxide</w:t>
              <w:tab/>
              <w:t>57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785" w:val="left" w:leader="none"/>
              <w:tab w:pos="1786" w:val="left" w:leader="none"/>
              <w:tab w:pos="8960" w:val="right" w:leader="dot"/>
            </w:tabs>
            <w:spacing w:line="240" w:lineRule="auto" w:before="139" w:after="0"/>
            <w:ind w:left="1785" w:right="0" w:hanging="839"/>
            <w:jc w:val="left"/>
          </w:pPr>
          <w:hyperlink w:history="true" w:anchor="_TOC_250057">
            <w:r>
              <w:rPr/>
              <w:t>Gelatin</w:t>
              <w:tab/>
              <w:t>61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785" w:val="left" w:leader="none"/>
              <w:tab w:pos="1786" w:val="left" w:leader="none"/>
              <w:tab w:pos="8960" w:val="right" w:leader="dot"/>
            </w:tabs>
            <w:spacing w:line="240" w:lineRule="auto" w:before="137" w:after="0"/>
            <w:ind w:left="1785" w:right="0" w:hanging="839"/>
            <w:jc w:val="left"/>
          </w:pPr>
          <w:hyperlink w:history="true" w:anchor="_TOC_250056">
            <w:r>
              <w:rPr/>
              <w:t>Ibuprofen</w:t>
              <w:tab/>
              <w:t>65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64" w:val="left" w:leader="none"/>
              <w:tab w:pos="1565" w:val="left" w:leader="none"/>
              <w:tab w:pos="8960" w:val="right" w:leader="dot"/>
            </w:tabs>
            <w:spacing w:line="240" w:lineRule="auto" w:before="260" w:after="0"/>
            <w:ind w:left="1564" w:right="0" w:hanging="860"/>
            <w:jc w:val="left"/>
          </w:pPr>
          <w:hyperlink w:history="true" w:anchor="_TOC_250055">
            <w:r>
              <w:rPr/>
              <w:t>Pharmaceutical</w:t>
            </w:r>
            <w:r>
              <w:rPr>
                <w:spacing w:val="-1"/>
              </w:rPr>
              <w:t> </w:t>
            </w:r>
            <w:r>
              <w:rPr/>
              <w:t>Quality</w:t>
            </w:r>
            <w:r>
              <w:rPr>
                <w:spacing w:val="-6"/>
              </w:rPr>
              <w:t> </w:t>
            </w:r>
            <w:r>
              <w:rPr/>
              <w:t>by</w:t>
            </w:r>
            <w:r>
              <w:rPr>
                <w:spacing w:val="-4"/>
              </w:rPr>
              <w:t> </w:t>
            </w:r>
            <w:r>
              <w:rPr/>
              <w:t>Design</w:t>
            </w:r>
            <w:r>
              <w:rPr>
                <w:spacing w:val="1"/>
              </w:rPr>
              <w:t> </w:t>
            </w:r>
            <w:r>
              <w:rPr/>
              <w:t>(QbD)/Design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Experiment</w:t>
            </w:r>
            <w:r>
              <w:rPr>
                <w:spacing w:val="-1"/>
              </w:rPr>
              <w:t> </w:t>
            </w:r>
            <w:r>
              <w:rPr/>
              <w:t>(DoE)</w:t>
              <w:tab/>
              <w:t>68</w:t>
            </w:r>
          </w:hyperlink>
        </w:p>
        <w:p>
          <w:pPr>
            <w:pStyle w:val="TOC1"/>
            <w:tabs>
              <w:tab w:pos="8960" w:val="right" w:leader="dot"/>
            </w:tabs>
            <w:spacing w:before="237"/>
          </w:pPr>
          <w:hyperlink w:history="true" w:anchor="_TOC_250054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THREE</w:t>
              <w:tab/>
              <w:t>71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125" w:val="left" w:leader="none"/>
              <w:tab w:pos="1126" w:val="left" w:leader="none"/>
              <w:tab w:pos="8960" w:val="right" w:leader="dot"/>
            </w:tabs>
            <w:spacing w:line="240" w:lineRule="auto" w:before="137" w:after="0"/>
            <w:ind w:left="1125" w:right="0" w:hanging="661"/>
            <w:jc w:val="left"/>
          </w:pPr>
          <w:hyperlink w:history="true" w:anchor="_TOC_250053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METHODS</w:t>
              <w:tab/>
              <w:t>71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345" w:val="left" w:leader="none"/>
              <w:tab w:pos="1346" w:val="left" w:leader="none"/>
              <w:tab w:pos="8960" w:val="right" w:leader="dot"/>
            </w:tabs>
            <w:spacing w:line="240" w:lineRule="auto" w:before="259" w:after="0"/>
            <w:ind w:left="1346" w:right="0" w:hanging="641"/>
            <w:jc w:val="left"/>
          </w:pPr>
          <w:hyperlink w:history="true" w:anchor="_TOC_250052">
            <w:r>
              <w:rPr/>
              <w:t>Materials</w:t>
              <w:tab/>
              <w:t>71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85" w:val="left" w:leader="none"/>
              <w:tab w:pos="1786" w:val="left" w:leader="none"/>
              <w:tab w:pos="8960" w:val="right" w:leader="dot"/>
            </w:tabs>
            <w:spacing w:line="240" w:lineRule="auto" w:before="238" w:after="0"/>
            <w:ind w:left="1785" w:right="0" w:hanging="839"/>
            <w:jc w:val="left"/>
          </w:pPr>
          <w:hyperlink w:history="true" w:anchor="_TOC_250051">
            <w:r>
              <w:rPr/>
              <w:t>Chemicals</w:t>
              <w:tab/>
              <w:t>71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85" w:val="left" w:leader="none"/>
              <w:tab w:pos="1786" w:val="left" w:leader="none"/>
              <w:tab w:pos="8960" w:val="right" w:leader="dot"/>
            </w:tabs>
            <w:spacing w:line="240" w:lineRule="auto" w:before="137" w:after="0"/>
            <w:ind w:left="1785" w:right="0" w:hanging="839"/>
            <w:jc w:val="left"/>
          </w:pPr>
          <w:hyperlink w:history="true" w:anchor="_TOC_250050">
            <w:r>
              <w:rPr/>
              <w:t>Instruments/Equipment</w:t>
              <w:tab/>
              <w:t>72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345" w:val="left" w:leader="none"/>
              <w:tab w:pos="1346" w:val="left" w:leader="none"/>
              <w:tab w:pos="8960" w:val="right" w:leader="dot"/>
            </w:tabs>
            <w:spacing w:line="240" w:lineRule="auto" w:before="259" w:after="46"/>
            <w:ind w:left="1346" w:right="0" w:hanging="641"/>
            <w:jc w:val="left"/>
          </w:pPr>
          <w:hyperlink w:history="true" w:anchor="_TOC_250049">
            <w:r>
              <w:rPr/>
              <w:t>Methods</w:t>
              <w:tab/>
              <w:t>74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85" w:val="left" w:leader="none"/>
              <w:tab w:pos="1786" w:val="left" w:leader="none"/>
              <w:tab w:pos="8720" w:val="left" w:leader="dot"/>
            </w:tabs>
            <w:spacing w:line="360" w:lineRule="auto" w:before="74" w:after="0"/>
            <w:ind w:left="947" w:right="1263" w:firstLine="0"/>
            <w:jc w:val="left"/>
          </w:pPr>
          <w:hyperlink w:history="true" w:anchor="_TOC_250048">
            <w:r>
              <w:rPr/>
              <w:t>Selection and optimization of the composition of the co-processed</w:t>
            </w:r>
            <w:r>
              <w:rPr>
                <w:spacing w:val="1"/>
              </w:rPr>
              <w:t> </w:t>
            </w:r>
            <w:r>
              <w:rPr/>
              <w:t>excipient</w:t>
            </w:r>
            <w:r>
              <w:rPr>
                <w:spacing w:val="59"/>
              </w:rPr>
              <w:t> </w:t>
            </w:r>
            <w:r>
              <w:rPr/>
              <w:t>using</w:t>
            </w:r>
            <w:r>
              <w:rPr>
                <w:spacing w:val="-3"/>
              </w:rPr>
              <w:t> </w:t>
            </w:r>
            <w:r>
              <w:rPr/>
              <w:t>Design of</w:t>
            </w:r>
            <w:r>
              <w:rPr>
                <w:spacing w:val="-1"/>
              </w:rPr>
              <w:t> </w:t>
            </w:r>
            <w:r>
              <w:rPr/>
              <w:t>Experiments (DoE)</w:t>
              <w:tab/>
            </w:r>
            <w:r>
              <w:rPr>
                <w:spacing w:val="-1"/>
              </w:rPr>
              <w:t>74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85" w:val="left" w:leader="none"/>
              <w:tab w:pos="1786" w:val="left" w:leader="none"/>
              <w:tab w:pos="8720" w:val="left" w:leader="dot"/>
            </w:tabs>
            <w:spacing w:line="240" w:lineRule="auto" w:before="1" w:after="0"/>
            <w:ind w:left="1785" w:right="0" w:hanging="839"/>
            <w:jc w:val="left"/>
          </w:pPr>
          <w:hyperlink w:history="true" w:anchor="_TOC_250047">
            <w:r>
              <w:rPr/>
              <w:t>Preparation</w:t>
            </w:r>
            <w:r>
              <w:rPr>
                <w:spacing w:val="-2"/>
              </w:rPr>
              <w:t> </w:t>
            </w:r>
            <w:r>
              <w:rPr/>
              <w:t>of co-processed</w:t>
            </w:r>
            <w:r>
              <w:rPr>
                <w:spacing w:val="-1"/>
              </w:rPr>
              <w:t> </w:t>
            </w:r>
            <w:r>
              <w:rPr/>
              <w:t>excipient</w:t>
            </w:r>
            <w:r>
              <w:rPr>
                <w:spacing w:val="-1"/>
              </w:rPr>
              <w:t> </w:t>
            </w:r>
            <w:r>
              <w:rPr/>
              <w:t>(CPE)</w:t>
              <w:tab/>
              <w:t>76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85" w:val="left" w:leader="none"/>
              <w:tab w:pos="1786" w:val="left" w:leader="none"/>
              <w:tab w:pos="8720" w:val="left" w:leader="dot"/>
            </w:tabs>
            <w:spacing w:line="240" w:lineRule="auto" w:before="136" w:after="0"/>
            <w:ind w:left="1785" w:right="0" w:hanging="839"/>
            <w:jc w:val="left"/>
          </w:pPr>
          <w:hyperlink w:history="true" w:anchor="_TOC_250046">
            <w:r>
              <w:rPr/>
              <w:t>Solid-state</w:t>
            </w:r>
            <w:r>
              <w:rPr>
                <w:spacing w:val="-3"/>
              </w:rPr>
              <w:t> </w:t>
            </w:r>
            <w:r>
              <w:rPr/>
              <w:t>characterization</w:t>
              <w:tab/>
              <w:t>76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85" w:val="left" w:leader="none"/>
              <w:tab w:pos="1786" w:val="left" w:leader="none"/>
              <w:tab w:pos="8720" w:val="left" w:leader="dot"/>
            </w:tabs>
            <w:spacing w:line="240" w:lineRule="auto" w:before="140" w:after="0"/>
            <w:ind w:left="1785" w:right="0" w:hanging="839"/>
            <w:jc w:val="left"/>
          </w:pPr>
          <w:hyperlink w:history="true" w:anchor="_TOC_250045">
            <w:r>
              <w:rPr/>
              <w:t>Physico-mechanical</w:t>
            </w:r>
            <w:r>
              <w:rPr>
                <w:spacing w:val="-2"/>
              </w:rPr>
              <w:t> </w:t>
            </w:r>
            <w:r>
              <w:rPr/>
              <w:t>properties</w:t>
              <w:tab/>
              <w:t>79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85" w:val="left" w:leader="none"/>
              <w:tab w:pos="1786" w:val="left" w:leader="none"/>
              <w:tab w:pos="8720" w:val="left" w:leader="dot"/>
            </w:tabs>
            <w:spacing w:line="240" w:lineRule="auto" w:before="136" w:after="0"/>
            <w:ind w:left="1785" w:right="0" w:hanging="839"/>
            <w:jc w:val="left"/>
          </w:pPr>
          <w:hyperlink w:history="true" w:anchor="_TOC_250044">
            <w:r>
              <w:rPr/>
              <w:t>Compaction</w:t>
            </w:r>
            <w:r>
              <w:rPr>
                <w:spacing w:val="-1"/>
              </w:rPr>
              <w:t> </w:t>
            </w:r>
            <w:r>
              <w:rPr/>
              <w:t>Studies</w:t>
              <w:tab/>
              <w:t>79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85" w:val="left" w:leader="none"/>
              <w:tab w:pos="1786" w:val="left" w:leader="none"/>
              <w:tab w:pos="8720" w:val="left" w:leader="dot"/>
            </w:tabs>
            <w:spacing w:line="240" w:lineRule="auto" w:before="140" w:after="0"/>
            <w:ind w:left="1785" w:right="0" w:hanging="839"/>
            <w:jc w:val="left"/>
          </w:pPr>
          <w:hyperlink w:history="true" w:anchor="_TOC_250043">
            <w:r>
              <w:rPr/>
              <w:t>Dilution</w:t>
            </w:r>
            <w:r>
              <w:rPr>
                <w:spacing w:val="-1"/>
              </w:rPr>
              <w:t> </w:t>
            </w:r>
            <w:r>
              <w:rPr/>
              <w:t>Potential</w:t>
            </w:r>
            <w:r>
              <w:rPr>
                <w:spacing w:val="-1"/>
              </w:rPr>
              <w:t> </w:t>
            </w:r>
            <w:r>
              <w:rPr/>
              <w:t>Studies</w:t>
              <w:tab/>
              <w:t>81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85" w:val="left" w:leader="none"/>
              <w:tab w:pos="1786" w:val="left" w:leader="none"/>
              <w:tab w:pos="8720" w:val="left" w:leader="dot"/>
            </w:tabs>
            <w:spacing w:line="240" w:lineRule="auto" w:before="136" w:after="0"/>
            <w:ind w:left="1785" w:right="0" w:hanging="839"/>
            <w:jc w:val="left"/>
          </w:pPr>
          <w:hyperlink w:history="true" w:anchor="_TOC_250042">
            <w:r>
              <w:rPr/>
              <w:t>Lubricant</w:t>
            </w:r>
            <w:r>
              <w:rPr>
                <w:spacing w:val="-1"/>
              </w:rPr>
              <w:t> </w:t>
            </w:r>
            <w:r>
              <w:rPr/>
              <w:t>Sensitivity</w:t>
            </w:r>
            <w:r>
              <w:rPr>
                <w:spacing w:val="-6"/>
              </w:rPr>
              <w:t> </w:t>
            </w:r>
            <w:r>
              <w:rPr/>
              <w:t>Ratio</w:t>
              <w:tab/>
              <w:t>82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85" w:val="left" w:leader="none"/>
              <w:tab w:pos="1786" w:val="left" w:leader="none"/>
              <w:tab w:pos="8720" w:val="left" w:leader="dot"/>
            </w:tabs>
            <w:spacing w:line="240" w:lineRule="auto" w:before="140" w:after="0"/>
            <w:ind w:left="1785" w:right="0" w:hanging="839"/>
            <w:jc w:val="left"/>
          </w:pPr>
          <w:hyperlink w:history="true" w:anchor="_TOC_250041">
            <w:r>
              <w:rPr/>
              <w:t>Formulation</w:t>
            </w:r>
            <w:r>
              <w:rPr>
                <w:spacing w:val="-3"/>
              </w:rPr>
              <w:t> </w:t>
            </w:r>
            <w:r>
              <w:rPr/>
              <w:t>Studies</w:t>
            </w:r>
            <w:r>
              <w:rPr>
                <w:spacing w:val="-2"/>
              </w:rPr>
              <w:t> </w:t>
            </w:r>
            <w:r>
              <w:rPr/>
              <w:t>with Ibuprofen</w:t>
              <w:tab/>
              <w:t>82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85" w:val="left" w:leader="none"/>
              <w:tab w:pos="1786" w:val="left" w:leader="none"/>
              <w:tab w:pos="8720" w:val="left" w:leader="dot"/>
            </w:tabs>
            <w:spacing w:line="240" w:lineRule="auto" w:before="137" w:after="0"/>
            <w:ind w:left="1785" w:right="0" w:hanging="839"/>
            <w:jc w:val="left"/>
          </w:pPr>
          <w:hyperlink w:history="true" w:anchor="_TOC_250040">
            <w:r>
              <w:rPr/>
              <w:t>Tablet</w:t>
            </w:r>
            <w:r>
              <w:rPr>
                <w:spacing w:val="-2"/>
              </w:rPr>
              <w:t> </w:t>
            </w:r>
            <w:r>
              <w:rPr/>
              <w:t>Evaluation</w:t>
              <w:tab/>
              <w:t>84</w:t>
            </w:r>
          </w:hyperlink>
        </w:p>
        <w:p>
          <w:pPr>
            <w:pStyle w:val="TOC1"/>
            <w:tabs>
              <w:tab w:pos="8720" w:val="left" w:leader="dot"/>
            </w:tabs>
            <w:spacing w:before="139"/>
          </w:pPr>
          <w:hyperlink w:history="true" w:anchor="_TOC_250039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FOUR</w:t>
              <w:tab/>
              <w:t>87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125" w:val="left" w:leader="none"/>
              <w:tab w:pos="1126" w:val="left" w:leader="none"/>
              <w:tab w:pos="8720" w:val="left" w:leader="dot"/>
            </w:tabs>
            <w:spacing w:line="240" w:lineRule="auto" w:before="137" w:after="0"/>
            <w:ind w:left="1125" w:right="0" w:hanging="661"/>
            <w:jc w:val="left"/>
          </w:pPr>
          <w:hyperlink w:history="true" w:anchor="_TOC_250038">
            <w:r>
              <w:rPr/>
              <w:t>RESULTS</w:t>
              <w:tab/>
              <w:t>87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345" w:val="left" w:leader="none"/>
              <w:tab w:pos="1346" w:val="left" w:leader="none"/>
              <w:tab w:pos="8720" w:val="left" w:leader="dot"/>
            </w:tabs>
            <w:spacing w:line="240" w:lineRule="auto" w:before="259" w:after="0"/>
            <w:ind w:left="1346" w:right="0" w:hanging="641"/>
            <w:jc w:val="left"/>
          </w:pPr>
          <w:hyperlink w:history="true" w:anchor="_TOC_250037">
            <w:r>
              <w:rPr/>
              <w:t>Selection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an optimized</w:t>
            </w:r>
            <w:r>
              <w:rPr>
                <w:spacing w:val="-1"/>
              </w:rPr>
              <w:t> </w:t>
            </w:r>
            <w:r>
              <w:rPr/>
              <w:t>composition</w:t>
            </w:r>
            <w:r>
              <w:rPr>
                <w:spacing w:val="-1"/>
              </w:rPr>
              <w:t> </w:t>
            </w:r>
            <w:r>
              <w:rPr/>
              <w:t>using</w:t>
            </w:r>
            <w:r>
              <w:rPr>
                <w:spacing w:val="-2"/>
              </w:rPr>
              <w:t> </w:t>
            </w:r>
            <w:r>
              <w:rPr/>
              <w:t>DoE</w:t>
              <w:tab/>
              <w:t>87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345" w:val="left" w:leader="none"/>
              <w:tab w:pos="1346" w:val="left" w:leader="none"/>
              <w:tab w:pos="8600" w:val="left" w:leader="dot"/>
            </w:tabs>
            <w:spacing w:line="240" w:lineRule="auto" w:before="257" w:after="0"/>
            <w:ind w:left="1346" w:right="0" w:hanging="641"/>
            <w:jc w:val="left"/>
          </w:pPr>
          <w:hyperlink w:history="true" w:anchor="_TOC_250036">
            <w:r>
              <w:rPr/>
              <w:t>Solid-state</w:t>
            </w:r>
            <w:r>
              <w:rPr>
                <w:spacing w:val="-2"/>
              </w:rPr>
              <w:t> </w:t>
            </w:r>
            <w:r>
              <w:rPr/>
              <w:t>Characterization</w:t>
              <w:tab/>
              <w:t>111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785" w:val="left" w:leader="none"/>
              <w:tab w:pos="1786" w:val="left" w:leader="none"/>
              <w:tab w:pos="8600" w:val="left" w:leader="dot"/>
            </w:tabs>
            <w:spacing w:line="240" w:lineRule="auto" w:before="238" w:after="0"/>
            <w:ind w:left="1785" w:right="0" w:hanging="839"/>
            <w:jc w:val="left"/>
          </w:pPr>
          <w:hyperlink w:history="true" w:anchor="_TOC_250035">
            <w:r>
              <w:rPr/>
              <w:t>Optical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polarized microscopy</w:t>
              <w:tab/>
              <w:t>111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785" w:val="left" w:leader="none"/>
              <w:tab w:pos="1786" w:val="left" w:leader="none"/>
              <w:tab w:pos="8600" w:val="left" w:leader="dot"/>
            </w:tabs>
            <w:spacing w:line="240" w:lineRule="auto" w:before="139" w:after="0"/>
            <w:ind w:left="1785" w:right="0" w:hanging="839"/>
            <w:jc w:val="left"/>
          </w:pPr>
          <w:hyperlink w:history="true" w:anchor="_TOC_250034">
            <w:r>
              <w:rPr/>
              <w:t>Hot</w:t>
            </w:r>
            <w:r>
              <w:rPr>
                <w:spacing w:val="-1"/>
              </w:rPr>
              <w:t> </w:t>
            </w:r>
            <w:r>
              <w:rPr/>
              <w:t>stage</w:t>
            </w:r>
            <w:r>
              <w:rPr>
                <w:spacing w:val="1"/>
              </w:rPr>
              <w:t> </w:t>
            </w:r>
            <w:r>
              <w:rPr/>
              <w:t>microscopy</w:t>
            </w:r>
            <w:r>
              <w:rPr>
                <w:spacing w:val="-5"/>
              </w:rPr>
              <w:t> </w:t>
            </w:r>
            <w:r>
              <w:rPr/>
              <w:t>(HSM)</w:t>
              <w:tab/>
              <w:t>118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785" w:val="left" w:leader="none"/>
              <w:tab w:pos="1786" w:val="left" w:leader="none"/>
              <w:tab w:pos="8600" w:val="left" w:leader="dot"/>
            </w:tabs>
            <w:spacing w:line="240" w:lineRule="auto" w:before="137" w:after="0"/>
            <w:ind w:left="1785" w:right="0" w:hanging="839"/>
            <w:jc w:val="left"/>
          </w:pPr>
          <w:hyperlink w:history="true" w:anchor="_TOC_250033">
            <w:r>
              <w:rPr/>
              <w:t>Scanning</w:t>
            </w:r>
            <w:r>
              <w:rPr>
                <w:spacing w:val="-3"/>
              </w:rPr>
              <w:t> </w:t>
            </w:r>
            <w:r>
              <w:rPr/>
              <w:t>Electron Microscopy</w:t>
            </w:r>
            <w:r>
              <w:rPr>
                <w:spacing w:val="-3"/>
              </w:rPr>
              <w:t> </w:t>
            </w:r>
            <w:r>
              <w:rPr/>
              <w:t>(SEM)</w:t>
              <w:tab/>
              <w:t>120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785" w:val="left" w:leader="none"/>
              <w:tab w:pos="1786" w:val="left" w:leader="none"/>
              <w:tab w:pos="8600" w:val="left" w:leader="dot"/>
            </w:tabs>
            <w:spacing w:line="240" w:lineRule="auto" w:before="139" w:after="0"/>
            <w:ind w:left="1785" w:right="0" w:hanging="839"/>
            <w:jc w:val="left"/>
          </w:pPr>
          <w:hyperlink w:history="true" w:anchor="_TOC_250032">
            <w:r>
              <w:rPr/>
              <w:t>Confocal</w:t>
            </w:r>
            <w:r>
              <w:rPr>
                <w:spacing w:val="-1"/>
              </w:rPr>
              <w:t> </w:t>
            </w:r>
            <w:r>
              <w:rPr/>
              <w:t>laser</w:t>
            </w:r>
            <w:r>
              <w:rPr>
                <w:spacing w:val="-1"/>
              </w:rPr>
              <w:t> </w:t>
            </w:r>
            <w:r>
              <w:rPr/>
              <w:t>scanning</w:t>
            </w:r>
            <w:r>
              <w:rPr>
                <w:spacing w:val="-2"/>
              </w:rPr>
              <w:t> </w:t>
            </w:r>
            <w:r>
              <w:rPr/>
              <w:t>microscopy</w:t>
            </w:r>
            <w:r>
              <w:rPr>
                <w:spacing w:val="-6"/>
              </w:rPr>
              <w:t> </w:t>
            </w:r>
            <w:r>
              <w:rPr/>
              <w:t>(CLSM)</w:t>
              <w:tab/>
              <w:t>122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785" w:val="left" w:leader="none"/>
              <w:tab w:pos="1786" w:val="left" w:leader="none"/>
              <w:tab w:pos="8600" w:val="left" w:leader="dot"/>
            </w:tabs>
            <w:spacing w:line="240" w:lineRule="auto" w:before="137" w:after="0"/>
            <w:ind w:left="1785" w:right="0" w:hanging="839"/>
            <w:jc w:val="left"/>
          </w:pPr>
          <w:hyperlink w:history="true" w:anchor="_TOC_250031">
            <w:r>
              <w:rPr/>
              <w:t>Differential</w:t>
            </w:r>
            <w:r>
              <w:rPr>
                <w:spacing w:val="-1"/>
              </w:rPr>
              <w:t> </w:t>
            </w:r>
            <w:r>
              <w:rPr/>
              <w:t>Scanning</w:t>
            </w:r>
            <w:r>
              <w:rPr>
                <w:spacing w:val="-3"/>
              </w:rPr>
              <w:t> </w:t>
            </w:r>
            <w:r>
              <w:rPr/>
              <w:t>Calorimetry</w:t>
            </w:r>
            <w:r>
              <w:rPr>
                <w:spacing w:val="-5"/>
              </w:rPr>
              <w:t> </w:t>
            </w:r>
            <w:r>
              <w:rPr/>
              <w:t>(DSC)</w:t>
              <w:tab/>
              <w:t>124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785" w:val="left" w:leader="none"/>
              <w:tab w:pos="1786" w:val="left" w:leader="none"/>
              <w:tab w:pos="8600" w:val="left" w:leader="dot"/>
            </w:tabs>
            <w:spacing w:line="240" w:lineRule="auto" w:before="140" w:after="0"/>
            <w:ind w:left="1785" w:right="0" w:hanging="839"/>
            <w:jc w:val="left"/>
          </w:pPr>
          <w:hyperlink w:history="true" w:anchor="_TOC_250030">
            <w:r>
              <w:rPr/>
              <w:t>Powder</w:t>
            </w:r>
            <w:r>
              <w:rPr>
                <w:spacing w:val="-1"/>
              </w:rPr>
              <w:t> </w:t>
            </w:r>
            <w:r>
              <w:rPr/>
              <w:t>X-ray</w:t>
            </w:r>
            <w:r>
              <w:rPr>
                <w:spacing w:val="-6"/>
              </w:rPr>
              <w:t> </w:t>
            </w:r>
            <w:r>
              <w:rPr/>
              <w:t>diffraction</w:t>
            </w:r>
            <w:r>
              <w:rPr>
                <w:spacing w:val="2"/>
              </w:rPr>
              <w:t> </w:t>
            </w:r>
            <w:r>
              <w:rPr/>
              <w:t>(PXRD)</w:t>
              <w:tab/>
              <w:t>128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785" w:val="left" w:leader="none"/>
              <w:tab w:pos="1786" w:val="left" w:leader="none"/>
              <w:tab w:pos="8600" w:val="left" w:leader="dot"/>
            </w:tabs>
            <w:spacing w:line="240" w:lineRule="auto" w:before="136" w:after="0"/>
            <w:ind w:left="1785" w:right="0" w:hanging="839"/>
            <w:jc w:val="left"/>
          </w:pPr>
          <w:hyperlink w:history="true" w:anchor="_TOC_250029">
            <w:r>
              <w:rPr/>
              <w:t>Fourier</w:t>
            </w:r>
            <w:r>
              <w:rPr>
                <w:spacing w:val="-2"/>
              </w:rPr>
              <w:t> </w:t>
            </w:r>
            <w:r>
              <w:rPr/>
              <w:t>Transform Infrared</w:t>
            </w:r>
            <w:r>
              <w:rPr>
                <w:spacing w:val="-2"/>
              </w:rPr>
              <w:t> </w:t>
            </w:r>
            <w:r>
              <w:rPr/>
              <w:t>Spectroscopy</w:t>
            </w:r>
            <w:r>
              <w:rPr>
                <w:spacing w:val="-4"/>
              </w:rPr>
              <w:t> </w:t>
            </w:r>
            <w:r>
              <w:rPr/>
              <w:t>(FT-IR)</w:t>
              <w:tab/>
              <w:t>133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785" w:val="left" w:leader="none"/>
              <w:tab w:pos="1786" w:val="left" w:leader="none"/>
              <w:tab w:pos="8600" w:val="left" w:leader="dot"/>
            </w:tabs>
            <w:spacing w:line="240" w:lineRule="auto" w:before="140" w:after="0"/>
            <w:ind w:left="1785" w:right="0" w:hanging="839"/>
            <w:jc w:val="left"/>
          </w:pPr>
          <w:hyperlink w:history="true" w:anchor="_TOC_250028">
            <w:r>
              <w:rPr/>
              <w:t>Dynamic</w:t>
            </w:r>
            <w:r>
              <w:rPr>
                <w:spacing w:val="-2"/>
              </w:rPr>
              <w:t> </w:t>
            </w:r>
            <w:r>
              <w:rPr/>
              <w:t>Vapour</w:t>
            </w:r>
            <w:r>
              <w:rPr>
                <w:spacing w:val="-1"/>
              </w:rPr>
              <w:t> </w:t>
            </w:r>
            <w:r>
              <w:rPr/>
              <w:t>Sorption</w:t>
            </w:r>
            <w:r>
              <w:rPr>
                <w:spacing w:val="-1"/>
              </w:rPr>
              <w:t> </w:t>
            </w:r>
            <w:r>
              <w:rPr/>
              <w:t>(DVS) analysis</w:t>
              <w:tab/>
              <w:t>140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785" w:val="left" w:leader="none"/>
              <w:tab w:pos="1786" w:val="left" w:leader="none"/>
              <w:tab w:pos="8600" w:val="left" w:leader="dot"/>
            </w:tabs>
            <w:spacing w:line="240" w:lineRule="auto" w:before="136" w:after="0"/>
            <w:ind w:left="1785" w:right="0" w:hanging="839"/>
            <w:jc w:val="left"/>
          </w:pPr>
          <w:hyperlink w:history="true" w:anchor="_TOC_250027">
            <w:r>
              <w:rPr/>
              <w:t>Circular</w:t>
            </w:r>
            <w:r>
              <w:rPr>
                <w:spacing w:val="-3"/>
              </w:rPr>
              <w:t> </w:t>
            </w:r>
            <w:r>
              <w:rPr/>
              <w:t>Dichroism</w:t>
            </w:r>
            <w:r>
              <w:rPr>
                <w:spacing w:val="-1"/>
              </w:rPr>
              <w:t> </w:t>
            </w:r>
            <w:r>
              <w:rPr/>
              <w:t>(CD)</w:t>
            </w:r>
            <w:r>
              <w:rPr>
                <w:spacing w:val="-1"/>
              </w:rPr>
              <w:t> </w:t>
            </w:r>
            <w:r>
              <w:rPr/>
              <w:t>spectroscopy</w:t>
              <w:tab/>
              <w:t>144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345" w:val="left" w:leader="none"/>
              <w:tab w:pos="1346" w:val="left" w:leader="none"/>
              <w:tab w:pos="8600" w:val="left" w:leader="dot"/>
            </w:tabs>
            <w:spacing w:line="240" w:lineRule="auto" w:before="260" w:after="0"/>
            <w:ind w:left="1346" w:right="0" w:hanging="641"/>
            <w:jc w:val="left"/>
          </w:pPr>
          <w:hyperlink w:history="true" w:anchor="_TOC_250026">
            <w:r>
              <w:rPr/>
              <w:t>Physicomechanical</w:t>
            </w:r>
            <w:r>
              <w:rPr>
                <w:spacing w:val="-2"/>
              </w:rPr>
              <w:t> </w:t>
            </w:r>
            <w:r>
              <w:rPr/>
              <w:t>Properties</w:t>
              <w:tab/>
              <w:t>146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345" w:val="left" w:leader="none"/>
              <w:tab w:pos="1346" w:val="left" w:leader="none"/>
              <w:tab w:pos="8600" w:val="left" w:leader="dot"/>
            </w:tabs>
            <w:spacing w:line="240" w:lineRule="auto" w:before="257" w:after="0"/>
            <w:ind w:left="1346" w:right="0" w:hanging="641"/>
            <w:jc w:val="left"/>
          </w:pPr>
          <w:hyperlink w:history="true" w:anchor="_TOC_250025">
            <w:r>
              <w:rPr/>
              <w:t>Compaction</w:t>
            </w:r>
            <w:r>
              <w:rPr>
                <w:spacing w:val="-1"/>
              </w:rPr>
              <w:t> </w:t>
            </w:r>
            <w:r>
              <w:rPr/>
              <w:t>Studies</w:t>
              <w:tab/>
              <w:t>148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345" w:val="left" w:leader="none"/>
              <w:tab w:pos="1346" w:val="left" w:leader="none"/>
              <w:tab w:pos="8600" w:val="left" w:leader="dot"/>
            </w:tabs>
            <w:spacing w:line="240" w:lineRule="auto" w:before="257" w:after="0"/>
            <w:ind w:left="1346" w:right="0" w:hanging="641"/>
            <w:jc w:val="left"/>
          </w:pPr>
          <w:hyperlink w:history="true" w:anchor="_TOC_250024">
            <w:r>
              <w:rPr/>
              <w:t>Tablet</w:t>
            </w:r>
            <w:r>
              <w:rPr>
                <w:spacing w:val="-2"/>
              </w:rPr>
              <w:t> </w:t>
            </w:r>
            <w:r>
              <w:rPr/>
              <w:t>Properties</w:t>
              <w:tab/>
              <w:t>158</w:t>
            </w:r>
          </w:hyperlink>
        </w:p>
        <w:p>
          <w:pPr>
            <w:pStyle w:val="TOC1"/>
            <w:tabs>
              <w:tab w:pos="8600" w:val="left" w:leader="dot"/>
            </w:tabs>
            <w:spacing w:before="240"/>
          </w:pPr>
          <w:hyperlink w:history="true" w:anchor="_TOC_250023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FIVE</w:t>
              <w:tab/>
              <w:t>162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125" w:val="left" w:leader="none"/>
              <w:tab w:pos="1126" w:val="left" w:leader="none"/>
              <w:tab w:pos="8600" w:val="left" w:leader="dot"/>
            </w:tabs>
            <w:spacing w:line="240" w:lineRule="auto" w:before="137" w:after="0"/>
            <w:ind w:left="1125" w:right="0" w:hanging="661"/>
            <w:jc w:val="left"/>
          </w:pPr>
          <w:hyperlink w:history="true" w:anchor="_TOC_250022">
            <w:r>
              <w:rPr/>
              <w:t>DISCUSSION</w:t>
              <w:tab/>
              <w:t>162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345" w:val="left" w:leader="none"/>
              <w:tab w:pos="1346" w:val="left" w:leader="none"/>
              <w:tab w:pos="8600" w:val="left" w:leader="dot"/>
            </w:tabs>
            <w:spacing w:line="240" w:lineRule="auto" w:before="259" w:after="0"/>
            <w:ind w:left="1346" w:right="0" w:hanging="641"/>
            <w:jc w:val="left"/>
          </w:pPr>
          <w:hyperlink w:history="true" w:anchor="_TOC_250021">
            <w:r>
              <w:rPr/>
              <w:t>Selection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an optimized</w:t>
            </w:r>
            <w:r>
              <w:rPr>
                <w:spacing w:val="-1"/>
              </w:rPr>
              <w:t> </w:t>
            </w:r>
            <w:r>
              <w:rPr/>
              <w:t>composition</w:t>
            </w:r>
            <w:r>
              <w:rPr>
                <w:spacing w:val="-1"/>
              </w:rPr>
              <w:t> </w:t>
            </w:r>
            <w:r>
              <w:rPr/>
              <w:t>using</w:t>
            </w:r>
            <w:r>
              <w:rPr>
                <w:spacing w:val="-2"/>
              </w:rPr>
              <w:t> </w:t>
            </w:r>
            <w:r>
              <w:rPr/>
              <w:t>DoE</w:t>
              <w:tab/>
              <w:t>162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345" w:val="left" w:leader="none"/>
              <w:tab w:pos="1346" w:val="left" w:leader="none"/>
              <w:tab w:pos="8600" w:val="left" w:leader="dot"/>
            </w:tabs>
            <w:spacing w:line="240" w:lineRule="auto" w:before="257" w:after="0"/>
            <w:ind w:left="1346" w:right="0" w:hanging="641"/>
            <w:jc w:val="left"/>
          </w:pPr>
          <w:hyperlink w:history="true" w:anchor="_TOC_250020">
            <w:r>
              <w:rPr/>
              <w:t>Solid</w:t>
            </w:r>
            <w:r>
              <w:rPr>
                <w:spacing w:val="-2"/>
              </w:rPr>
              <w:t> </w:t>
            </w:r>
            <w:r>
              <w:rPr/>
              <w:t>state</w:t>
            </w:r>
            <w:r>
              <w:rPr>
                <w:spacing w:val="-2"/>
              </w:rPr>
              <w:t> </w:t>
            </w:r>
            <w:r>
              <w:rPr/>
              <w:t>characterization</w:t>
              <w:tab/>
              <w:t>166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85" w:val="left" w:leader="none"/>
              <w:tab w:pos="1786" w:val="left" w:leader="none"/>
              <w:tab w:pos="8600" w:val="left" w:leader="dot"/>
            </w:tabs>
            <w:spacing w:line="240" w:lineRule="auto" w:before="238" w:after="20"/>
            <w:ind w:left="1785" w:right="0" w:hanging="839"/>
            <w:jc w:val="left"/>
          </w:pPr>
          <w:hyperlink w:history="true" w:anchor="_TOC_250019">
            <w:r>
              <w:rPr/>
              <w:t>Optical</w:t>
            </w:r>
            <w:r>
              <w:rPr>
                <w:spacing w:val="-1"/>
              </w:rPr>
              <w:t> </w:t>
            </w:r>
            <w:r>
              <w:rPr/>
              <w:t>microscopy</w:t>
              <w:tab/>
              <w:t>167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85" w:val="left" w:leader="none"/>
              <w:tab w:pos="1786" w:val="left" w:leader="none"/>
              <w:tab w:pos="8600" w:val="left" w:leader="dot"/>
            </w:tabs>
            <w:spacing w:line="240" w:lineRule="auto" w:before="74" w:after="0"/>
            <w:ind w:left="1785" w:right="0" w:hanging="839"/>
            <w:jc w:val="left"/>
          </w:pPr>
          <w:hyperlink w:history="true" w:anchor="_TOC_250018">
            <w:r>
              <w:rPr/>
              <w:t>Hot</w:t>
            </w:r>
            <w:r>
              <w:rPr>
                <w:spacing w:val="-1"/>
              </w:rPr>
              <w:t> </w:t>
            </w:r>
            <w:r>
              <w:rPr/>
              <w:t>stage microscopy</w:t>
              <w:tab/>
              <w:t>168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85" w:val="left" w:leader="none"/>
              <w:tab w:pos="1786" w:val="left" w:leader="none"/>
              <w:tab w:pos="8600" w:val="left" w:leader="dot"/>
            </w:tabs>
            <w:spacing w:line="240" w:lineRule="auto" w:before="137" w:after="0"/>
            <w:ind w:left="1785" w:right="0" w:hanging="839"/>
            <w:jc w:val="left"/>
          </w:pPr>
          <w:hyperlink w:history="true" w:anchor="_TOC_250017">
            <w:r>
              <w:rPr/>
              <w:t>Scanning</w:t>
            </w:r>
            <w:r>
              <w:rPr>
                <w:spacing w:val="-1"/>
              </w:rPr>
              <w:t> </w:t>
            </w:r>
            <w:r>
              <w:rPr/>
              <w:t>electron</w:t>
            </w:r>
            <w:r>
              <w:rPr>
                <w:spacing w:val="-1"/>
              </w:rPr>
              <w:t> </w:t>
            </w:r>
            <w:r>
              <w:rPr/>
              <w:t>microscopy</w:t>
              <w:tab/>
              <w:t>168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85" w:val="left" w:leader="none"/>
              <w:tab w:pos="1786" w:val="left" w:leader="none"/>
              <w:tab w:pos="8600" w:val="left" w:leader="dot"/>
            </w:tabs>
            <w:spacing w:line="240" w:lineRule="auto" w:before="139" w:after="0"/>
            <w:ind w:left="1785" w:right="0" w:hanging="839"/>
            <w:jc w:val="left"/>
          </w:pPr>
          <w:hyperlink w:history="true" w:anchor="_TOC_250016">
            <w:r>
              <w:rPr/>
              <w:t>Confocal</w:t>
            </w:r>
            <w:r>
              <w:rPr>
                <w:spacing w:val="-1"/>
              </w:rPr>
              <w:t> </w:t>
            </w:r>
            <w:r>
              <w:rPr/>
              <w:t>laser</w:t>
            </w:r>
            <w:r>
              <w:rPr>
                <w:spacing w:val="-1"/>
              </w:rPr>
              <w:t> </w:t>
            </w:r>
            <w:r>
              <w:rPr/>
              <w:t>scanning</w:t>
            </w:r>
            <w:r>
              <w:rPr>
                <w:spacing w:val="-1"/>
              </w:rPr>
              <w:t> </w:t>
            </w:r>
            <w:r>
              <w:rPr/>
              <w:t>microscopy</w:t>
              <w:tab/>
              <w:t>169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85" w:val="left" w:leader="none"/>
              <w:tab w:pos="1786" w:val="left" w:leader="none"/>
              <w:tab w:pos="8600" w:val="left" w:leader="dot"/>
            </w:tabs>
            <w:spacing w:line="240" w:lineRule="auto" w:before="137" w:after="0"/>
            <w:ind w:left="1785" w:right="0" w:hanging="839"/>
            <w:jc w:val="left"/>
          </w:pPr>
          <w:hyperlink w:history="true" w:anchor="_TOC_250015">
            <w:r>
              <w:rPr/>
              <w:t>Circular</w:t>
            </w:r>
            <w:r>
              <w:rPr>
                <w:spacing w:val="-3"/>
              </w:rPr>
              <w:t> </w:t>
            </w:r>
            <w:r>
              <w:rPr/>
              <w:t>dichroism</w:t>
            </w:r>
            <w:r>
              <w:rPr>
                <w:spacing w:val="-1"/>
              </w:rPr>
              <w:t> </w:t>
            </w:r>
            <w:r>
              <w:rPr/>
              <w:t>spectroscopy</w:t>
              <w:tab/>
              <w:t>169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85" w:val="left" w:leader="none"/>
              <w:tab w:pos="1786" w:val="left" w:leader="none"/>
              <w:tab w:pos="8600" w:val="left" w:leader="dot"/>
            </w:tabs>
            <w:spacing w:line="240" w:lineRule="auto" w:before="140" w:after="0"/>
            <w:ind w:left="1785" w:right="0" w:hanging="839"/>
            <w:jc w:val="left"/>
          </w:pPr>
          <w:hyperlink w:history="true" w:anchor="_TOC_250014">
            <w:r>
              <w:rPr/>
              <w:t>Differential</w:t>
            </w:r>
            <w:r>
              <w:rPr>
                <w:spacing w:val="-1"/>
              </w:rPr>
              <w:t> </w:t>
            </w:r>
            <w:r>
              <w:rPr/>
              <w:t>scanning</w:t>
            </w:r>
            <w:r>
              <w:rPr>
                <w:spacing w:val="-4"/>
              </w:rPr>
              <w:t> </w:t>
            </w:r>
            <w:r>
              <w:rPr/>
              <w:t>calorimetry</w:t>
              <w:tab/>
              <w:t>170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85" w:val="left" w:leader="none"/>
              <w:tab w:pos="1786" w:val="left" w:leader="none"/>
              <w:tab w:pos="8600" w:val="left" w:leader="dot"/>
            </w:tabs>
            <w:spacing w:line="240" w:lineRule="auto" w:before="136" w:after="0"/>
            <w:ind w:left="1785" w:right="0" w:hanging="839"/>
            <w:jc w:val="left"/>
          </w:pPr>
          <w:hyperlink w:history="true" w:anchor="_TOC_250013">
            <w:r>
              <w:rPr/>
              <w:t>Powder</w:t>
            </w:r>
            <w:r>
              <w:rPr>
                <w:spacing w:val="-1"/>
              </w:rPr>
              <w:t> </w:t>
            </w:r>
            <w:r>
              <w:rPr/>
              <w:t>X-ray</w:t>
            </w:r>
            <w:r>
              <w:rPr>
                <w:spacing w:val="-5"/>
              </w:rPr>
              <w:t> </w:t>
            </w:r>
            <w:r>
              <w:rPr/>
              <w:t>diffraction</w:t>
              <w:tab/>
              <w:t>171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85" w:val="left" w:leader="none"/>
              <w:tab w:pos="1786" w:val="left" w:leader="none"/>
              <w:tab w:pos="8600" w:val="left" w:leader="dot"/>
            </w:tabs>
            <w:spacing w:line="240" w:lineRule="auto" w:before="140" w:after="0"/>
            <w:ind w:left="1785" w:right="0" w:hanging="839"/>
            <w:jc w:val="left"/>
          </w:pPr>
          <w:hyperlink w:history="true" w:anchor="_TOC_250012">
            <w:r>
              <w:rPr/>
              <w:t>Fourier</w:t>
            </w:r>
            <w:r>
              <w:rPr>
                <w:spacing w:val="-1"/>
              </w:rPr>
              <w:t> </w:t>
            </w:r>
            <w:r>
              <w:rPr/>
              <w:t>transform</w:t>
            </w:r>
            <w:r>
              <w:rPr>
                <w:spacing w:val="-1"/>
              </w:rPr>
              <w:t> </w:t>
            </w:r>
            <w:r>
              <w:rPr/>
              <w:t>infrared</w:t>
            </w:r>
            <w:r>
              <w:rPr>
                <w:spacing w:val="-1"/>
              </w:rPr>
              <w:t> </w:t>
            </w:r>
            <w:r>
              <w:rPr/>
              <w:t>spectroscopy</w:t>
              <w:tab/>
              <w:t>171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85" w:val="left" w:leader="none"/>
              <w:tab w:pos="1786" w:val="left" w:leader="none"/>
              <w:tab w:pos="8600" w:val="left" w:leader="dot"/>
            </w:tabs>
            <w:spacing w:line="240" w:lineRule="auto" w:before="136" w:after="0"/>
            <w:ind w:left="1785" w:right="0" w:hanging="839"/>
            <w:jc w:val="left"/>
          </w:pPr>
          <w:hyperlink w:history="true" w:anchor="_TOC_250011">
            <w:r>
              <w:rPr/>
              <w:t>Dynamic</w:t>
            </w:r>
            <w:r>
              <w:rPr>
                <w:spacing w:val="-2"/>
              </w:rPr>
              <w:t> </w:t>
            </w:r>
            <w:r>
              <w:rPr/>
              <w:t>vapour</w:t>
            </w:r>
            <w:r>
              <w:rPr>
                <w:spacing w:val="-1"/>
              </w:rPr>
              <w:t> </w:t>
            </w:r>
            <w:r>
              <w:rPr/>
              <w:t>sorption</w:t>
              <w:tab/>
              <w:t>173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345" w:val="left" w:leader="none"/>
              <w:tab w:pos="1346" w:val="left" w:leader="none"/>
              <w:tab w:pos="8600" w:val="left" w:leader="dot"/>
            </w:tabs>
            <w:spacing w:line="240" w:lineRule="auto" w:before="260" w:after="0"/>
            <w:ind w:left="1346" w:right="0" w:hanging="641"/>
            <w:jc w:val="left"/>
          </w:pPr>
          <w:hyperlink w:history="true" w:anchor="_TOC_250010">
            <w:r>
              <w:rPr/>
              <w:t>Physicomechanical</w:t>
            </w:r>
            <w:r>
              <w:rPr>
                <w:spacing w:val="-2"/>
              </w:rPr>
              <w:t> </w:t>
            </w:r>
            <w:r>
              <w:rPr/>
              <w:t>Properties</w:t>
              <w:tab/>
              <w:t>175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345" w:val="left" w:leader="none"/>
              <w:tab w:pos="1346" w:val="left" w:leader="none"/>
              <w:tab w:pos="8600" w:val="left" w:leader="dot"/>
            </w:tabs>
            <w:spacing w:line="240" w:lineRule="auto" w:before="257" w:after="0"/>
            <w:ind w:left="1346" w:right="0" w:hanging="641"/>
            <w:jc w:val="left"/>
          </w:pPr>
          <w:hyperlink w:history="true" w:anchor="_TOC_250009">
            <w:r>
              <w:rPr/>
              <w:t>Compaction</w:t>
            </w:r>
            <w:r>
              <w:rPr>
                <w:spacing w:val="-1"/>
              </w:rPr>
              <w:t> </w:t>
            </w:r>
            <w:r>
              <w:rPr/>
              <w:t>Studies</w:t>
              <w:tab/>
              <w:t>176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345" w:val="left" w:leader="none"/>
              <w:tab w:pos="1346" w:val="left" w:leader="none"/>
              <w:tab w:pos="8600" w:val="left" w:leader="dot"/>
            </w:tabs>
            <w:spacing w:line="240" w:lineRule="auto" w:before="257" w:after="0"/>
            <w:ind w:left="1346" w:right="0" w:hanging="641"/>
            <w:jc w:val="left"/>
          </w:pPr>
          <w:hyperlink w:history="true" w:anchor="_TOC_250008">
            <w:r>
              <w:rPr/>
              <w:t>Tablet</w:t>
            </w:r>
            <w:r>
              <w:rPr>
                <w:spacing w:val="-2"/>
              </w:rPr>
              <w:t> </w:t>
            </w:r>
            <w:r>
              <w:rPr/>
              <w:t>Properties</w:t>
              <w:tab/>
              <w:t>181</w:t>
            </w:r>
          </w:hyperlink>
        </w:p>
        <w:p>
          <w:pPr>
            <w:pStyle w:val="TOC1"/>
            <w:tabs>
              <w:tab w:pos="8600" w:val="left" w:leader="dot"/>
            </w:tabs>
            <w:spacing w:before="240"/>
          </w:pPr>
          <w:hyperlink w:history="true" w:anchor="_TOC_250007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SIX</w:t>
              <w:tab/>
              <w:t>185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125" w:val="left" w:leader="none"/>
              <w:tab w:pos="1126" w:val="left" w:leader="none"/>
              <w:tab w:pos="8600" w:val="left" w:leader="dot"/>
            </w:tabs>
            <w:spacing w:line="360" w:lineRule="auto" w:before="137" w:after="0"/>
            <w:ind w:left="465" w:right="1263" w:firstLine="0"/>
            <w:jc w:val="left"/>
          </w:pPr>
          <w:hyperlink w:history="true" w:anchor="_TOC_250006">
            <w:r>
              <w:rPr/>
              <w:t>SUMMARY, CONTRIBUTION TO KNOWLEDGE, CONCLUSION AND</w:t>
            </w:r>
            <w:r>
              <w:rPr>
                <w:spacing w:val="1"/>
              </w:rPr>
              <w:t> </w:t>
            </w:r>
            <w:r>
              <w:rPr/>
              <w:t>RECOMMENDATIONS FOR</w:t>
            </w:r>
            <w:r>
              <w:rPr>
                <w:spacing w:val="-2"/>
              </w:rPr>
              <w:t> </w:t>
            </w:r>
            <w:r>
              <w:rPr/>
              <w:t>FURTHER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</w:r>
            <w:r>
              <w:rPr>
                <w:spacing w:val="-1"/>
              </w:rPr>
              <w:t>185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345" w:val="left" w:leader="none"/>
              <w:tab w:pos="1346" w:val="left" w:leader="none"/>
              <w:tab w:pos="8600" w:val="left" w:leader="dot"/>
            </w:tabs>
            <w:spacing w:line="240" w:lineRule="auto" w:before="120" w:after="0"/>
            <w:ind w:left="1346" w:right="0" w:hanging="641"/>
            <w:jc w:val="left"/>
          </w:pPr>
          <w:hyperlink w:history="true" w:anchor="_TOC_250005">
            <w:r>
              <w:rPr/>
              <w:t>Summary</w:t>
              <w:tab/>
              <w:t>185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345" w:val="left" w:leader="none"/>
              <w:tab w:pos="1346" w:val="left" w:leader="none"/>
              <w:tab w:pos="8600" w:val="left" w:leader="dot"/>
            </w:tabs>
            <w:spacing w:line="240" w:lineRule="auto" w:before="257" w:after="0"/>
            <w:ind w:left="1346" w:right="0" w:hanging="641"/>
            <w:jc w:val="left"/>
          </w:pPr>
          <w:hyperlink w:history="true" w:anchor="_TOC_250004">
            <w:r>
              <w:rPr/>
              <w:t>Contribution</w:t>
            </w:r>
            <w:r>
              <w:rPr>
                <w:spacing w:val="-1"/>
              </w:rPr>
              <w:t> </w:t>
            </w:r>
            <w:r>
              <w:rPr/>
              <w:t>to Knowledge</w:t>
              <w:tab/>
              <w:t>186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345" w:val="left" w:leader="none"/>
              <w:tab w:pos="1346" w:val="left" w:leader="none"/>
              <w:tab w:pos="8600" w:val="left" w:leader="dot"/>
            </w:tabs>
            <w:spacing w:line="240" w:lineRule="auto" w:before="259" w:after="0"/>
            <w:ind w:left="1346" w:right="0" w:hanging="641"/>
            <w:jc w:val="left"/>
          </w:pPr>
          <w:hyperlink w:history="true" w:anchor="_TOC_250003">
            <w:r>
              <w:rPr/>
              <w:t>Conclusion</w:t>
              <w:tab/>
              <w:t>186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345" w:val="left" w:leader="none"/>
              <w:tab w:pos="1346" w:val="left" w:leader="none"/>
              <w:tab w:pos="8600" w:val="left" w:leader="dot"/>
            </w:tabs>
            <w:spacing w:line="240" w:lineRule="auto" w:before="257" w:after="0"/>
            <w:ind w:left="1346" w:right="0" w:hanging="641"/>
            <w:jc w:val="left"/>
          </w:pPr>
          <w:hyperlink w:history="true" w:anchor="_TOC_250002">
            <w:r>
              <w:rPr/>
              <w:t>Recommendations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further study</w:t>
              <w:tab/>
              <w:t>186</w:t>
            </w:r>
          </w:hyperlink>
        </w:p>
        <w:p>
          <w:pPr>
            <w:pStyle w:val="TOC1"/>
            <w:tabs>
              <w:tab w:pos="8600" w:val="left" w:leader="dot"/>
            </w:tabs>
            <w:spacing w:before="240"/>
          </w:pPr>
          <w:hyperlink w:history="true" w:anchor="_TOC_250001">
            <w:r>
              <w:rPr/>
              <w:t>REFERENCES</w:t>
              <w:tab/>
              <w:t>188</w:t>
            </w:r>
          </w:hyperlink>
        </w:p>
        <w:p>
          <w:pPr>
            <w:pStyle w:val="TOC1"/>
            <w:tabs>
              <w:tab w:pos="8600" w:val="left" w:leader="dot"/>
            </w:tabs>
          </w:pPr>
          <w:hyperlink w:history="true" w:anchor="_TOC_250000">
            <w:r>
              <w:rPr/>
              <w:t>APPENDICES</w:t>
              <w:tab/>
              <w:t>203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340" w:bottom="1569" w:left="1520" w:right="160"/>
        </w:sectPr>
      </w:pPr>
    </w:p>
    <w:p>
      <w:pPr>
        <w:pStyle w:val="Heading3"/>
        <w:ind w:left="645" w:right="1436"/>
        <w:jc w:val="center"/>
      </w:pPr>
      <w:bookmarkStart w:name="_TOC_250099" w:id="7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7"/>
      <w:r>
        <w:rPr/>
        <w:t>FIGURES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tabs>
          <w:tab w:pos="8720" w:val="left" w:leader="dot"/>
        </w:tabs>
        <w:ind w:left="465"/>
      </w:pPr>
      <w:r>
        <w:rPr/>
        <w:t>Figure</w:t>
      </w:r>
      <w:r>
        <w:rPr>
          <w:spacing w:val="-3"/>
        </w:rPr>
        <w:t> </w:t>
      </w:r>
      <w:r>
        <w:rPr/>
        <w:t>1.1: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types of</w:t>
      </w:r>
      <w:r>
        <w:rPr>
          <w:spacing w:val="-1"/>
        </w:rPr>
        <w:t> </w:t>
      </w:r>
      <w:r>
        <w:rPr/>
        <w:t>Heckel</w:t>
      </w:r>
      <w:r>
        <w:rPr>
          <w:spacing w:val="-1"/>
        </w:rPr>
        <w:t> </w:t>
      </w:r>
      <w:r>
        <w:rPr/>
        <w:t>plots</w:t>
        <w:tab/>
        <w:t>11</w:t>
      </w:r>
    </w:p>
    <w:p>
      <w:pPr>
        <w:pStyle w:val="BodyText"/>
        <w:tabs>
          <w:tab w:pos="8720" w:val="left" w:leader="dot"/>
        </w:tabs>
        <w:spacing w:before="120"/>
        <w:ind w:left="465"/>
      </w:pPr>
      <w:r>
        <w:rPr/>
        <w:t>Figure</w:t>
      </w:r>
      <w:r>
        <w:rPr>
          <w:spacing w:val="-3"/>
        </w:rPr>
        <w:t> </w:t>
      </w:r>
      <w:r>
        <w:rPr/>
        <w:t>2.1:</w:t>
      </w:r>
      <w:r>
        <w:rPr>
          <w:spacing w:val="-1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 gelatin</w:t>
        <w:tab/>
        <w:t>62</w:t>
      </w:r>
    </w:p>
    <w:p>
      <w:pPr>
        <w:pStyle w:val="BodyText"/>
        <w:tabs>
          <w:tab w:pos="8720" w:val="left" w:leader="dot"/>
        </w:tabs>
        <w:spacing w:before="120"/>
        <w:ind w:left="465"/>
      </w:pPr>
      <w:r>
        <w:rPr/>
        <w:t>Figure</w:t>
      </w:r>
      <w:r>
        <w:rPr>
          <w:spacing w:val="-4"/>
        </w:rPr>
        <w:t> </w:t>
      </w:r>
      <w:r>
        <w:rPr/>
        <w:t>2.2:</w:t>
      </w:r>
      <w:r>
        <w:rPr>
          <w:spacing w:val="-1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 Ibuprofen</w:t>
        <w:tab/>
        <w:t>66</w:t>
      </w:r>
    </w:p>
    <w:p>
      <w:pPr>
        <w:pStyle w:val="BodyText"/>
        <w:tabs>
          <w:tab w:pos="8720" w:val="left" w:leader="dot"/>
        </w:tabs>
        <w:spacing w:before="120"/>
        <w:ind w:left="465"/>
      </w:pPr>
      <w:r>
        <w:rPr/>
        <w:t>Figure</w:t>
      </w:r>
      <w:r>
        <w:rPr>
          <w:spacing w:val="-3"/>
        </w:rPr>
        <w:t> </w:t>
      </w:r>
      <w:r>
        <w:rPr/>
        <w:t>4.1:</w:t>
      </w:r>
      <w:r>
        <w:rPr>
          <w:spacing w:val="-1"/>
        </w:rPr>
        <w:t> </w:t>
      </w:r>
      <w:r>
        <w:rPr/>
        <w:t>Contour plot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each excipient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tensile</w:t>
      </w:r>
      <w:r>
        <w:rPr>
          <w:spacing w:val="-2"/>
        </w:rPr>
        <w:t> </w:t>
      </w:r>
      <w:r>
        <w:rPr/>
        <w:t>strength</w:t>
        <w:tab/>
        <w:t>95</w:t>
      </w:r>
    </w:p>
    <w:p>
      <w:pPr>
        <w:pStyle w:val="BodyText"/>
        <w:tabs>
          <w:tab w:pos="8720" w:val="left" w:leader="dot"/>
        </w:tabs>
        <w:spacing w:before="120"/>
        <w:ind w:left="465"/>
      </w:pPr>
      <w:r>
        <w:rPr/>
        <w:t>Figure</w:t>
      </w:r>
      <w:r>
        <w:rPr>
          <w:spacing w:val="-3"/>
        </w:rPr>
        <w:t> </w:t>
      </w:r>
      <w:r>
        <w:rPr/>
        <w:t>4.2:</w:t>
      </w:r>
      <w:r>
        <w:rPr>
          <w:spacing w:val="-1"/>
        </w:rPr>
        <w:t> </w:t>
      </w:r>
      <w:r>
        <w:rPr/>
        <w:t>Surface</w:t>
      </w:r>
      <w:r>
        <w:rPr>
          <w:spacing w:val="-2"/>
        </w:rPr>
        <w:t> </w:t>
      </w:r>
      <w:r>
        <w:rPr/>
        <w:t>plot showing</w:t>
      </w:r>
      <w:r>
        <w:rPr>
          <w:spacing w:val="-4"/>
        </w:rPr>
        <w:t> </w:t>
      </w:r>
      <w:r>
        <w:rPr/>
        <w:t>the effect of</w:t>
      </w:r>
      <w:r>
        <w:rPr>
          <w:spacing w:val="-1"/>
        </w:rPr>
        <w:t> </w:t>
      </w:r>
      <w:r>
        <w:rPr/>
        <w:t>each</w:t>
      </w:r>
      <w:r>
        <w:rPr>
          <w:spacing w:val="1"/>
        </w:rPr>
        <w:t> </w:t>
      </w:r>
      <w:r>
        <w:rPr/>
        <w:t>excipient 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tensile</w:t>
      </w:r>
      <w:r>
        <w:rPr>
          <w:spacing w:val="-1"/>
        </w:rPr>
        <w:t> </w:t>
      </w:r>
      <w:r>
        <w:rPr/>
        <w:t>strength</w:t>
        <w:tab/>
        <w:t>96</w:t>
      </w:r>
    </w:p>
    <w:p>
      <w:pPr>
        <w:pStyle w:val="BodyText"/>
        <w:spacing w:before="120"/>
        <w:ind w:left="465"/>
      </w:pPr>
      <w:r>
        <w:rPr/>
        <w:t>Figure</w:t>
      </w:r>
      <w:r>
        <w:rPr>
          <w:spacing w:val="-3"/>
        </w:rPr>
        <w:t> </w:t>
      </w:r>
      <w:r>
        <w:rPr/>
        <w:t>4.3:</w:t>
      </w:r>
      <w:r>
        <w:rPr>
          <w:spacing w:val="-1"/>
        </w:rPr>
        <w:t> </w:t>
      </w:r>
      <w:r>
        <w:rPr/>
        <w:t>Contour</w:t>
      </w:r>
      <w:r>
        <w:rPr>
          <w:spacing w:val="-1"/>
        </w:rPr>
        <w:t> </w:t>
      </w:r>
      <w:r>
        <w:rPr/>
        <w:t>plot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excipient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disintegration time</w:t>
      </w:r>
    </w:p>
    <w:p>
      <w:pPr>
        <w:pStyle w:val="BodyText"/>
        <w:ind w:left="520"/>
      </w:pPr>
      <w:r>
        <w:rPr/>
        <w:t>........................................................................................................................................</w:t>
      </w:r>
      <w:r>
        <w:rPr>
          <w:spacing w:val="-22"/>
        </w:rPr>
        <w:t> </w:t>
      </w:r>
      <w:r>
        <w:rPr/>
        <w:t>97</w:t>
      </w:r>
    </w:p>
    <w:p>
      <w:pPr>
        <w:pStyle w:val="BodyText"/>
        <w:spacing w:before="120"/>
        <w:ind w:left="465"/>
      </w:pPr>
      <w:r>
        <w:rPr/>
        <w:t>Figure</w:t>
      </w:r>
      <w:r>
        <w:rPr>
          <w:spacing w:val="-3"/>
        </w:rPr>
        <w:t> </w:t>
      </w:r>
      <w:r>
        <w:rPr/>
        <w:t>4.4:</w:t>
      </w:r>
      <w:r>
        <w:rPr>
          <w:spacing w:val="-1"/>
        </w:rPr>
        <w:t> </w:t>
      </w:r>
      <w:r>
        <w:rPr/>
        <w:t>Surface</w:t>
      </w:r>
      <w:r>
        <w:rPr>
          <w:spacing w:val="-2"/>
        </w:rPr>
        <w:t> </w:t>
      </w:r>
      <w:r>
        <w:rPr/>
        <w:t>plot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the effect</w:t>
      </w:r>
      <w:r>
        <w:rPr>
          <w:spacing w:val="-1"/>
        </w:rPr>
        <w:t> </w:t>
      </w:r>
      <w:r>
        <w:rPr/>
        <w:t>of each</w:t>
      </w:r>
      <w:r>
        <w:rPr>
          <w:spacing w:val="1"/>
        </w:rPr>
        <w:t> </w:t>
      </w:r>
      <w:r>
        <w:rPr/>
        <w:t>excipient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disintegration</w:t>
      </w:r>
      <w:r>
        <w:rPr>
          <w:spacing w:val="-1"/>
        </w:rPr>
        <w:t> </w:t>
      </w:r>
      <w:r>
        <w:rPr/>
        <w:t>time</w:t>
      </w:r>
    </w:p>
    <w:p>
      <w:pPr>
        <w:pStyle w:val="BodyText"/>
        <w:spacing w:before="1"/>
        <w:ind w:left="520"/>
      </w:pPr>
      <w:r>
        <w:rPr>
          <w:w w:val="95"/>
        </w:rPr>
        <w:t>........................................................................................................................................</w:t>
      </w:r>
      <w:r>
        <w:rPr>
          <w:spacing w:val="54"/>
        </w:rPr>
        <w:t>   </w:t>
      </w:r>
      <w:r>
        <w:rPr>
          <w:spacing w:val="54"/>
        </w:rPr>
        <w:t> </w:t>
      </w:r>
      <w:r>
        <w:rPr>
          <w:w w:val="95"/>
        </w:rPr>
        <w:t>98</w:t>
      </w:r>
    </w:p>
    <w:p>
      <w:pPr>
        <w:pStyle w:val="BodyText"/>
        <w:tabs>
          <w:tab w:pos="8600" w:val="left" w:leader="dot"/>
        </w:tabs>
        <w:spacing w:before="120"/>
        <w:ind w:left="465" w:right="1263"/>
      </w:pPr>
      <w:r>
        <w:rPr/>
        <w:t>Figure 4.5: Overlay contour plot for tensile strength and disintegration time showing the</w:t>
      </w:r>
      <w:r>
        <w:rPr>
          <w:spacing w:val="-57"/>
        </w:rPr>
        <w:t> </w:t>
      </w:r>
      <w:r>
        <w:rPr/>
        <w:t>factor</w:t>
      </w:r>
      <w:r>
        <w:rPr>
          <w:spacing w:val="-1"/>
        </w:rPr>
        <w:t> </w:t>
      </w:r>
      <w:r>
        <w:rPr/>
        <w:t>settings</w:t>
      </w:r>
      <w:r>
        <w:rPr>
          <w:spacing w:val="-1"/>
        </w:rPr>
        <w:t> </w:t>
      </w:r>
      <w:r>
        <w:rPr/>
        <w:t>(excipients)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responses</w:t>
        <w:tab/>
      </w:r>
      <w:r>
        <w:rPr>
          <w:spacing w:val="-1"/>
        </w:rPr>
        <w:t>102</w:t>
      </w:r>
    </w:p>
    <w:p>
      <w:pPr>
        <w:pStyle w:val="BodyText"/>
        <w:tabs>
          <w:tab w:pos="8600" w:val="left" w:leader="dot"/>
        </w:tabs>
        <w:spacing w:before="120"/>
        <w:ind w:left="465" w:right="1263"/>
      </w:pPr>
      <w:r>
        <w:rPr/>
        <w:t>Figure 4.6: Dilution potential plot showing the relationship between the mass fraction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excipient and tensile</w:t>
      </w:r>
      <w:r>
        <w:rPr>
          <w:spacing w:val="-1"/>
        </w:rPr>
        <w:t> </w:t>
      </w:r>
      <w:r>
        <w:rPr/>
        <w:t>strength (MN/m</w:t>
      </w:r>
      <w:r>
        <w:rPr>
          <w:vertAlign w:val="superscript"/>
        </w:rPr>
        <w:t>2</w:t>
      </w:r>
      <w:r>
        <w:rPr>
          <w:vertAlign w:val="baseline"/>
        </w:rPr>
        <w:t>)</w:t>
        <w:tab/>
      </w:r>
      <w:r>
        <w:rPr>
          <w:spacing w:val="-1"/>
          <w:vertAlign w:val="baseline"/>
        </w:rPr>
        <w:t>108</w:t>
      </w:r>
    </w:p>
    <w:p>
      <w:pPr>
        <w:pStyle w:val="BodyText"/>
        <w:tabs>
          <w:tab w:pos="8600" w:val="left" w:leader="dot"/>
        </w:tabs>
        <w:spacing w:before="120"/>
        <w:ind w:left="465" w:right="1263"/>
      </w:pPr>
      <w:r>
        <w:rPr/>
        <w:t>Figure 4.7: Moisture sorption isotherms of SGS-A, SGS-B and SGS-C showing the</w:t>
      </w:r>
      <w:r>
        <w:rPr>
          <w:spacing w:val="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humidity</w:t>
      </w:r>
      <w:r>
        <w:rPr>
          <w:spacing w:val="-5"/>
        </w:rPr>
        <w:t> </w:t>
      </w:r>
      <w:r>
        <w:rPr/>
        <w:t>(%</w:t>
      </w:r>
      <w:r>
        <w:rPr>
          <w:spacing w:val="-2"/>
        </w:rPr>
        <w:t> </w:t>
      </w:r>
      <w:r>
        <w:rPr/>
        <w:t>RH)</w:t>
      </w:r>
      <w:r>
        <w:rPr>
          <w:spacing w:val="-1"/>
        </w:rPr>
        <w:t> </w:t>
      </w:r>
      <w:r>
        <w:rPr/>
        <w:t>and weight</w:t>
      </w:r>
      <w:r>
        <w:rPr>
          <w:spacing w:val="-1"/>
        </w:rPr>
        <w:t> </w:t>
      </w:r>
      <w:r>
        <w:rPr/>
        <w:t>change</w:t>
      </w:r>
      <w:r>
        <w:rPr>
          <w:spacing w:val="-1"/>
        </w:rPr>
        <w:t> </w:t>
      </w:r>
      <w:r>
        <w:rPr/>
        <w:t>(%)</w:t>
        <w:tab/>
      </w:r>
      <w:r>
        <w:rPr>
          <w:spacing w:val="-1"/>
        </w:rPr>
        <w:t>110</w:t>
      </w:r>
    </w:p>
    <w:p>
      <w:pPr>
        <w:pStyle w:val="BodyText"/>
        <w:tabs>
          <w:tab w:pos="8600" w:val="left" w:leader="dot"/>
        </w:tabs>
        <w:spacing w:before="120"/>
        <w:ind w:left="465" w:right="1263"/>
      </w:pPr>
      <w:r>
        <w:rPr/>
        <w:t>Figure 4.8: Particle size distribution showing the relationship between the particle size</w:t>
      </w:r>
      <w:r>
        <w:rPr>
          <w:spacing w:val="1"/>
        </w:rPr>
        <w:t> </w:t>
      </w:r>
      <w:r>
        <w:rPr/>
        <w:t>range</w:t>
      </w:r>
      <w:r>
        <w:rPr>
          <w:spacing w:val="-2"/>
        </w:rPr>
        <w:t> </w:t>
      </w:r>
      <w:r>
        <w:rPr/>
        <w:t>(μm) and</w:t>
      </w:r>
      <w:r>
        <w:rPr>
          <w:spacing w:val="-1"/>
        </w:rPr>
        <w:t> </w:t>
      </w:r>
      <w:r>
        <w:rPr/>
        <w:t>% frequency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CS</w:t>
        <w:tab/>
      </w:r>
      <w:r>
        <w:rPr>
          <w:spacing w:val="-1"/>
        </w:rPr>
        <w:t>116</w:t>
      </w:r>
    </w:p>
    <w:p>
      <w:pPr>
        <w:pStyle w:val="BodyText"/>
        <w:tabs>
          <w:tab w:pos="8600" w:val="left" w:leader="dot"/>
        </w:tabs>
        <w:spacing w:before="120"/>
        <w:ind w:left="465" w:right="1263"/>
      </w:pPr>
      <w:r>
        <w:rPr/>
        <w:t>Figure</w:t>
      </w:r>
      <w:r>
        <w:rPr>
          <w:spacing w:val="1"/>
        </w:rPr>
        <w:t> </w:t>
      </w:r>
      <w:r>
        <w:rPr/>
        <w:t>4.9:</w:t>
      </w:r>
      <w:r>
        <w:rPr>
          <w:spacing w:val="3"/>
        </w:rPr>
        <w:t> </w:t>
      </w:r>
      <w:r>
        <w:rPr/>
        <w:t>Particle</w:t>
      </w:r>
      <w:r>
        <w:rPr>
          <w:spacing w:val="2"/>
        </w:rPr>
        <w:t> </w:t>
      </w:r>
      <w:r>
        <w:rPr/>
        <w:t>size</w:t>
      </w:r>
      <w:r>
        <w:rPr>
          <w:spacing w:val="4"/>
        </w:rPr>
        <w:t> </w:t>
      </w:r>
      <w:r>
        <w:rPr/>
        <w:t>distribution</w:t>
      </w:r>
      <w:r>
        <w:rPr>
          <w:spacing w:val="4"/>
        </w:rPr>
        <w:t> </w:t>
      </w:r>
      <w:r>
        <w:rPr/>
        <w:t>showing the</w:t>
      </w:r>
      <w:r>
        <w:rPr>
          <w:spacing w:val="3"/>
        </w:rPr>
        <w:t> </w:t>
      </w:r>
      <w:r>
        <w:rPr/>
        <w:t>relationship</w:t>
      </w:r>
      <w:r>
        <w:rPr>
          <w:spacing w:val="4"/>
        </w:rPr>
        <w:t> </w:t>
      </w:r>
      <w:r>
        <w:rPr/>
        <w:t>between</w:t>
      </w:r>
      <w:r>
        <w:rPr>
          <w:spacing w:val="3"/>
        </w:rPr>
        <w:t> </w:t>
      </w:r>
      <w:r>
        <w:rPr/>
        <w:t>particle</w:t>
      </w:r>
      <w:r>
        <w:rPr>
          <w:spacing w:val="6"/>
        </w:rPr>
        <w:t> </w:t>
      </w:r>
      <w:r>
        <w:rPr/>
        <w:t>size</w:t>
      </w:r>
      <w:r>
        <w:rPr>
          <w:spacing w:val="1"/>
        </w:rPr>
        <w:t> </w:t>
      </w:r>
      <w:r>
        <w:rPr/>
        <w:t>range</w:t>
      </w:r>
      <w:r>
        <w:rPr>
          <w:spacing w:val="-2"/>
        </w:rPr>
        <w:t> </w:t>
      </w:r>
      <w:r>
        <w:rPr/>
        <w:t>(μm)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% frequency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SGS</w:t>
        <w:tab/>
      </w:r>
      <w:r>
        <w:rPr>
          <w:spacing w:val="-1"/>
        </w:rPr>
        <w:t>117</w:t>
      </w:r>
    </w:p>
    <w:p>
      <w:pPr>
        <w:pStyle w:val="BodyText"/>
        <w:tabs>
          <w:tab w:pos="8600" w:val="left" w:leader="dot"/>
        </w:tabs>
        <w:spacing w:before="121"/>
        <w:ind w:left="465"/>
      </w:pPr>
      <w:r>
        <w:rPr/>
        <w:t>Figure</w:t>
      </w:r>
      <w:r>
        <w:rPr>
          <w:spacing w:val="-2"/>
        </w:rPr>
        <w:t> </w:t>
      </w:r>
      <w:r>
        <w:rPr/>
        <w:t>4.10: Overlay</w:t>
      </w:r>
      <w:r>
        <w:rPr>
          <w:spacing w:val="-5"/>
        </w:rPr>
        <w:t> </w:t>
      </w:r>
      <w:r>
        <w:rPr/>
        <w:t>DSC thermograms</w:t>
      </w:r>
      <w:r>
        <w:rPr>
          <w:spacing w:val="1"/>
        </w:rPr>
        <w:t> </w:t>
      </w:r>
      <w:r>
        <w:rPr/>
        <w:t>of SGS, SGS-PM and CS</w:t>
        <w:tab/>
        <w:t>125</w:t>
      </w:r>
    </w:p>
    <w:p>
      <w:pPr>
        <w:pStyle w:val="BodyText"/>
        <w:tabs>
          <w:tab w:pos="8600" w:val="left" w:leader="dot"/>
        </w:tabs>
        <w:spacing w:before="120"/>
        <w:ind w:left="465"/>
      </w:pPr>
      <w:r>
        <w:rPr/>
        <w:t>Figure</w:t>
      </w:r>
      <w:r>
        <w:rPr>
          <w:spacing w:val="-3"/>
        </w:rPr>
        <w:t> </w:t>
      </w:r>
      <w:r>
        <w:rPr/>
        <w:t>4.11:</w:t>
      </w:r>
      <w:r>
        <w:rPr>
          <w:spacing w:val="-1"/>
        </w:rPr>
        <w:t> </w:t>
      </w:r>
      <w:r>
        <w:rPr/>
        <w:t>Overlay</w:t>
      </w:r>
      <w:r>
        <w:rPr>
          <w:spacing w:val="-6"/>
        </w:rPr>
        <w:t> </w:t>
      </w:r>
      <w:r>
        <w:rPr/>
        <w:t>DSC</w:t>
      </w:r>
      <w:r>
        <w:rPr>
          <w:spacing w:val="-1"/>
        </w:rPr>
        <w:t> </w:t>
      </w:r>
      <w:r>
        <w:rPr/>
        <w:t>thermograms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IBU and</w:t>
      </w:r>
      <w:r>
        <w:rPr>
          <w:spacing w:val="1"/>
        </w:rPr>
        <w:t> </w:t>
      </w:r>
      <w:r>
        <w:rPr/>
        <w:t>IBU +</w:t>
      </w:r>
      <w:r>
        <w:rPr>
          <w:spacing w:val="-2"/>
        </w:rPr>
        <w:t> </w:t>
      </w:r>
      <w:r>
        <w:rPr/>
        <w:t>SGS</w:t>
        <w:tab/>
        <w:t>127</w:t>
      </w:r>
    </w:p>
    <w:p>
      <w:pPr>
        <w:pStyle w:val="BodyText"/>
        <w:tabs>
          <w:tab w:pos="8600" w:val="left" w:leader="dot"/>
        </w:tabs>
        <w:spacing w:before="120"/>
        <w:ind w:left="465"/>
      </w:pPr>
      <w:r>
        <w:rPr/>
        <w:t>Figure</w:t>
      </w:r>
      <w:r>
        <w:rPr>
          <w:spacing w:val="-2"/>
        </w:rPr>
        <w:t> </w:t>
      </w:r>
      <w:r>
        <w:rPr/>
        <w:t>4.12: PXRD overlay</w:t>
      </w:r>
      <w:r>
        <w:rPr>
          <w:spacing w:val="-5"/>
        </w:rPr>
        <w:t> </w:t>
      </w:r>
      <w:r>
        <w:rPr/>
        <w:t>of SGS, CS, GEL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CSD</w:t>
        <w:tab/>
        <w:t>129</w:t>
      </w:r>
    </w:p>
    <w:p>
      <w:pPr>
        <w:pStyle w:val="BodyText"/>
        <w:tabs>
          <w:tab w:pos="8600" w:val="left" w:leader="dot"/>
        </w:tabs>
        <w:spacing w:before="120"/>
        <w:ind w:left="465"/>
      </w:pPr>
      <w:r>
        <w:rPr/>
        <w:t>Figure</w:t>
      </w:r>
      <w:r>
        <w:rPr>
          <w:spacing w:val="-2"/>
        </w:rPr>
        <w:t> </w:t>
      </w:r>
      <w:r>
        <w:rPr/>
        <w:t>4.13: PXRD overlay</w:t>
      </w:r>
      <w:r>
        <w:rPr>
          <w:spacing w:val="-5"/>
        </w:rPr>
        <w:t> </w:t>
      </w:r>
      <w:r>
        <w:rPr/>
        <w:t>of SGS and</w:t>
      </w:r>
      <w:r>
        <w:rPr>
          <w:spacing w:val="1"/>
        </w:rPr>
        <w:t> </w:t>
      </w:r>
      <w:r>
        <w:rPr/>
        <w:t>SGS-PM</w:t>
        <w:tab/>
        <w:t>131</w:t>
      </w:r>
    </w:p>
    <w:p>
      <w:pPr>
        <w:pStyle w:val="BodyText"/>
        <w:tabs>
          <w:tab w:pos="8600" w:val="left" w:leader="dot"/>
        </w:tabs>
        <w:spacing w:before="120"/>
        <w:ind w:left="465"/>
      </w:pPr>
      <w:r>
        <w:rPr/>
        <w:t>Figure</w:t>
      </w:r>
      <w:r>
        <w:rPr>
          <w:spacing w:val="-3"/>
        </w:rPr>
        <w:t> </w:t>
      </w:r>
      <w:r>
        <w:rPr/>
        <w:t>4.14:</w:t>
      </w:r>
      <w:r>
        <w:rPr>
          <w:spacing w:val="-1"/>
        </w:rPr>
        <w:t> </w:t>
      </w:r>
      <w:r>
        <w:rPr/>
        <w:t>PXRD overlay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IBU</w:t>
      </w:r>
      <w:r>
        <w:rPr>
          <w:spacing w:val="-1"/>
        </w:rPr>
        <w:t> </w:t>
      </w:r>
      <w:r>
        <w:rPr/>
        <w:t>+</w:t>
      </w:r>
      <w:r>
        <w:rPr>
          <w:spacing w:val="-3"/>
        </w:rPr>
        <w:t> </w:t>
      </w:r>
      <w:r>
        <w:rPr/>
        <w:t>SGS,</w:t>
      </w:r>
      <w:r>
        <w:rPr>
          <w:spacing w:val="2"/>
        </w:rPr>
        <w:t> </w:t>
      </w:r>
      <w:r>
        <w:rPr/>
        <w:t>IBU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SGS</w:t>
        <w:tab/>
        <w:t>132</w:t>
      </w:r>
    </w:p>
    <w:p>
      <w:pPr>
        <w:pStyle w:val="BodyText"/>
        <w:tabs>
          <w:tab w:pos="8600" w:val="left" w:leader="dot"/>
        </w:tabs>
        <w:spacing w:before="120"/>
        <w:ind w:left="465"/>
      </w:pPr>
      <w:r>
        <w:rPr/>
        <w:t>Figure</w:t>
      </w:r>
      <w:r>
        <w:rPr>
          <w:spacing w:val="-3"/>
        </w:rPr>
        <w:t> </w:t>
      </w:r>
      <w:r>
        <w:rPr/>
        <w:t>4.15:</w:t>
      </w:r>
      <w:r>
        <w:rPr>
          <w:spacing w:val="2"/>
        </w:rPr>
        <w:t> </w:t>
      </w:r>
      <w:r>
        <w:rPr/>
        <w:t>FT-IR overlay</w:t>
      </w:r>
      <w:r>
        <w:rPr>
          <w:spacing w:val="-6"/>
        </w:rPr>
        <w:t> </w:t>
      </w:r>
      <w:r>
        <w:rPr/>
        <w:t>spectra</w:t>
      </w:r>
      <w:r>
        <w:rPr>
          <w:spacing w:val="-1"/>
        </w:rPr>
        <w:t> </w:t>
      </w:r>
      <w:r>
        <w:rPr/>
        <w:t>of SGS, CS,</w:t>
      </w:r>
      <w:r>
        <w:rPr>
          <w:spacing w:val="-1"/>
        </w:rPr>
        <w:t> </w:t>
      </w:r>
      <w:r>
        <w:rPr/>
        <w:t>GEL</w:t>
      </w:r>
      <w:r>
        <w:rPr>
          <w:spacing w:val="-1"/>
        </w:rPr>
        <w:t> </w:t>
      </w:r>
      <w:r>
        <w:rPr/>
        <w:t>and CSD</w:t>
        <w:tab/>
        <w:t>134</w:t>
      </w:r>
    </w:p>
    <w:p>
      <w:pPr>
        <w:pStyle w:val="BodyText"/>
        <w:tabs>
          <w:tab w:pos="8600" w:val="left" w:leader="dot"/>
        </w:tabs>
        <w:spacing w:before="120"/>
        <w:ind w:left="465"/>
      </w:pPr>
      <w:r>
        <w:rPr/>
        <w:t>Figure</w:t>
      </w:r>
      <w:r>
        <w:rPr>
          <w:spacing w:val="-3"/>
        </w:rPr>
        <w:t> </w:t>
      </w:r>
      <w:r>
        <w:rPr/>
        <w:t>4.16:</w:t>
      </w:r>
      <w:r>
        <w:rPr>
          <w:spacing w:val="1"/>
        </w:rPr>
        <w:t> </w:t>
      </w:r>
      <w:r>
        <w:rPr/>
        <w:t>FT-IR overlay</w:t>
      </w:r>
      <w:r>
        <w:rPr>
          <w:spacing w:val="-6"/>
        </w:rPr>
        <w:t> </w:t>
      </w:r>
      <w:r>
        <w:rPr/>
        <w:t>spectra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SGS and</w:t>
      </w:r>
      <w:r>
        <w:rPr>
          <w:spacing w:val="-1"/>
        </w:rPr>
        <w:t> </w:t>
      </w:r>
      <w:r>
        <w:rPr/>
        <w:t>SGS-PM</w:t>
        <w:tab/>
        <w:t>137</w:t>
      </w:r>
    </w:p>
    <w:p>
      <w:pPr>
        <w:pStyle w:val="BodyText"/>
        <w:tabs>
          <w:tab w:pos="8600" w:val="left" w:leader="dot"/>
        </w:tabs>
        <w:spacing w:before="120"/>
        <w:ind w:left="465"/>
      </w:pPr>
      <w:r>
        <w:rPr/>
        <w:t>Figure</w:t>
      </w:r>
      <w:r>
        <w:rPr>
          <w:spacing w:val="-4"/>
        </w:rPr>
        <w:t> </w:t>
      </w:r>
      <w:r>
        <w:rPr/>
        <w:t>4.17:</w:t>
      </w:r>
      <w:r>
        <w:rPr>
          <w:spacing w:val="1"/>
        </w:rPr>
        <w:t> </w:t>
      </w:r>
      <w:r>
        <w:rPr/>
        <w:t>FT-IR</w:t>
      </w:r>
      <w:r>
        <w:rPr>
          <w:spacing w:val="-1"/>
        </w:rPr>
        <w:t> </w:t>
      </w:r>
      <w:r>
        <w:rPr/>
        <w:t>overlay</w:t>
      </w:r>
      <w:r>
        <w:rPr>
          <w:spacing w:val="-6"/>
        </w:rPr>
        <w:t> </w:t>
      </w:r>
      <w:r>
        <w:rPr/>
        <w:t>spectra</w:t>
      </w:r>
      <w:r>
        <w:rPr>
          <w:spacing w:val="-3"/>
        </w:rPr>
        <w:t> </w:t>
      </w:r>
      <w:r>
        <w:rPr/>
        <w:t>of IBU +</w:t>
      </w:r>
      <w:r>
        <w:rPr>
          <w:spacing w:val="-2"/>
        </w:rPr>
        <w:t> </w:t>
      </w:r>
      <w:r>
        <w:rPr/>
        <w:t>SGS, IBU and</w:t>
      </w:r>
      <w:r>
        <w:rPr>
          <w:spacing w:val="-1"/>
        </w:rPr>
        <w:t> </w:t>
      </w:r>
      <w:r>
        <w:rPr/>
        <w:t>SGS</w:t>
        <w:tab/>
        <w:t>139</w:t>
      </w:r>
    </w:p>
    <w:p>
      <w:pPr>
        <w:pStyle w:val="BodyText"/>
        <w:tabs>
          <w:tab w:pos="8600" w:val="left" w:leader="dot"/>
        </w:tabs>
        <w:spacing w:before="120"/>
        <w:ind w:left="465" w:right="1263"/>
      </w:pPr>
      <w:r>
        <w:rPr/>
        <w:t>Figure 4.18: Moisture sorption isotherms of CS and SGS showing the relationship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 relative</w:t>
      </w:r>
      <w:r>
        <w:rPr>
          <w:spacing w:val="-1"/>
        </w:rPr>
        <w:t> </w:t>
      </w:r>
      <w:r>
        <w:rPr/>
        <w:t>humidity</w:t>
      </w:r>
      <w:r>
        <w:rPr>
          <w:spacing w:val="-6"/>
        </w:rPr>
        <w:t> </w:t>
      </w:r>
      <w:r>
        <w:rPr/>
        <w:t>(%</w:t>
      </w:r>
      <w:r>
        <w:rPr>
          <w:spacing w:val="-3"/>
        </w:rPr>
        <w:t> </w:t>
      </w:r>
      <w:r>
        <w:rPr/>
        <w:t>RH)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weight</w:t>
      </w:r>
      <w:r>
        <w:rPr>
          <w:spacing w:val="2"/>
        </w:rPr>
        <w:t> </w:t>
      </w:r>
      <w:r>
        <w:rPr/>
        <w:t>change</w:t>
      </w:r>
      <w:r>
        <w:rPr>
          <w:spacing w:val="-2"/>
        </w:rPr>
        <w:t> </w:t>
      </w:r>
      <w:r>
        <w:rPr/>
        <w:t>(%)</w:t>
        <w:tab/>
      </w:r>
      <w:r>
        <w:rPr>
          <w:spacing w:val="-1"/>
        </w:rPr>
        <w:t>141</w:t>
      </w:r>
    </w:p>
    <w:p>
      <w:pPr>
        <w:pStyle w:val="BodyText"/>
        <w:tabs>
          <w:tab w:pos="8600" w:val="left" w:leader="dot"/>
        </w:tabs>
        <w:spacing w:before="120"/>
        <w:ind w:left="465" w:right="1263"/>
      </w:pPr>
      <w:r>
        <w:rPr/>
        <w:t>Figure 4.19: Moisture sorption isotherms of SGS, PSV and SLC showing the</w:t>
      </w:r>
      <w:r>
        <w:rPr>
          <w:spacing w:val="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relative</w:t>
      </w:r>
      <w:r>
        <w:rPr>
          <w:spacing w:val="-2"/>
        </w:rPr>
        <w:t> </w:t>
      </w:r>
      <w:r>
        <w:rPr/>
        <w:t>humidity</w:t>
      </w:r>
      <w:r>
        <w:rPr>
          <w:spacing w:val="-9"/>
        </w:rPr>
        <w:t> </w:t>
      </w:r>
      <w:r>
        <w:rPr/>
        <w:t>(%</w:t>
      </w:r>
      <w:r>
        <w:rPr>
          <w:spacing w:val="-2"/>
        </w:rPr>
        <w:t> </w:t>
      </w:r>
      <w:r>
        <w:rPr/>
        <w:t>RH)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weight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(%)</w:t>
        <w:tab/>
      </w:r>
      <w:r>
        <w:rPr>
          <w:spacing w:val="-1"/>
        </w:rPr>
        <w:t>143</w:t>
      </w:r>
    </w:p>
    <w:p>
      <w:pPr>
        <w:pStyle w:val="BodyText"/>
        <w:tabs>
          <w:tab w:pos="8600" w:val="left" w:leader="dot"/>
        </w:tabs>
        <w:spacing w:before="120"/>
        <w:ind w:left="465"/>
      </w:pPr>
      <w:r>
        <w:rPr/>
        <w:t>Figure</w:t>
      </w:r>
      <w:r>
        <w:rPr>
          <w:spacing w:val="-3"/>
        </w:rPr>
        <w:t> </w:t>
      </w:r>
      <w:r>
        <w:rPr/>
        <w:t>4.20: Overlay</w:t>
      </w:r>
      <w:r>
        <w:rPr>
          <w:spacing w:val="-5"/>
        </w:rPr>
        <w:t> </w:t>
      </w:r>
      <w:r>
        <w:rPr/>
        <w:t>CD</w:t>
      </w:r>
      <w:r>
        <w:rPr>
          <w:spacing w:val="1"/>
        </w:rPr>
        <w:t> </w:t>
      </w:r>
      <w:r>
        <w:rPr/>
        <w:t>spectra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GEL, SGS and F-SGS</w:t>
        <w:tab/>
        <w:t>145</w:t>
      </w:r>
    </w:p>
    <w:p>
      <w:pPr>
        <w:pStyle w:val="BodyText"/>
        <w:tabs>
          <w:tab w:pos="8600" w:val="left" w:leader="dot"/>
        </w:tabs>
        <w:spacing w:line="237" w:lineRule="auto" w:before="123"/>
        <w:ind w:left="465" w:right="1263"/>
      </w:pPr>
      <w:r>
        <w:rPr/>
        <w:t>Figure 4.21: Heckel plot of SGS and SGS-PM showing the relationship between</w:t>
      </w:r>
      <w:r>
        <w:rPr>
          <w:spacing w:val="1"/>
        </w:rPr>
        <w:t> </w:t>
      </w:r>
      <w:r>
        <w:rPr/>
        <w:t>compaction</w:t>
      </w:r>
      <w:r>
        <w:rPr>
          <w:spacing w:val="6"/>
        </w:rPr>
        <w:t> </w:t>
      </w:r>
      <w:r>
        <w:rPr/>
        <w:t>pressure</w:t>
      </w:r>
      <w:r>
        <w:rPr>
          <w:spacing w:val="6"/>
        </w:rPr>
        <w:t> </w:t>
      </w:r>
      <w:r>
        <w:rPr/>
        <w:t>P</w:t>
      </w:r>
      <w:r>
        <w:rPr>
          <w:spacing w:val="7"/>
        </w:rPr>
        <w:t> </w:t>
      </w:r>
      <w:r>
        <w:rPr/>
        <w:t>(MN/m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7"/>
          <w:vertAlign w:val="baseline"/>
        </w:rPr>
        <w:t> </w:t>
      </w:r>
      <w:r>
        <w:rPr>
          <w:vertAlign w:val="baseline"/>
        </w:rPr>
        <w:t>and</w:t>
      </w:r>
      <w:r>
        <w:rPr>
          <w:spacing w:val="7"/>
          <w:vertAlign w:val="baseline"/>
        </w:rPr>
        <w:t> </w:t>
      </w:r>
      <w:r>
        <w:rPr>
          <w:vertAlign w:val="baseline"/>
        </w:rPr>
        <w:t>porosity</w:t>
      </w:r>
      <w:r>
        <w:rPr>
          <w:spacing w:val="1"/>
          <w:vertAlign w:val="baseline"/>
        </w:rPr>
        <w:t> </w:t>
      </w:r>
      <w:r>
        <w:rPr>
          <w:vertAlign w:val="baseline"/>
        </w:rPr>
        <w:t>(ln</w:t>
      </w:r>
      <w:r>
        <w:rPr>
          <w:spacing w:val="10"/>
          <w:vertAlign w:val="baseline"/>
        </w:rPr>
        <w:t> </w:t>
      </w:r>
      <w:r>
        <w:rPr>
          <w:vertAlign w:val="baseline"/>
        </w:rPr>
        <w:t>(1/Ԑ))</w:t>
        <w:tab/>
      </w:r>
      <w:r>
        <w:rPr>
          <w:spacing w:val="-1"/>
          <w:vertAlign w:val="baseline"/>
        </w:rPr>
        <w:t>150</w:t>
      </w:r>
    </w:p>
    <w:p>
      <w:pPr>
        <w:pStyle w:val="BodyText"/>
        <w:tabs>
          <w:tab w:pos="8600" w:val="left" w:leader="dot"/>
        </w:tabs>
        <w:spacing w:before="121"/>
        <w:ind w:left="465" w:right="1263"/>
      </w:pPr>
      <w:r>
        <w:rPr/>
        <w:t>Figure 4.22: Kawakita plot for SGS and SGS-PM showing the relationship between</w:t>
      </w:r>
      <w:r>
        <w:rPr>
          <w:spacing w:val="1"/>
        </w:rPr>
        <w:t> </w:t>
      </w:r>
      <w:r>
        <w:rPr/>
        <w:t>compaction</w:t>
      </w:r>
      <w:r>
        <w:rPr>
          <w:spacing w:val="-1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P (MN/m</w:t>
      </w:r>
      <w:r>
        <w:rPr>
          <w:vertAlign w:val="superscript"/>
        </w:rPr>
        <w:t>2</w:t>
      </w:r>
      <w:r>
        <w:rPr>
          <w:vertAlign w:val="baseline"/>
        </w:rPr>
        <w:t>) and P/C</w:t>
        <w:tab/>
      </w:r>
      <w:r>
        <w:rPr>
          <w:spacing w:val="-1"/>
          <w:vertAlign w:val="baseline"/>
        </w:rPr>
        <w:t>151</w:t>
      </w:r>
    </w:p>
    <w:p>
      <w:pPr>
        <w:spacing w:after="0"/>
        <w:sectPr>
          <w:pgSz w:w="11910" w:h="16840"/>
          <w:pgMar w:header="0" w:footer="1067" w:top="1320" w:bottom="1260" w:left="1520" w:right="160"/>
        </w:sectPr>
      </w:pPr>
    </w:p>
    <w:p>
      <w:pPr>
        <w:pStyle w:val="BodyText"/>
        <w:tabs>
          <w:tab w:pos="8960" w:val="right" w:leader="dot"/>
        </w:tabs>
        <w:spacing w:before="72"/>
        <w:ind w:left="465" w:right="1263"/>
      </w:pPr>
      <w:r>
        <w:rPr/>
        <w:t>Figure 4.23: Compressibility plot for SGS and SGS-PM showing the relationship</w:t>
      </w:r>
      <w:r>
        <w:rPr>
          <w:spacing w:val="1"/>
        </w:rPr>
        <w:t> </w:t>
      </w:r>
      <w:r>
        <w:rPr/>
        <w:t>between</w:t>
      </w:r>
      <w:r>
        <w:rPr>
          <w:spacing w:val="3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pressure P</w:t>
      </w:r>
      <w:r>
        <w:rPr>
          <w:spacing w:val="1"/>
        </w:rPr>
        <w:t> </w:t>
      </w:r>
      <w:r>
        <w:rPr/>
        <w:t>(MN/m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porosity</w:t>
      </w:r>
      <w:r>
        <w:rPr>
          <w:spacing w:val="-5"/>
          <w:vertAlign w:val="baseline"/>
        </w:rPr>
        <w:t> </w:t>
      </w:r>
      <w:r>
        <w:rPr>
          <w:vertAlign w:val="baseline"/>
        </w:rPr>
        <w:t>(Ԑ)</w:t>
        <w:tab/>
        <w:t>153</w:t>
      </w:r>
    </w:p>
    <w:p>
      <w:pPr>
        <w:pStyle w:val="BodyText"/>
        <w:tabs>
          <w:tab w:pos="8960" w:val="right" w:leader="dot"/>
        </w:tabs>
        <w:spacing w:before="120"/>
        <w:ind w:left="465" w:right="1263"/>
      </w:pPr>
      <w:r>
        <w:rPr/>
        <w:t>Figure 4.24: Compactability plot for SGS and SGS-PM showing the 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porosity</w:t>
      </w:r>
      <w:r>
        <w:rPr>
          <w:spacing w:val="-4"/>
        </w:rPr>
        <w:t> </w:t>
      </w:r>
      <w:r>
        <w:rPr/>
        <w:t>(Ԑ)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tensile strength</w:t>
      </w:r>
      <w:r>
        <w:rPr>
          <w:spacing w:val="3"/>
        </w:rPr>
        <w:t> </w:t>
      </w:r>
      <w:r>
        <w:rPr/>
        <w:t>(MN/m</w:t>
      </w:r>
      <w:r>
        <w:rPr>
          <w:vertAlign w:val="superscript"/>
        </w:rPr>
        <w:t>2</w:t>
      </w:r>
      <w:r>
        <w:rPr>
          <w:vertAlign w:val="baseline"/>
        </w:rPr>
        <w:t>)</w:t>
        <w:tab/>
        <w:t>155</w:t>
      </w:r>
    </w:p>
    <w:p>
      <w:pPr>
        <w:pStyle w:val="BodyText"/>
        <w:tabs>
          <w:tab w:pos="8960" w:val="right" w:leader="dot"/>
        </w:tabs>
        <w:spacing w:before="120"/>
        <w:ind w:left="465" w:right="1263"/>
      </w:pPr>
      <w:r>
        <w:rPr/>
        <w:t>Figure 4.25: Tabletability plot for SGS and SGS-PM showing the relationship between</w:t>
      </w:r>
      <w:r>
        <w:rPr>
          <w:spacing w:val="1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P</w:t>
      </w:r>
      <w:r>
        <w:rPr>
          <w:spacing w:val="2"/>
        </w:rPr>
        <w:t> </w:t>
      </w:r>
      <w:r>
        <w:rPr/>
        <w:t>(MN/m</w:t>
      </w:r>
      <w:r>
        <w:rPr>
          <w:vertAlign w:val="superscript"/>
        </w:rPr>
        <w:t>2</w:t>
      </w:r>
      <w:r>
        <w:rPr>
          <w:vertAlign w:val="baseline"/>
        </w:rPr>
        <w:t>) and tensile</w:t>
      </w:r>
      <w:r>
        <w:rPr>
          <w:spacing w:val="-1"/>
          <w:vertAlign w:val="baseline"/>
        </w:rPr>
        <w:t> </w:t>
      </w:r>
      <w:r>
        <w:rPr>
          <w:vertAlign w:val="baseline"/>
        </w:rPr>
        <w:t>strength (MN/m</w:t>
      </w:r>
      <w:r>
        <w:rPr>
          <w:vertAlign w:val="superscript"/>
        </w:rPr>
        <w:t>2</w:t>
      </w:r>
      <w:r>
        <w:rPr>
          <w:vertAlign w:val="baseline"/>
        </w:rPr>
        <w:t>)</w:t>
        <w:tab/>
        <w:t>157</w:t>
      </w:r>
    </w:p>
    <w:p>
      <w:pPr>
        <w:pStyle w:val="BodyText"/>
        <w:tabs>
          <w:tab w:pos="8960" w:val="right" w:leader="dot"/>
        </w:tabs>
        <w:spacing w:before="120"/>
        <w:ind w:left="465" w:right="1263"/>
      </w:pPr>
      <w:r>
        <w:rPr/>
        <w:t>Figure 4.26: Dissolution plot of SGS, PSV and SLC showing the relationship between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amount of drug</w:t>
      </w:r>
      <w:r>
        <w:rPr>
          <w:spacing w:val="-3"/>
        </w:rPr>
        <w:t> </w:t>
      </w:r>
      <w:r>
        <w:rPr/>
        <w:t>released (%)</w:t>
      </w:r>
      <w:r>
        <w:rPr>
          <w:spacing w:val="1"/>
        </w:rPr>
        <w:t> </w:t>
      </w:r>
      <w:r>
        <w:rPr/>
        <w:t>and time (min)</w:t>
        <w:tab/>
        <w:t>161</w:t>
      </w:r>
    </w:p>
    <w:p>
      <w:pPr>
        <w:spacing w:after="0"/>
        <w:sectPr>
          <w:pgSz w:w="11910" w:h="16840"/>
          <w:pgMar w:header="0" w:footer="1067" w:top="1320" w:bottom="1260" w:left="1520" w:right="160"/>
        </w:sectPr>
      </w:pPr>
    </w:p>
    <w:p>
      <w:pPr>
        <w:pStyle w:val="Heading3"/>
        <w:ind w:left="465" w:right="1254"/>
        <w:jc w:val="center"/>
      </w:pPr>
      <w:bookmarkStart w:name="_TOC_250098" w:id="8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8"/>
      <w:r>
        <w:rPr/>
        <w:t>TABLES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tabs>
          <w:tab w:pos="8720" w:val="left" w:leader="dot"/>
        </w:tabs>
        <w:ind w:left="465"/>
      </w:pPr>
      <w:r>
        <w:rPr/>
        <w:t>Table</w:t>
      </w:r>
      <w:r>
        <w:rPr>
          <w:spacing w:val="-1"/>
        </w:rPr>
        <w:t> </w:t>
      </w:r>
      <w:r>
        <w:rPr/>
        <w:t>2.1:</w:t>
      </w:r>
      <w:r>
        <w:rPr>
          <w:spacing w:val="-1"/>
        </w:rPr>
        <w:t> </w:t>
      </w:r>
      <w:r>
        <w:rPr/>
        <w:t>Examples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commercially</w:t>
      </w:r>
      <w:r>
        <w:rPr>
          <w:spacing w:val="-3"/>
        </w:rPr>
        <w:t> </w:t>
      </w:r>
      <w:r>
        <w:rPr/>
        <w:t>available co-processed</w:t>
      </w:r>
      <w:r>
        <w:rPr>
          <w:spacing w:val="-1"/>
        </w:rPr>
        <w:t> </w:t>
      </w:r>
      <w:r>
        <w:rPr/>
        <w:t>excipients</w:t>
        <w:tab/>
        <w:t>43</w:t>
      </w:r>
    </w:p>
    <w:p>
      <w:pPr>
        <w:pStyle w:val="BodyText"/>
        <w:tabs>
          <w:tab w:pos="8720" w:val="left" w:leader="dot"/>
        </w:tabs>
        <w:spacing w:before="120"/>
        <w:ind w:left="465"/>
      </w:pPr>
      <w:r>
        <w:rPr/>
        <w:t>Table</w:t>
      </w:r>
      <w:r>
        <w:rPr>
          <w:spacing w:val="-1"/>
        </w:rPr>
        <w:t> </w:t>
      </w:r>
      <w:r>
        <w:rPr/>
        <w:t>2.2:</w:t>
      </w:r>
      <w:r>
        <w:rPr>
          <w:spacing w:val="-1"/>
        </w:rPr>
        <w:t> </w:t>
      </w:r>
      <w:r>
        <w:rPr/>
        <w:t>USP specifications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cassava</w:t>
      </w:r>
      <w:r>
        <w:rPr>
          <w:spacing w:val="-3"/>
        </w:rPr>
        <w:t> </w:t>
      </w:r>
      <w:r>
        <w:rPr/>
        <w:t>starch</w:t>
        <w:tab/>
        <w:t>56</w:t>
      </w:r>
    </w:p>
    <w:p>
      <w:pPr>
        <w:pStyle w:val="BodyText"/>
        <w:tabs>
          <w:tab w:pos="8720" w:val="left" w:leader="dot"/>
        </w:tabs>
        <w:spacing w:before="120"/>
        <w:ind w:left="465"/>
      </w:pPr>
      <w:r>
        <w:rPr/>
        <w:t>Table</w:t>
      </w:r>
      <w:r>
        <w:rPr>
          <w:spacing w:val="-1"/>
        </w:rPr>
        <w:t> </w:t>
      </w:r>
      <w:r>
        <w:rPr/>
        <w:t>2.3: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properties of</w:t>
      </w:r>
      <w:r>
        <w:rPr>
          <w:spacing w:val="-3"/>
        </w:rPr>
        <w:t> </w:t>
      </w:r>
      <w:r>
        <w:rPr/>
        <w:t>colloidal</w:t>
      </w:r>
      <w:r>
        <w:rPr>
          <w:spacing w:val="-1"/>
        </w:rPr>
        <w:t> </w:t>
      </w:r>
      <w:r>
        <w:rPr/>
        <w:t>silicon</w:t>
      </w:r>
      <w:r>
        <w:rPr>
          <w:spacing w:val="-1"/>
        </w:rPr>
        <w:t> </w:t>
      </w:r>
      <w:r>
        <w:rPr/>
        <w:t>dioxide</w:t>
        <w:tab/>
        <w:t>60</w:t>
      </w:r>
    </w:p>
    <w:p>
      <w:pPr>
        <w:pStyle w:val="BodyText"/>
        <w:tabs>
          <w:tab w:pos="8720" w:val="left" w:leader="dot"/>
        </w:tabs>
        <w:spacing w:before="120"/>
        <w:ind w:left="465"/>
      </w:pPr>
      <w:r>
        <w:rPr/>
        <w:t>Table</w:t>
      </w:r>
      <w:r>
        <w:rPr>
          <w:spacing w:val="-2"/>
        </w:rPr>
        <w:t> </w:t>
      </w:r>
      <w:r>
        <w:rPr/>
        <w:t>2.4:</w:t>
      </w:r>
      <w:r>
        <w:rPr>
          <w:spacing w:val="-1"/>
        </w:rPr>
        <w:t> </w:t>
      </w:r>
      <w:r>
        <w:rPr/>
        <w:t>Physicochemical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gelatin</w:t>
        <w:tab/>
        <w:t>64</w:t>
      </w:r>
    </w:p>
    <w:p>
      <w:pPr>
        <w:pStyle w:val="BodyText"/>
        <w:tabs>
          <w:tab w:pos="8720" w:val="left" w:leader="dot"/>
        </w:tabs>
        <w:spacing w:before="120"/>
        <w:ind w:left="465"/>
      </w:pPr>
      <w:r>
        <w:rPr/>
        <w:t>Table</w:t>
      </w:r>
      <w:r>
        <w:rPr>
          <w:spacing w:val="-2"/>
        </w:rPr>
        <w:t> </w:t>
      </w:r>
      <w:r>
        <w:rPr/>
        <w:t>2.5:</w:t>
      </w:r>
      <w:r>
        <w:rPr>
          <w:spacing w:val="-1"/>
        </w:rPr>
        <w:t> </w:t>
      </w:r>
      <w:r>
        <w:rPr/>
        <w:t>Physicochemical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Ibuprofen</w:t>
        <w:tab/>
        <w:t>67</w:t>
      </w:r>
    </w:p>
    <w:p>
      <w:pPr>
        <w:pStyle w:val="BodyText"/>
        <w:tabs>
          <w:tab w:pos="8720" w:val="left" w:leader="dot"/>
        </w:tabs>
        <w:spacing w:before="120"/>
        <w:ind w:left="465"/>
      </w:pPr>
      <w:r>
        <w:rPr/>
        <w:t>Table</w:t>
      </w:r>
      <w:r>
        <w:rPr>
          <w:spacing w:val="-2"/>
        </w:rPr>
        <w:t> </w:t>
      </w:r>
      <w:r>
        <w:rPr/>
        <w:t>3.1: 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Chemicals/Excipients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various</w:t>
      </w:r>
      <w:r>
        <w:rPr>
          <w:spacing w:val="-2"/>
        </w:rPr>
        <w:t> </w:t>
      </w:r>
      <w:r>
        <w:rPr/>
        <w:t>manufacturers</w:t>
        <w:tab/>
        <w:t>71</w:t>
      </w:r>
    </w:p>
    <w:p>
      <w:pPr>
        <w:pStyle w:val="BodyText"/>
        <w:tabs>
          <w:tab w:pos="8720" w:val="left" w:leader="dot"/>
        </w:tabs>
        <w:spacing w:before="120"/>
        <w:ind w:left="465"/>
      </w:pPr>
      <w:r>
        <w:rPr/>
        <w:t>Table</w:t>
      </w:r>
      <w:r>
        <w:rPr>
          <w:spacing w:val="-2"/>
        </w:rPr>
        <w:t> </w:t>
      </w:r>
      <w:r>
        <w:rPr/>
        <w:t>3.2: List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Instruments/Equipment</w:t>
      </w:r>
      <w:r>
        <w:rPr>
          <w:spacing w:val="-2"/>
        </w:rPr>
        <w:t> </w:t>
      </w:r>
      <w:r>
        <w:rPr/>
        <w:t>used</w:t>
        <w:tab/>
        <w:t>72</w:t>
      </w:r>
    </w:p>
    <w:p>
      <w:pPr>
        <w:pStyle w:val="BodyText"/>
        <w:tabs>
          <w:tab w:pos="8720" w:val="left" w:leader="dot"/>
        </w:tabs>
        <w:spacing w:before="121"/>
        <w:ind w:left="465" w:right="1263"/>
      </w:pPr>
      <w:r>
        <w:rPr/>
        <w:t>Table 3.3: The three excipients and their various concentration ranges utilized in the</w:t>
      </w:r>
      <w:r>
        <w:rPr>
          <w:spacing w:val="1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design</w:t>
        <w:tab/>
      </w:r>
      <w:r>
        <w:rPr>
          <w:spacing w:val="-1"/>
        </w:rPr>
        <w:t>75</w:t>
      </w:r>
    </w:p>
    <w:p>
      <w:pPr>
        <w:pStyle w:val="BodyText"/>
        <w:tabs>
          <w:tab w:pos="8720" w:val="left" w:leader="dot"/>
        </w:tabs>
        <w:spacing w:before="120"/>
        <w:ind w:left="465" w:right="1263"/>
      </w:pPr>
      <w:r>
        <w:rPr/>
        <w:t>Table 3.4: Formula for preparing Ibuprofen tablets using StarGelaSil, Prosolv</w:t>
      </w:r>
      <w:r>
        <w:rPr>
          <w:vertAlign w:val="superscript"/>
        </w:rPr>
        <w:t>®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StarLac</w:t>
      </w:r>
      <w:r>
        <w:rPr>
          <w:vertAlign w:val="superscript"/>
        </w:rPr>
        <w:t>®</w:t>
      </w:r>
      <w:r>
        <w:rPr>
          <w:spacing w:val="-5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multifunctional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excipients</w:t>
        <w:tab/>
      </w:r>
      <w:r>
        <w:rPr>
          <w:spacing w:val="-1"/>
          <w:vertAlign w:val="baseline"/>
        </w:rPr>
        <w:t>83</w:t>
      </w:r>
    </w:p>
    <w:p>
      <w:pPr>
        <w:pStyle w:val="BodyText"/>
        <w:tabs>
          <w:tab w:pos="8720" w:val="left" w:leader="dot"/>
        </w:tabs>
        <w:spacing w:before="120"/>
        <w:ind w:left="465" w:right="1263"/>
      </w:pPr>
      <w:r>
        <w:rPr/>
        <w:t>Table 4.1: Tablet responses for the experimental formulations containing different</w:t>
      </w:r>
      <w:r>
        <w:rPr>
          <w:spacing w:val="1"/>
        </w:rPr>
        <w:t> </w:t>
      </w:r>
      <w:r>
        <w:rPr/>
        <w:t>proportions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interacting</w:t>
      </w:r>
      <w:r>
        <w:rPr>
          <w:spacing w:val="-3"/>
        </w:rPr>
        <w:t> </w:t>
      </w:r>
      <w:r>
        <w:rPr/>
        <w:t>excipients involved in</w:t>
      </w:r>
      <w:r>
        <w:rPr>
          <w:spacing w:val="-1"/>
        </w:rPr>
        <w:t> </w:t>
      </w:r>
      <w:r>
        <w:rPr/>
        <w:t>co-processing</w:t>
        <w:tab/>
      </w:r>
      <w:r>
        <w:rPr>
          <w:spacing w:val="-1"/>
        </w:rPr>
        <w:t>88</w:t>
      </w:r>
    </w:p>
    <w:p>
      <w:pPr>
        <w:pStyle w:val="BodyText"/>
        <w:tabs>
          <w:tab w:pos="8720" w:val="left" w:leader="dot"/>
        </w:tabs>
        <w:spacing w:before="120"/>
        <w:ind w:left="465" w:right="1263"/>
      </w:pPr>
      <w:r>
        <w:rPr/>
        <w:t>Table 4.2:</w:t>
      </w:r>
      <w:r>
        <w:rPr>
          <w:spacing w:val="60"/>
        </w:rPr>
        <w:t> </w:t>
      </w:r>
      <w:r>
        <w:rPr/>
        <w:t>Summary statistics of model analysis by ANOVA for each response</w:t>
      </w:r>
      <w:r>
        <w:rPr>
          <w:spacing w:val="1"/>
        </w:rPr>
        <w:t> </w:t>
      </w:r>
      <w:r>
        <w:rPr/>
        <w:t>evaluated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 collected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 experimental</w:t>
      </w:r>
      <w:r>
        <w:rPr>
          <w:spacing w:val="-1"/>
        </w:rPr>
        <w:t> </w:t>
      </w:r>
      <w:r>
        <w:rPr/>
        <w:t>formulations</w:t>
        <w:tab/>
      </w:r>
      <w:r>
        <w:rPr>
          <w:spacing w:val="-1"/>
        </w:rPr>
        <w:t>90</w:t>
      </w:r>
    </w:p>
    <w:p>
      <w:pPr>
        <w:pStyle w:val="BodyText"/>
        <w:tabs>
          <w:tab w:pos="8720" w:val="left" w:leader="dot"/>
        </w:tabs>
        <w:spacing w:before="120"/>
        <w:ind w:left="465" w:right="1263"/>
      </w:pPr>
      <w:r>
        <w:rPr/>
        <w:t>Table 4.3: Model terms for each regression equation representing the two responses 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corresponding</w:t>
      </w:r>
      <w:r>
        <w:rPr>
          <w:spacing w:val="-2"/>
        </w:rPr>
        <w:t> </w:t>
      </w:r>
      <w:r>
        <w:rPr>
          <w:i/>
        </w:rPr>
        <w:t>p</w:t>
      </w:r>
      <w:r>
        <w:rPr>
          <w:i/>
          <w:spacing w:val="-1"/>
        </w:rPr>
        <w:t> </w:t>
      </w:r>
      <w:r>
        <w:rPr/>
        <w:t>value showing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 significance</w:t>
        <w:tab/>
      </w:r>
      <w:r>
        <w:rPr>
          <w:spacing w:val="-1"/>
        </w:rPr>
        <w:t>93</w:t>
      </w:r>
    </w:p>
    <w:p>
      <w:pPr>
        <w:pStyle w:val="BodyText"/>
        <w:spacing w:before="120"/>
        <w:ind w:left="465" w:right="1258"/>
      </w:pPr>
      <w:r>
        <w:rPr/>
        <w:t>Table 4.4: Prediction of the optimized composition of the co-processed excipient</w:t>
      </w:r>
      <w:r>
        <w:rPr>
          <w:spacing w:val="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possible</w:t>
      </w:r>
      <w:r>
        <w:rPr>
          <w:spacing w:val="-2"/>
        </w:rPr>
        <w:t> </w:t>
      </w:r>
      <w:r>
        <w:rPr/>
        <w:t>combinations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interacting</w:t>
      </w:r>
      <w:r>
        <w:rPr>
          <w:spacing w:val="-1"/>
        </w:rPr>
        <w:t> </w:t>
      </w:r>
      <w:r>
        <w:rPr/>
        <w:t>excipients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responses</w:t>
      </w:r>
      <w:r>
        <w:rPr>
          <w:spacing w:val="21"/>
        </w:rPr>
        <w:t> </w:t>
      </w:r>
      <w:r>
        <w:rPr/>
        <w:t>100</w:t>
      </w:r>
    </w:p>
    <w:p>
      <w:pPr>
        <w:pStyle w:val="BodyText"/>
        <w:tabs>
          <w:tab w:pos="8600" w:val="left" w:leader="dot"/>
        </w:tabs>
        <w:spacing w:before="121"/>
        <w:ind w:left="465" w:right="1263"/>
      </w:pPr>
      <w:r>
        <w:rPr/>
        <w:t>Table 4.5: Comparison between the predicted and observed responses of the three</w:t>
      </w:r>
      <w:r>
        <w:rPr>
          <w:spacing w:val="1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optimized</w:t>
      </w:r>
      <w:r>
        <w:rPr>
          <w:spacing w:val="-1"/>
        </w:rPr>
        <w:t> </w:t>
      </w:r>
      <w:r>
        <w:rPr/>
        <w:t>formulations</w:t>
        <w:tab/>
      </w:r>
      <w:r>
        <w:rPr>
          <w:spacing w:val="-1"/>
        </w:rPr>
        <w:t>104</w:t>
      </w:r>
    </w:p>
    <w:p>
      <w:pPr>
        <w:pStyle w:val="BodyText"/>
        <w:tabs>
          <w:tab w:pos="8600" w:val="left" w:leader="dot"/>
        </w:tabs>
        <w:spacing w:before="120"/>
        <w:ind w:left="465" w:right="1263"/>
      </w:pPr>
      <w:r>
        <w:rPr/>
        <w:t>Table 4.6:</w:t>
      </w:r>
      <w:r>
        <w:rPr>
          <w:spacing w:val="1"/>
        </w:rPr>
        <w:t> </w:t>
      </w:r>
      <w:r>
        <w:rPr/>
        <w:t>Flow indices and lubricant sensitivity ratio for the three optimized</w:t>
      </w:r>
      <w:r>
        <w:rPr>
          <w:spacing w:val="1"/>
        </w:rPr>
        <w:t> </w:t>
      </w:r>
      <w:r>
        <w:rPr/>
        <w:t>formulations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co-processed</w:t>
      </w:r>
      <w:r>
        <w:rPr>
          <w:spacing w:val="-1"/>
        </w:rPr>
        <w:t> </w:t>
      </w:r>
      <w:r>
        <w:rPr/>
        <w:t>excipient</w:t>
        <w:tab/>
      </w:r>
      <w:r>
        <w:rPr>
          <w:spacing w:val="-1"/>
        </w:rPr>
        <w:t>106</w:t>
      </w:r>
    </w:p>
    <w:p>
      <w:pPr>
        <w:pStyle w:val="BodyText"/>
        <w:tabs>
          <w:tab w:pos="8600" w:val="left" w:leader="dot"/>
        </w:tabs>
        <w:spacing w:before="120"/>
        <w:ind w:left="465"/>
      </w:pPr>
      <w:r>
        <w:rPr/>
        <w:t>Table</w:t>
      </w:r>
      <w:r>
        <w:rPr>
          <w:spacing w:val="-1"/>
        </w:rPr>
        <w:t> </w:t>
      </w:r>
      <w:r>
        <w:rPr/>
        <w:t>4.7:</w:t>
      </w:r>
      <w:r>
        <w:rPr>
          <w:spacing w:val="-1"/>
        </w:rPr>
        <w:t> </w:t>
      </w:r>
      <w:r>
        <w:rPr/>
        <w:t>Particle</w:t>
      </w:r>
      <w:r>
        <w:rPr>
          <w:spacing w:val="-3"/>
        </w:rPr>
        <w:t> </w:t>
      </w:r>
      <w:r>
        <w:rPr/>
        <w:t>size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cassava</w:t>
      </w:r>
      <w:r>
        <w:rPr>
          <w:spacing w:val="-1"/>
        </w:rPr>
        <w:t> </w:t>
      </w:r>
      <w:r>
        <w:rPr/>
        <w:t>starch</w:t>
      </w:r>
      <w:r>
        <w:rPr>
          <w:spacing w:val="1"/>
        </w:rPr>
        <w:t> </w:t>
      </w:r>
      <w:r>
        <w:rPr/>
        <w:t>(CS)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>
          <w:i/>
        </w:rPr>
        <w:t>StarGelaSil</w:t>
      </w:r>
      <w:r>
        <w:rPr>
          <w:i/>
          <w:spacing w:val="-1"/>
        </w:rPr>
        <w:t> </w:t>
      </w:r>
      <w:r>
        <w:rPr/>
        <w:t>(SGS)</w:t>
        <w:tab/>
        <w:t>114</w:t>
      </w:r>
    </w:p>
    <w:p>
      <w:pPr>
        <w:pStyle w:val="BodyText"/>
        <w:tabs>
          <w:tab w:pos="8600" w:val="left" w:leader="dot"/>
        </w:tabs>
        <w:spacing w:before="120"/>
        <w:ind w:left="465" w:right="1263"/>
      </w:pPr>
      <w:r>
        <w:rPr/>
        <w:t>Table 4.8: Major FT-IR bands and the corresponding functional groups for the three</w:t>
      </w:r>
      <w:r>
        <w:rPr>
          <w:spacing w:val="1"/>
        </w:rPr>
        <w:t> </w:t>
      </w:r>
      <w:r>
        <w:rPr/>
        <w:t>excipients</w:t>
        <w:tab/>
      </w:r>
      <w:r>
        <w:rPr>
          <w:spacing w:val="-1"/>
        </w:rPr>
        <w:t>135</w:t>
      </w:r>
    </w:p>
    <w:p>
      <w:pPr>
        <w:pStyle w:val="BodyText"/>
        <w:tabs>
          <w:tab w:pos="8600" w:val="left" w:leader="dot"/>
        </w:tabs>
        <w:spacing w:before="120"/>
        <w:ind w:left="465"/>
      </w:pPr>
      <w:r>
        <w:rPr/>
        <w:t>Table</w:t>
      </w:r>
      <w:r>
        <w:rPr>
          <w:spacing w:val="-2"/>
        </w:rPr>
        <w:t> </w:t>
      </w:r>
      <w:r>
        <w:rPr/>
        <w:t>4.9:</w:t>
      </w:r>
      <w:r>
        <w:rPr>
          <w:spacing w:val="-1"/>
        </w:rPr>
        <w:t> </w:t>
      </w:r>
      <w:r>
        <w:rPr/>
        <w:t>Physicomechanical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CS,</w:t>
      </w:r>
      <w:r>
        <w:rPr>
          <w:spacing w:val="-1"/>
        </w:rPr>
        <w:t> </w:t>
      </w:r>
      <w:r>
        <w:rPr/>
        <w:t>SGS,</w:t>
      </w:r>
      <w:r>
        <w:rPr>
          <w:spacing w:val="-1"/>
        </w:rPr>
        <w:t> </w:t>
      </w:r>
      <w:r>
        <w:rPr/>
        <w:t>SGS-PM,</w:t>
      </w:r>
      <w:r>
        <w:rPr>
          <w:spacing w:val="-1"/>
        </w:rPr>
        <w:t> </w:t>
      </w:r>
      <w:r>
        <w:rPr/>
        <w:t>PSV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SLC</w:t>
        <w:tab/>
        <w:t>147</w:t>
      </w:r>
    </w:p>
    <w:p>
      <w:pPr>
        <w:pStyle w:val="BodyText"/>
        <w:tabs>
          <w:tab w:pos="8600" w:val="left" w:leader="dot"/>
        </w:tabs>
        <w:spacing w:before="120"/>
        <w:ind w:left="465"/>
      </w:pPr>
      <w:r>
        <w:rPr/>
        <w:t>Table</w:t>
      </w:r>
      <w:r>
        <w:rPr>
          <w:spacing w:val="-1"/>
        </w:rPr>
        <w:t> </w:t>
      </w:r>
      <w:r>
        <w:rPr/>
        <w:t>4.10:</w:t>
      </w:r>
      <w:r>
        <w:rPr>
          <w:spacing w:val="-1"/>
        </w:rPr>
        <w:t> </w:t>
      </w:r>
      <w:r>
        <w:rPr/>
        <w:t>Heckel and Kawakita</w:t>
      </w:r>
      <w:r>
        <w:rPr>
          <w:spacing w:val="-2"/>
        </w:rPr>
        <w:t> </w:t>
      </w:r>
      <w:r>
        <w:rPr/>
        <w:t>parameters for SGS</w:t>
      </w:r>
      <w:r>
        <w:rPr>
          <w:spacing w:val="-1"/>
        </w:rPr>
        <w:t> </w:t>
      </w:r>
      <w:r>
        <w:rPr/>
        <w:t>and SGS-PM</w:t>
        <w:tab/>
        <w:t>149</w:t>
      </w:r>
    </w:p>
    <w:p>
      <w:pPr>
        <w:pStyle w:val="BodyText"/>
        <w:tabs>
          <w:tab w:pos="8600" w:val="left" w:leader="dot"/>
        </w:tabs>
        <w:spacing w:before="120"/>
        <w:ind w:left="465"/>
      </w:pPr>
      <w:r>
        <w:rPr/>
        <w:t>Table</w:t>
      </w:r>
      <w:r>
        <w:rPr>
          <w:spacing w:val="-1"/>
        </w:rPr>
        <w:t> </w:t>
      </w:r>
      <w:r>
        <w:rPr/>
        <w:t>4.11:</w:t>
      </w:r>
      <w:r>
        <w:rPr>
          <w:spacing w:val="-1"/>
        </w:rPr>
        <w:t> </w:t>
      </w:r>
      <w:r>
        <w:rPr/>
        <w:t>Physical properties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tablets</w:t>
      </w:r>
      <w:r>
        <w:rPr>
          <w:spacing w:val="-1"/>
        </w:rPr>
        <w:t> </w:t>
      </w:r>
      <w:r>
        <w:rPr/>
        <w:t>prepared using</w:t>
      </w:r>
      <w:r>
        <w:rPr>
          <w:spacing w:val="-4"/>
        </w:rPr>
        <w:t> </w:t>
      </w:r>
      <w:r>
        <w:rPr/>
        <w:t>SGS,</w:t>
      </w:r>
      <w:r>
        <w:rPr>
          <w:spacing w:val="-1"/>
        </w:rPr>
        <w:t> </w:t>
      </w:r>
      <w:r>
        <w:rPr/>
        <w:t>PSV and</w:t>
      </w:r>
      <w:r>
        <w:rPr>
          <w:spacing w:val="-1"/>
        </w:rPr>
        <w:t> </w:t>
      </w:r>
      <w:r>
        <w:rPr/>
        <w:t>SLC</w:t>
        <w:tab/>
        <w:t>159</w:t>
      </w:r>
    </w:p>
    <w:p>
      <w:pPr>
        <w:spacing w:after="0"/>
        <w:sectPr>
          <w:pgSz w:w="11910" w:h="16840"/>
          <w:pgMar w:header="0" w:footer="1067" w:top="1320" w:bottom="1260" w:left="1520" w:right="160"/>
        </w:sectPr>
      </w:pPr>
    </w:p>
    <w:p>
      <w:pPr>
        <w:pStyle w:val="Heading3"/>
        <w:ind w:left="460" w:right="1254"/>
        <w:jc w:val="center"/>
      </w:pPr>
      <w:bookmarkStart w:name="_TOC_250097" w:id="9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9"/>
      <w:r>
        <w:rPr/>
        <w:t>PLATES</w:t>
      </w:r>
    </w:p>
    <w:p>
      <w:pPr>
        <w:pStyle w:val="BodyText"/>
        <w:tabs>
          <w:tab w:pos="8600" w:val="left" w:leader="dot"/>
        </w:tabs>
        <w:spacing w:before="392"/>
        <w:ind w:left="465"/>
      </w:pPr>
      <w:r>
        <w:rPr/>
        <w:t>Plate</w:t>
      </w:r>
      <w:r>
        <w:rPr>
          <w:spacing w:val="-1"/>
        </w:rPr>
        <w:t> </w:t>
      </w:r>
      <w:r>
        <w:rPr/>
        <w:t>I:</w:t>
      </w:r>
      <w:r>
        <w:rPr>
          <w:spacing w:val="-1"/>
        </w:rPr>
        <w:t> </w:t>
      </w:r>
      <w:r>
        <w:rPr/>
        <w:t>Optical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polarized</w:t>
      </w:r>
      <w:r>
        <w:rPr>
          <w:spacing w:val="-1"/>
        </w:rPr>
        <w:t> </w:t>
      </w:r>
      <w:r>
        <w:rPr/>
        <w:t>images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CS</w:t>
      </w:r>
      <w:r>
        <w:rPr>
          <w:spacing w:val="-1"/>
        </w:rPr>
        <w:t> </w:t>
      </w:r>
      <w:r>
        <w:rPr/>
        <w:t>(x</w:t>
      </w:r>
      <w:r>
        <w:rPr>
          <w:spacing w:val="1"/>
        </w:rPr>
        <w:t> </w:t>
      </w:r>
      <w:r>
        <w:rPr/>
        <w:t>50)</w:t>
        <w:tab/>
        <w:t>112</w:t>
      </w:r>
    </w:p>
    <w:p>
      <w:pPr>
        <w:pStyle w:val="BodyText"/>
        <w:tabs>
          <w:tab w:pos="8600" w:val="left" w:leader="dot"/>
        </w:tabs>
        <w:spacing w:before="120"/>
        <w:ind w:left="465"/>
      </w:pPr>
      <w:r>
        <w:rPr/>
        <w:t>Plate</w:t>
      </w:r>
      <w:r>
        <w:rPr>
          <w:spacing w:val="-1"/>
        </w:rPr>
        <w:t> </w:t>
      </w:r>
      <w:r>
        <w:rPr/>
        <w:t>II:</w:t>
      </w:r>
      <w:r>
        <w:rPr>
          <w:spacing w:val="1"/>
        </w:rPr>
        <w:t> </w:t>
      </w:r>
      <w:r>
        <w:rPr/>
        <w:t>Optical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polarized</w:t>
      </w:r>
      <w:r>
        <w:rPr>
          <w:spacing w:val="-1"/>
        </w:rPr>
        <w:t> </w:t>
      </w:r>
      <w:r>
        <w:rPr/>
        <w:t>images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SGS</w:t>
      </w:r>
      <w:r>
        <w:rPr>
          <w:spacing w:val="-1"/>
        </w:rPr>
        <w:t> </w:t>
      </w:r>
      <w:r>
        <w:rPr/>
        <w:t>(x 50)</w:t>
        <w:tab/>
        <w:t>112</w:t>
      </w:r>
    </w:p>
    <w:p>
      <w:pPr>
        <w:pStyle w:val="BodyText"/>
        <w:tabs>
          <w:tab w:pos="8600" w:val="left" w:leader="dot"/>
        </w:tabs>
        <w:spacing w:before="120"/>
        <w:ind w:left="465"/>
      </w:pPr>
      <w:r>
        <w:rPr/>
        <w:t>Plate</w:t>
      </w:r>
      <w:r>
        <w:rPr>
          <w:spacing w:val="-1"/>
        </w:rPr>
        <w:t> </w:t>
      </w:r>
      <w:r>
        <w:rPr/>
        <w:t>III:</w:t>
      </w:r>
      <w:r>
        <w:rPr>
          <w:spacing w:val="-1"/>
        </w:rPr>
        <w:t> </w:t>
      </w:r>
      <w:r>
        <w:rPr/>
        <w:t>HSM</w:t>
      </w:r>
      <w:r>
        <w:rPr>
          <w:spacing w:val="-1"/>
        </w:rPr>
        <w:t> </w:t>
      </w:r>
      <w:r>
        <w:rPr/>
        <w:t>images</w:t>
      </w:r>
      <w:r>
        <w:rPr>
          <w:spacing w:val="-1"/>
        </w:rPr>
        <w:t> </w:t>
      </w:r>
      <w:r>
        <w:rPr/>
        <w:t>of SGS</w:t>
        <w:tab/>
        <w:t>119</w:t>
      </w:r>
    </w:p>
    <w:p>
      <w:pPr>
        <w:pStyle w:val="BodyText"/>
        <w:tabs>
          <w:tab w:pos="8135" w:val="left" w:leader="dot"/>
        </w:tabs>
        <w:spacing w:before="120"/>
        <w:ind w:right="798"/>
        <w:jc w:val="center"/>
      </w:pPr>
      <w:r>
        <w:rPr/>
        <w:t>Plate IV:</w:t>
      </w:r>
      <w:r>
        <w:rPr>
          <w:spacing w:val="-1"/>
        </w:rPr>
        <w:t> </w:t>
      </w:r>
      <w:r>
        <w:rPr/>
        <w:t>SEM</w:t>
      </w:r>
      <w:r>
        <w:rPr>
          <w:spacing w:val="-1"/>
        </w:rPr>
        <w:t> </w:t>
      </w:r>
      <w:r>
        <w:rPr/>
        <w:t>images</w:t>
      </w:r>
      <w:r>
        <w:rPr>
          <w:spacing w:val="-1"/>
        </w:rPr>
        <w:t> </w:t>
      </w:r>
      <w:r>
        <w:rPr/>
        <w:t>of (A)</w:t>
      </w:r>
      <w:r>
        <w:rPr>
          <w:spacing w:val="-3"/>
        </w:rPr>
        <w:t> </w:t>
      </w:r>
      <w:r>
        <w:rPr/>
        <w:t>SGS-PM,</w:t>
      </w:r>
      <w:r>
        <w:rPr>
          <w:spacing w:val="-1"/>
        </w:rPr>
        <w:t> </w:t>
      </w:r>
      <w:r>
        <w:rPr/>
        <w:t>(B)</w:t>
      </w:r>
      <w:r>
        <w:rPr>
          <w:spacing w:val="-1"/>
        </w:rPr>
        <w:t> </w:t>
      </w:r>
      <w:r>
        <w:rPr/>
        <w:t>SGS,</w:t>
      </w:r>
      <w:r>
        <w:rPr>
          <w:spacing w:val="1"/>
        </w:rPr>
        <w:t> </w:t>
      </w:r>
      <w:r>
        <w:rPr/>
        <w:t>(C)</w:t>
      </w:r>
      <w:r>
        <w:rPr>
          <w:spacing w:val="-1"/>
        </w:rPr>
        <w:t> </w:t>
      </w:r>
      <w:r>
        <w:rPr/>
        <w:t>CS,</w:t>
      </w:r>
      <w:r>
        <w:rPr>
          <w:spacing w:val="-1"/>
        </w:rPr>
        <w:t> </w:t>
      </w:r>
      <w:r>
        <w:rPr/>
        <w:t>(D)</w:t>
      </w:r>
      <w:r>
        <w:rPr>
          <w:spacing w:val="-3"/>
        </w:rPr>
        <w:t> </w:t>
      </w:r>
      <w:r>
        <w:rPr/>
        <w:t>GEL,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(E)</w:t>
      </w:r>
      <w:r>
        <w:rPr>
          <w:spacing w:val="-1"/>
        </w:rPr>
        <w:t> </w:t>
      </w:r>
      <w:r>
        <w:rPr/>
        <w:t>CSD</w:t>
        <w:tab/>
        <w:t>121</w:t>
      </w:r>
    </w:p>
    <w:p>
      <w:pPr>
        <w:pStyle w:val="BodyText"/>
        <w:tabs>
          <w:tab w:pos="8600" w:val="left" w:leader="dot"/>
        </w:tabs>
        <w:spacing w:before="120"/>
        <w:ind w:left="465" w:right="1263"/>
      </w:pPr>
      <w:r>
        <w:rPr/>
        <w:t>Plate V: CLSM image of SGS prepared with FITC-GEL showing the distribution of</w:t>
      </w:r>
      <w:r>
        <w:rPr>
          <w:spacing w:val="1"/>
        </w:rPr>
        <w:t> </w:t>
      </w:r>
      <w:r>
        <w:rPr/>
        <w:t>gelatin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co-processed</w:t>
      </w:r>
      <w:r>
        <w:rPr>
          <w:spacing w:val="-1"/>
        </w:rPr>
        <w:t> </w:t>
      </w:r>
      <w:r>
        <w:rPr/>
        <w:t>excipient</w:t>
        <w:tab/>
      </w:r>
      <w:r>
        <w:rPr>
          <w:spacing w:val="-1"/>
        </w:rPr>
        <w:t>123</w:t>
      </w:r>
    </w:p>
    <w:p>
      <w:pPr>
        <w:spacing w:after="0"/>
        <w:sectPr>
          <w:pgSz w:w="11910" w:h="16840"/>
          <w:pgMar w:header="0" w:footer="1067" w:top="1320" w:bottom="1260" w:left="1520" w:right="160"/>
        </w:sectPr>
      </w:pPr>
    </w:p>
    <w:p>
      <w:pPr>
        <w:pStyle w:val="Heading3"/>
        <w:ind w:left="460" w:right="1254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BodyText"/>
        <w:tabs>
          <w:tab w:pos="8600" w:val="left" w:leader="dot"/>
        </w:tabs>
        <w:spacing w:before="392"/>
        <w:ind w:left="465"/>
      </w:pPr>
      <w:r>
        <w:rPr/>
        <w:t>Table</w:t>
      </w:r>
      <w:r>
        <w:rPr>
          <w:spacing w:val="-1"/>
        </w:rPr>
        <w:t> </w:t>
      </w:r>
      <w:r>
        <w:rPr/>
        <w:t>A1.1:</w:t>
      </w:r>
      <w:r>
        <w:rPr>
          <w:spacing w:val="-1"/>
        </w:rPr>
        <w:t> </w:t>
      </w:r>
      <w:r>
        <w:rPr/>
        <w:t>Dilution</w:t>
      </w:r>
      <w:r>
        <w:rPr>
          <w:spacing w:val="-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data</w:t>
        <w:tab/>
        <w:t>203</w:t>
      </w:r>
    </w:p>
    <w:p>
      <w:pPr>
        <w:pStyle w:val="BodyText"/>
        <w:tabs>
          <w:tab w:pos="8600" w:val="left" w:leader="dot"/>
        </w:tabs>
        <w:spacing w:before="120"/>
        <w:ind w:left="465"/>
      </w:pPr>
      <w:r>
        <w:rPr/>
        <w:t>Table</w:t>
      </w:r>
      <w:r>
        <w:rPr>
          <w:spacing w:val="-1"/>
        </w:rPr>
        <w:t> </w:t>
      </w:r>
      <w:r>
        <w:rPr/>
        <w:t>A1.2:</w:t>
      </w:r>
      <w:r>
        <w:rPr>
          <w:spacing w:val="-1"/>
        </w:rPr>
        <w:t> </w:t>
      </w:r>
      <w:r>
        <w:rPr/>
        <w:t>Particle</w:t>
      </w:r>
      <w:r>
        <w:rPr>
          <w:spacing w:val="-3"/>
        </w:rPr>
        <w:t> </w:t>
      </w:r>
      <w:r>
        <w:rPr/>
        <w:t>size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CS</w:t>
        <w:tab/>
        <w:t>203</w:t>
      </w:r>
    </w:p>
    <w:p>
      <w:pPr>
        <w:pStyle w:val="BodyText"/>
        <w:tabs>
          <w:tab w:pos="8600" w:val="left" w:leader="dot"/>
        </w:tabs>
        <w:spacing w:before="120"/>
        <w:ind w:left="465"/>
      </w:pPr>
      <w:r>
        <w:rPr/>
        <w:t>Table</w:t>
      </w:r>
      <w:r>
        <w:rPr>
          <w:spacing w:val="-1"/>
        </w:rPr>
        <w:t> </w:t>
      </w:r>
      <w:r>
        <w:rPr/>
        <w:t>A1.3:</w:t>
      </w:r>
      <w:r>
        <w:rPr>
          <w:spacing w:val="-1"/>
        </w:rPr>
        <w:t> </w:t>
      </w:r>
      <w:r>
        <w:rPr/>
        <w:t>Particle</w:t>
      </w:r>
      <w:r>
        <w:rPr>
          <w:spacing w:val="-3"/>
        </w:rPr>
        <w:t> </w:t>
      </w:r>
      <w:r>
        <w:rPr/>
        <w:t>size analysis for</w:t>
      </w:r>
      <w:r>
        <w:rPr>
          <w:spacing w:val="-2"/>
        </w:rPr>
        <w:t> </w:t>
      </w:r>
      <w:r>
        <w:rPr/>
        <w:t>SGS</w:t>
        <w:tab/>
        <w:t>204</w:t>
      </w:r>
    </w:p>
    <w:p>
      <w:pPr>
        <w:pStyle w:val="BodyText"/>
        <w:tabs>
          <w:tab w:pos="8600" w:val="left" w:leader="dot"/>
        </w:tabs>
        <w:spacing w:before="120"/>
        <w:ind w:left="465"/>
      </w:pPr>
      <w:r>
        <w:rPr/>
        <w:t>Table</w:t>
      </w:r>
      <w:r>
        <w:rPr>
          <w:spacing w:val="-2"/>
        </w:rPr>
        <w:t> </w:t>
      </w:r>
      <w:r>
        <w:rPr/>
        <w:t>A1.4:</w:t>
      </w:r>
      <w:r>
        <w:rPr>
          <w:spacing w:val="-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SGS</w:t>
        <w:tab/>
        <w:t>204</w:t>
      </w:r>
    </w:p>
    <w:p>
      <w:pPr>
        <w:pStyle w:val="BodyText"/>
        <w:tabs>
          <w:tab w:pos="8600" w:val="left" w:leader="dot"/>
        </w:tabs>
        <w:spacing w:before="120"/>
        <w:ind w:left="465"/>
      </w:pPr>
      <w:r>
        <w:rPr/>
        <w:t>Table</w:t>
      </w:r>
      <w:r>
        <w:rPr>
          <w:spacing w:val="-1"/>
        </w:rPr>
        <w:t> </w:t>
      </w:r>
      <w:r>
        <w:rPr/>
        <w:t>A1.5:</w:t>
      </w:r>
      <w:r>
        <w:rPr>
          <w:spacing w:val="-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SGS-PM</w:t>
        <w:tab/>
        <w:t>205</w:t>
      </w:r>
    </w:p>
    <w:p>
      <w:pPr>
        <w:pStyle w:val="BodyText"/>
        <w:tabs>
          <w:tab w:pos="8600" w:val="left" w:leader="dot"/>
        </w:tabs>
        <w:spacing w:before="120"/>
        <w:ind w:left="465"/>
      </w:pPr>
      <w:r>
        <w:rPr/>
        <w:t>Figure</w:t>
      </w:r>
      <w:r>
        <w:rPr>
          <w:spacing w:val="-4"/>
        </w:rPr>
        <w:t> </w:t>
      </w:r>
      <w:r>
        <w:rPr/>
        <w:t>A1.6:</w:t>
      </w:r>
      <w:r>
        <w:rPr>
          <w:spacing w:val="-1"/>
        </w:rPr>
        <w:t> </w:t>
      </w:r>
      <w:r>
        <w:rPr/>
        <w:t>Calibration</w:t>
      </w:r>
      <w:r>
        <w:rPr>
          <w:spacing w:val="1"/>
        </w:rPr>
        <w:t> </w:t>
      </w:r>
      <w:r>
        <w:rPr/>
        <w:t>curve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ibuprofen</w:t>
        <w:tab/>
        <w:t>206</w:t>
      </w:r>
    </w:p>
    <w:p>
      <w:pPr>
        <w:pStyle w:val="BodyText"/>
        <w:tabs>
          <w:tab w:pos="8600" w:val="left" w:leader="dot"/>
        </w:tabs>
        <w:spacing w:before="120"/>
        <w:ind w:left="465"/>
      </w:pPr>
      <w:r>
        <w:rPr/>
        <w:t>Table</w:t>
      </w:r>
      <w:r>
        <w:rPr>
          <w:spacing w:val="-1"/>
        </w:rPr>
        <w:t> </w:t>
      </w:r>
      <w:r>
        <w:rPr/>
        <w:t>A1.7:</w:t>
      </w:r>
      <w:r>
        <w:rPr>
          <w:spacing w:val="-1"/>
        </w:rPr>
        <w:t> </w:t>
      </w:r>
      <w:r>
        <w:rPr/>
        <w:t>Dissolution data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SGS</w:t>
        <w:tab/>
        <w:t>207</w:t>
      </w:r>
    </w:p>
    <w:p>
      <w:pPr>
        <w:pStyle w:val="BodyText"/>
        <w:tabs>
          <w:tab w:pos="8600" w:val="left" w:leader="dot"/>
        </w:tabs>
        <w:spacing w:before="121"/>
        <w:ind w:left="465"/>
      </w:pPr>
      <w:r>
        <w:rPr/>
        <w:t>Table</w:t>
      </w:r>
      <w:r>
        <w:rPr>
          <w:spacing w:val="-1"/>
        </w:rPr>
        <w:t> </w:t>
      </w:r>
      <w:r>
        <w:rPr/>
        <w:t>A1.8:</w:t>
      </w:r>
      <w:r>
        <w:rPr>
          <w:spacing w:val="-1"/>
        </w:rPr>
        <w:t> </w:t>
      </w:r>
      <w:r>
        <w:rPr/>
        <w:t>Dissolution data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SLC</w:t>
        <w:tab/>
        <w:t>207</w:t>
      </w:r>
    </w:p>
    <w:p>
      <w:pPr>
        <w:pStyle w:val="BodyText"/>
        <w:tabs>
          <w:tab w:pos="8600" w:val="left" w:leader="dot"/>
        </w:tabs>
        <w:spacing w:before="120"/>
        <w:ind w:left="465"/>
      </w:pPr>
      <w:r>
        <w:rPr/>
        <w:t>Table</w:t>
      </w:r>
      <w:r>
        <w:rPr>
          <w:spacing w:val="-1"/>
        </w:rPr>
        <w:t> </w:t>
      </w:r>
      <w:r>
        <w:rPr/>
        <w:t>A1.</w:t>
      </w:r>
      <w:r>
        <w:rPr>
          <w:spacing w:val="-1"/>
        </w:rPr>
        <w:t> </w:t>
      </w:r>
      <w:r>
        <w:rPr/>
        <w:t>9: Dissolution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PSV</w:t>
        <w:tab/>
        <w:t>207</w:t>
      </w:r>
    </w:p>
    <w:p>
      <w:pPr>
        <w:spacing w:after="0"/>
        <w:sectPr>
          <w:pgSz w:w="11910" w:h="16840"/>
          <w:pgMar w:header="0" w:footer="1067" w:top="1320" w:bottom="1260" w:left="1520" w:right="160"/>
        </w:sectPr>
      </w:pPr>
    </w:p>
    <w:p>
      <w:pPr>
        <w:pStyle w:val="Heading3"/>
        <w:ind w:left="3209"/>
      </w:pPr>
      <w:bookmarkStart w:name="_TOC_250096" w:id="10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bookmarkEnd w:id="10"/>
      <w:r>
        <w:rPr/>
        <w:t>ABBREVIATIONS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5"/>
        </w:rPr>
      </w:pPr>
    </w:p>
    <w:tbl>
      <w:tblPr>
        <w:tblW w:w="0" w:type="auto"/>
        <w:jc w:val="left"/>
        <w:tblInd w:w="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6"/>
        <w:gridCol w:w="5269"/>
      </w:tblGrid>
      <w:tr>
        <w:trPr>
          <w:trHeight w:val="408" w:hRule="atLeast"/>
        </w:trPr>
        <w:tc>
          <w:tcPr>
            <w:tcW w:w="109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5269" w:type="dxa"/>
          </w:tcPr>
          <w:p>
            <w:pPr>
              <w:pStyle w:val="TableParagraph"/>
              <w:spacing w:line="266" w:lineRule="exact"/>
              <w:ind w:left="394"/>
              <w:rPr>
                <w:sz w:val="24"/>
              </w:rPr>
            </w:pPr>
            <w:r>
              <w:rPr>
                <w:sz w:val="24"/>
              </w:rPr>
              <w:t>Intercept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linear portion</w:t>
            </w:r>
          </w:p>
        </w:tc>
      </w:tr>
      <w:tr>
        <w:trPr>
          <w:trHeight w:val="551" w:hRule="atLeast"/>
        </w:trPr>
        <w:tc>
          <w:tcPr>
            <w:tcW w:w="109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API</w:t>
            </w:r>
          </w:p>
        </w:tc>
        <w:tc>
          <w:tcPr>
            <w:tcW w:w="5269" w:type="dxa"/>
          </w:tcPr>
          <w:p>
            <w:pPr>
              <w:pStyle w:val="TableParagraph"/>
              <w:spacing w:before="133"/>
              <w:ind w:left="394"/>
              <w:rPr>
                <w:sz w:val="24"/>
              </w:rPr>
            </w:pPr>
            <w:r>
              <w:rPr>
                <w:sz w:val="24"/>
              </w:rPr>
              <w:t>Active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Pharmaceutical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Ingredient</w:t>
            </w:r>
          </w:p>
        </w:tc>
      </w:tr>
      <w:tr>
        <w:trPr>
          <w:trHeight w:val="552" w:hRule="atLeast"/>
        </w:trPr>
        <w:tc>
          <w:tcPr>
            <w:tcW w:w="109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AR</w:t>
            </w:r>
          </w:p>
        </w:tc>
        <w:tc>
          <w:tcPr>
            <w:tcW w:w="5269" w:type="dxa"/>
          </w:tcPr>
          <w:p>
            <w:pPr>
              <w:pStyle w:val="TableParagraph"/>
              <w:spacing w:before="133"/>
              <w:ind w:left="394"/>
              <w:rPr>
                <w:sz w:val="24"/>
              </w:rPr>
            </w:pPr>
            <w:r>
              <w:rPr>
                <w:sz w:val="24"/>
              </w:rPr>
              <w:t>Angle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Repose</w:t>
            </w:r>
          </w:p>
        </w:tc>
      </w:tr>
      <w:tr>
        <w:trPr>
          <w:trHeight w:val="551" w:hRule="atLeast"/>
        </w:trPr>
        <w:tc>
          <w:tcPr>
            <w:tcW w:w="109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BD</w:t>
            </w:r>
          </w:p>
        </w:tc>
        <w:tc>
          <w:tcPr>
            <w:tcW w:w="5269" w:type="dxa"/>
          </w:tcPr>
          <w:p>
            <w:pPr>
              <w:pStyle w:val="TableParagraph"/>
              <w:spacing w:before="133"/>
              <w:ind w:left="394"/>
              <w:rPr>
                <w:sz w:val="24"/>
              </w:rPr>
            </w:pPr>
            <w:r>
              <w:rPr>
                <w:sz w:val="24"/>
              </w:rPr>
              <w:t>Bulk Density</w:t>
            </w:r>
          </w:p>
        </w:tc>
      </w:tr>
      <w:tr>
        <w:trPr>
          <w:trHeight w:val="552" w:hRule="atLeast"/>
        </w:trPr>
        <w:tc>
          <w:tcPr>
            <w:tcW w:w="109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5269" w:type="dxa"/>
          </w:tcPr>
          <w:p>
            <w:pPr>
              <w:pStyle w:val="TableParagraph"/>
              <w:spacing w:before="133"/>
              <w:ind w:left="394"/>
              <w:rPr>
                <w:sz w:val="24"/>
              </w:rPr>
            </w:pPr>
            <w:r>
              <w:rPr>
                <w:sz w:val="24"/>
              </w:rPr>
              <w:t>Bonding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</w:tr>
      <w:tr>
        <w:trPr>
          <w:trHeight w:val="552" w:hRule="atLeast"/>
        </w:trPr>
        <w:tc>
          <w:tcPr>
            <w:tcW w:w="109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BSS</w:t>
            </w:r>
          </w:p>
        </w:tc>
        <w:tc>
          <w:tcPr>
            <w:tcW w:w="5269" w:type="dxa"/>
          </w:tcPr>
          <w:p>
            <w:pPr>
              <w:pStyle w:val="TableParagraph"/>
              <w:spacing w:before="133"/>
              <w:ind w:left="394"/>
              <w:rPr>
                <w:sz w:val="24"/>
              </w:rPr>
            </w:pPr>
            <w:r>
              <w:rPr>
                <w:sz w:val="24"/>
              </w:rPr>
              <w:t>British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</w:tr>
      <w:tr>
        <w:trPr>
          <w:trHeight w:val="551" w:hRule="atLeast"/>
        </w:trPr>
        <w:tc>
          <w:tcPr>
            <w:tcW w:w="109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5269" w:type="dxa"/>
          </w:tcPr>
          <w:p>
            <w:pPr>
              <w:pStyle w:val="TableParagraph"/>
              <w:spacing w:before="133"/>
              <w:ind w:left="394"/>
              <w:rPr>
                <w:sz w:val="24"/>
              </w:rPr>
            </w:pPr>
            <w:r>
              <w:rPr>
                <w:sz w:val="24"/>
              </w:rPr>
              <w:t>Circular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Dichroism</w:t>
            </w:r>
          </w:p>
        </w:tc>
      </w:tr>
      <w:tr>
        <w:trPr>
          <w:trHeight w:val="552" w:hRule="atLeast"/>
        </w:trPr>
        <w:tc>
          <w:tcPr>
            <w:tcW w:w="109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CI</w:t>
            </w:r>
          </w:p>
        </w:tc>
        <w:tc>
          <w:tcPr>
            <w:tcW w:w="5269" w:type="dxa"/>
          </w:tcPr>
          <w:p>
            <w:pPr>
              <w:pStyle w:val="TableParagraph"/>
              <w:spacing w:before="133"/>
              <w:ind w:left="394"/>
              <w:rPr>
                <w:sz w:val="24"/>
              </w:rPr>
            </w:pPr>
            <w:r>
              <w:rPr>
                <w:sz w:val="24"/>
              </w:rPr>
              <w:t>Carr‟s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</w:tr>
      <w:tr>
        <w:trPr>
          <w:trHeight w:val="551" w:hRule="atLeast"/>
        </w:trPr>
        <w:tc>
          <w:tcPr>
            <w:tcW w:w="109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CLSM</w:t>
            </w:r>
          </w:p>
        </w:tc>
        <w:tc>
          <w:tcPr>
            <w:tcW w:w="5269" w:type="dxa"/>
          </w:tcPr>
          <w:p>
            <w:pPr>
              <w:pStyle w:val="TableParagraph"/>
              <w:spacing w:before="133"/>
              <w:ind w:left="394"/>
              <w:rPr>
                <w:sz w:val="24"/>
              </w:rPr>
            </w:pPr>
            <w:r>
              <w:rPr>
                <w:sz w:val="24"/>
              </w:rPr>
              <w:t>Confocal Laser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Scanning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Microscopy</w:t>
            </w:r>
          </w:p>
        </w:tc>
      </w:tr>
      <w:tr>
        <w:trPr>
          <w:trHeight w:val="551" w:hRule="atLeast"/>
        </w:trPr>
        <w:tc>
          <w:tcPr>
            <w:tcW w:w="109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CMS</w:t>
            </w:r>
          </w:p>
        </w:tc>
        <w:tc>
          <w:tcPr>
            <w:tcW w:w="5269" w:type="dxa"/>
          </w:tcPr>
          <w:p>
            <w:pPr>
              <w:pStyle w:val="TableParagraph"/>
              <w:spacing w:before="133"/>
              <w:ind w:left="394"/>
              <w:rPr>
                <w:sz w:val="24"/>
              </w:rPr>
            </w:pPr>
            <w:r>
              <w:rPr>
                <w:sz w:val="24"/>
              </w:rPr>
              <w:t>Chitin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Silicate</w:t>
            </w:r>
          </w:p>
        </w:tc>
      </w:tr>
      <w:tr>
        <w:trPr>
          <w:trHeight w:val="552" w:hRule="atLeast"/>
        </w:trPr>
        <w:tc>
          <w:tcPr>
            <w:tcW w:w="109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CPE</w:t>
            </w:r>
          </w:p>
        </w:tc>
        <w:tc>
          <w:tcPr>
            <w:tcW w:w="5269" w:type="dxa"/>
          </w:tcPr>
          <w:p>
            <w:pPr>
              <w:pStyle w:val="TableParagraph"/>
              <w:spacing w:before="133"/>
              <w:ind w:left="394"/>
              <w:rPr>
                <w:sz w:val="24"/>
              </w:rPr>
            </w:pPr>
            <w:r>
              <w:rPr>
                <w:sz w:val="24"/>
              </w:rPr>
              <w:t>Co-processed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Excipient</w:t>
            </w:r>
          </w:p>
        </w:tc>
      </w:tr>
      <w:tr>
        <w:trPr>
          <w:trHeight w:val="552" w:hRule="atLeast"/>
        </w:trPr>
        <w:tc>
          <w:tcPr>
            <w:tcW w:w="109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CPP</w:t>
            </w:r>
          </w:p>
        </w:tc>
        <w:tc>
          <w:tcPr>
            <w:tcW w:w="5269" w:type="dxa"/>
          </w:tcPr>
          <w:p>
            <w:pPr>
              <w:pStyle w:val="TableParagraph"/>
              <w:spacing w:before="133"/>
              <w:ind w:left="394"/>
              <w:rPr>
                <w:sz w:val="24"/>
              </w:rPr>
            </w:pPr>
            <w:r>
              <w:rPr>
                <w:sz w:val="24"/>
              </w:rPr>
              <w:t>Critical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Parameters</w:t>
            </w:r>
          </w:p>
        </w:tc>
      </w:tr>
      <w:tr>
        <w:trPr>
          <w:trHeight w:val="552" w:hRule="atLeast"/>
        </w:trPr>
        <w:tc>
          <w:tcPr>
            <w:tcW w:w="109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CQA</w:t>
            </w:r>
          </w:p>
        </w:tc>
        <w:tc>
          <w:tcPr>
            <w:tcW w:w="5269" w:type="dxa"/>
          </w:tcPr>
          <w:p>
            <w:pPr>
              <w:pStyle w:val="TableParagraph"/>
              <w:spacing w:before="133"/>
              <w:ind w:left="394"/>
              <w:rPr>
                <w:sz w:val="24"/>
              </w:rPr>
            </w:pPr>
            <w:r>
              <w:rPr>
                <w:sz w:val="24"/>
              </w:rPr>
              <w:t>Critical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Attributes</w:t>
            </w:r>
          </w:p>
        </w:tc>
      </w:tr>
      <w:tr>
        <w:trPr>
          <w:trHeight w:val="551" w:hRule="atLeast"/>
        </w:trPr>
        <w:tc>
          <w:tcPr>
            <w:tcW w:w="109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CS</w:t>
            </w:r>
          </w:p>
        </w:tc>
        <w:tc>
          <w:tcPr>
            <w:tcW w:w="5269" w:type="dxa"/>
          </w:tcPr>
          <w:p>
            <w:pPr>
              <w:pStyle w:val="TableParagraph"/>
              <w:spacing w:before="133"/>
              <w:ind w:left="394"/>
              <w:rPr>
                <w:sz w:val="24"/>
              </w:rPr>
            </w:pPr>
            <w:r>
              <w:rPr>
                <w:sz w:val="24"/>
              </w:rPr>
              <w:t>Cassava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</w:tr>
      <w:tr>
        <w:trPr>
          <w:trHeight w:val="552" w:hRule="atLeast"/>
        </w:trPr>
        <w:tc>
          <w:tcPr>
            <w:tcW w:w="109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CSD</w:t>
            </w:r>
          </w:p>
        </w:tc>
        <w:tc>
          <w:tcPr>
            <w:tcW w:w="5269" w:type="dxa"/>
          </w:tcPr>
          <w:p>
            <w:pPr>
              <w:pStyle w:val="TableParagraph"/>
              <w:spacing w:before="133"/>
              <w:ind w:left="394"/>
              <w:rPr>
                <w:sz w:val="24"/>
              </w:rPr>
            </w:pPr>
            <w:r>
              <w:rPr>
                <w:sz w:val="24"/>
              </w:rPr>
              <w:t>Colloidal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Silicon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Dioxide</w:t>
            </w:r>
          </w:p>
        </w:tc>
      </w:tr>
      <w:tr>
        <w:trPr>
          <w:trHeight w:val="551" w:hRule="atLeast"/>
        </w:trPr>
        <w:tc>
          <w:tcPr>
            <w:tcW w:w="109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CTC</w:t>
            </w:r>
          </w:p>
        </w:tc>
        <w:tc>
          <w:tcPr>
            <w:tcW w:w="5269" w:type="dxa"/>
          </w:tcPr>
          <w:p>
            <w:pPr>
              <w:pStyle w:val="TableParagraph"/>
              <w:spacing w:before="133"/>
              <w:ind w:left="394"/>
              <w:rPr>
                <w:sz w:val="24"/>
              </w:rPr>
            </w:pPr>
            <w:r>
              <w:rPr>
                <w:sz w:val="24"/>
              </w:rPr>
              <w:t>Compressibility,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Tabletability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Compactability</w:t>
            </w:r>
          </w:p>
        </w:tc>
      </w:tr>
      <w:tr>
        <w:trPr>
          <w:trHeight w:val="551" w:hRule="atLeast"/>
        </w:trPr>
        <w:tc>
          <w:tcPr>
            <w:tcW w:w="1096" w:type="dxa"/>
          </w:tcPr>
          <w:p>
            <w:pPr>
              <w:pStyle w:val="TableParagraph"/>
              <w:spacing w:before="133"/>
              <w:ind w:left="5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D</w:t>
            </w:r>
          </w:p>
        </w:tc>
        <w:tc>
          <w:tcPr>
            <w:tcW w:w="5269" w:type="dxa"/>
          </w:tcPr>
          <w:p>
            <w:pPr>
              <w:pStyle w:val="TableParagraph"/>
              <w:spacing w:before="133"/>
              <w:ind w:left="394"/>
              <w:rPr>
                <w:sz w:val="24"/>
              </w:rPr>
            </w:pPr>
            <w:r>
              <w:rPr>
                <w:sz w:val="24"/>
              </w:rPr>
              <w:t>Relative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</w:p>
        </w:tc>
      </w:tr>
      <w:tr>
        <w:trPr>
          <w:trHeight w:val="551" w:hRule="atLeast"/>
        </w:trPr>
        <w:tc>
          <w:tcPr>
            <w:tcW w:w="1096" w:type="dxa"/>
          </w:tcPr>
          <w:p>
            <w:pPr>
              <w:pStyle w:val="TableParagraph"/>
              <w:spacing w:before="132"/>
              <w:ind w:left="50"/>
              <w:rPr>
                <w:sz w:val="24"/>
              </w:rPr>
            </w:pPr>
            <w:r>
              <w:rPr>
                <w:sz w:val="24"/>
              </w:rPr>
              <w:t>DC</w:t>
            </w:r>
          </w:p>
        </w:tc>
        <w:tc>
          <w:tcPr>
            <w:tcW w:w="5269" w:type="dxa"/>
          </w:tcPr>
          <w:p>
            <w:pPr>
              <w:pStyle w:val="TableParagraph"/>
              <w:spacing w:before="132"/>
              <w:ind w:left="394"/>
              <w:rPr>
                <w:sz w:val="24"/>
              </w:rPr>
            </w:pPr>
            <w:r>
              <w:rPr>
                <w:sz w:val="24"/>
              </w:rPr>
              <w:t>Direct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Compression</w:t>
            </w:r>
          </w:p>
        </w:tc>
      </w:tr>
      <w:tr>
        <w:trPr>
          <w:trHeight w:val="552" w:hRule="atLeast"/>
        </w:trPr>
        <w:tc>
          <w:tcPr>
            <w:tcW w:w="109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DG</w:t>
            </w:r>
          </w:p>
        </w:tc>
        <w:tc>
          <w:tcPr>
            <w:tcW w:w="5269" w:type="dxa"/>
          </w:tcPr>
          <w:p>
            <w:pPr>
              <w:pStyle w:val="TableParagraph"/>
              <w:spacing w:before="133"/>
              <w:ind w:left="394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Granulation</w:t>
            </w:r>
          </w:p>
        </w:tc>
      </w:tr>
      <w:tr>
        <w:trPr>
          <w:trHeight w:val="551" w:hRule="atLeast"/>
        </w:trPr>
        <w:tc>
          <w:tcPr>
            <w:tcW w:w="109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DoE</w:t>
            </w:r>
          </w:p>
        </w:tc>
        <w:tc>
          <w:tcPr>
            <w:tcW w:w="5269" w:type="dxa"/>
          </w:tcPr>
          <w:p>
            <w:pPr>
              <w:pStyle w:val="TableParagraph"/>
              <w:spacing w:before="133"/>
              <w:ind w:left="394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Experiment</w:t>
            </w:r>
          </w:p>
        </w:tc>
      </w:tr>
      <w:tr>
        <w:trPr>
          <w:trHeight w:val="552" w:hRule="atLeast"/>
        </w:trPr>
        <w:tc>
          <w:tcPr>
            <w:tcW w:w="109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DSC</w:t>
            </w:r>
          </w:p>
        </w:tc>
        <w:tc>
          <w:tcPr>
            <w:tcW w:w="5269" w:type="dxa"/>
          </w:tcPr>
          <w:p>
            <w:pPr>
              <w:pStyle w:val="TableParagraph"/>
              <w:spacing w:before="133"/>
              <w:ind w:left="394"/>
              <w:rPr>
                <w:sz w:val="24"/>
              </w:rPr>
            </w:pPr>
            <w:r>
              <w:rPr>
                <w:sz w:val="24"/>
              </w:rPr>
              <w:t>Differential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Scanning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Calorimetry</w:t>
            </w:r>
          </w:p>
        </w:tc>
      </w:tr>
      <w:tr>
        <w:trPr>
          <w:trHeight w:val="551" w:hRule="atLeast"/>
        </w:trPr>
        <w:tc>
          <w:tcPr>
            <w:tcW w:w="109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DT</w:t>
            </w:r>
          </w:p>
        </w:tc>
        <w:tc>
          <w:tcPr>
            <w:tcW w:w="5269" w:type="dxa"/>
          </w:tcPr>
          <w:p>
            <w:pPr>
              <w:pStyle w:val="TableParagraph"/>
              <w:spacing w:before="133"/>
              <w:ind w:left="394"/>
              <w:rPr>
                <w:sz w:val="24"/>
              </w:rPr>
            </w:pPr>
            <w:r>
              <w:rPr>
                <w:sz w:val="24"/>
              </w:rPr>
              <w:t>Disintegration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</w:tr>
      <w:tr>
        <w:trPr>
          <w:trHeight w:val="520" w:hRule="atLeast"/>
        </w:trPr>
        <w:tc>
          <w:tcPr>
            <w:tcW w:w="109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DVS</w:t>
            </w:r>
          </w:p>
        </w:tc>
        <w:tc>
          <w:tcPr>
            <w:tcW w:w="5269" w:type="dxa"/>
          </w:tcPr>
          <w:p>
            <w:pPr>
              <w:pStyle w:val="TableParagraph"/>
              <w:spacing w:before="133"/>
              <w:ind w:left="394"/>
              <w:rPr>
                <w:sz w:val="24"/>
              </w:rPr>
            </w:pPr>
            <w:r>
              <w:rPr>
                <w:sz w:val="24"/>
              </w:rPr>
              <w:t>Dynamic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Vapour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Sorption</w:t>
            </w:r>
          </w:p>
        </w:tc>
      </w:tr>
      <w:tr>
        <w:trPr>
          <w:trHeight w:val="500" w:hRule="atLeast"/>
        </w:trPr>
        <w:tc>
          <w:tcPr>
            <w:tcW w:w="1096" w:type="dxa"/>
          </w:tcPr>
          <w:p>
            <w:pPr>
              <w:pStyle w:val="TableParagraph"/>
              <w:spacing w:before="154"/>
              <w:ind w:left="50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82"/>
                <w:sz w:val="25"/>
              </w:rPr>
              <w:t>Ɛ</w:t>
            </w:r>
          </w:p>
        </w:tc>
        <w:tc>
          <w:tcPr>
            <w:tcW w:w="5269" w:type="dxa"/>
          </w:tcPr>
          <w:p>
            <w:pPr>
              <w:pStyle w:val="TableParagraph"/>
              <w:spacing w:before="165"/>
              <w:ind w:left="394"/>
              <w:rPr>
                <w:sz w:val="24"/>
              </w:rPr>
            </w:pPr>
            <w:r>
              <w:rPr>
                <w:sz w:val="24"/>
              </w:rPr>
              <w:t>Porosity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67" w:top="1320" w:bottom="1260" w:left="1520" w:right="160"/>
        </w:sectPr>
      </w:pPr>
    </w:p>
    <w:tbl>
      <w:tblPr>
        <w:tblW w:w="0" w:type="auto"/>
        <w:jc w:val="left"/>
        <w:tblInd w:w="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4927"/>
      </w:tblGrid>
      <w:tr>
        <w:trPr>
          <w:trHeight w:val="409" w:hRule="atLeast"/>
        </w:trPr>
        <w:tc>
          <w:tcPr>
            <w:tcW w:w="117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FDA</w:t>
            </w:r>
          </w:p>
        </w:tc>
        <w:tc>
          <w:tcPr>
            <w:tcW w:w="4927" w:type="dxa"/>
          </w:tcPr>
          <w:p>
            <w:pPr>
              <w:pStyle w:val="TableParagraph"/>
              <w:spacing w:line="266" w:lineRule="exact"/>
              <w:ind w:left="314"/>
              <w:rPr>
                <w:sz w:val="24"/>
              </w:rPr>
            </w:pP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Drug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Administration</w:t>
            </w:r>
          </w:p>
        </w:tc>
      </w:tr>
      <w:tr>
        <w:trPr>
          <w:trHeight w:val="552" w:hRule="atLeast"/>
        </w:trPr>
        <w:tc>
          <w:tcPr>
            <w:tcW w:w="11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FITC</w:t>
            </w:r>
          </w:p>
        </w:tc>
        <w:tc>
          <w:tcPr>
            <w:tcW w:w="4927" w:type="dxa"/>
          </w:tcPr>
          <w:p>
            <w:pPr>
              <w:pStyle w:val="TableParagraph"/>
              <w:spacing w:before="133"/>
              <w:ind w:left="314"/>
              <w:rPr>
                <w:sz w:val="24"/>
              </w:rPr>
            </w:pPr>
            <w:r>
              <w:rPr>
                <w:sz w:val="24"/>
              </w:rPr>
              <w:t>Fluorescein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isothiocyanate</w:t>
            </w:r>
          </w:p>
        </w:tc>
      </w:tr>
      <w:tr>
        <w:trPr>
          <w:trHeight w:val="551" w:hRule="atLeast"/>
        </w:trPr>
        <w:tc>
          <w:tcPr>
            <w:tcW w:w="11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FRC</w:t>
            </w:r>
          </w:p>
        </w:tc>
        <w:tc>
          <w:tcPr>
            <w:tcW w:w="4927" w:type="dxa"/>
          </w:tcPr>
          <w:p>
            <w:pPr>
              <w:pStyle w:val="TableParagraph"/>
              <w:spacing w:before="133"/>
              <w:ind w:left="314"/>
              <w:rPr>
                <w:sz w:val="24"/>
              </w:rPr>
            </w:pPr>
            <w:r>
              <w:rPr>
                <w:sz w:val="24"/>
              </w:rPr>
              <w:t>Functionality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Characteristics</w:t>
            </w:r>
          </w:p>
        </w:tc>
      </w:tr>
      <w:tr>
        <w:trPr>
          <w:trHeight w:val="552" w:hRule="atLeast"/>
        </w:trPr>
        <w:tc>
          <w:tcPr>
            <w:tcW w:w="11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FT-IR</w:t>
            </w:r>
          </w:p>
        </w:tc>
        <w:tc>
          <w:tcPr>
            <w:tcW w:w="4927" w:type="dxa"/>
          </w:tcPr>
          <w:p>
            <w:pPr>
              <w:pStyle w:val="TableParagraph"/>
              <w:spacing w:before="133"/>
              <w:ind w:left="314"/>
              <w:rPr>
                <w:sz w:val="24"/>
              </w:rPr>
            </w:pPr>
            <w:r>
              <w:rPr>
                <w:sz w:val="24"/>
              </w:rPr>
              <w:t>Fourier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Transform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Infrared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Spectroscopy</w:t>
            </w:r>
          </w:p>
        </w:tc>
      </w:tr>
      <w:tr>
        <w:trPr>
          <w:trHeight w:val="551" w:hRule="atLeast"/>
        </w:trPr>
        <w:tc>
          <w:tcPr>
            <w:tcW w:w="11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GEL</w:t>
            </w:r>
          </w:p>
        </w:tc>
        <w:tc>
          <w:tcPr>
            <w:tcW w:w="4927" w:type="dxa"/>
          </w:tcPr>
          <w:p>
            <w:pPr>
              <w:pStyle w:val="TableParagraph"/>
              <w:spacing w:before="133"/>
              <w:ind w:left="314"/>
              <w:rPr>
                <w:sz w:val="24"/>
              </w:rPr>
            </w:pPr>
            <w:r>
              <w:rPr>
                <w:sz w:val="24"/>
              </w:rPr>
              <w:t>Gelatin</w:t>
            </w:r>
          </w:p>
        </w:tc>
      </w:tr>
      <w:tr>
        <w:trPr>
          <w:trHeight w:val="559" w:hRule="atLeast"/>
        </w:trPr>
        <w:tc>
          <w:tcPr>
            <w:tcW w:w="11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</w:p>
        </w:tc>
        <w:tc>
          <w:tcPr>
            <w:tcW w:w="4927" w:type="dxa"/>
          </w:tcPr>
          <w:p>
            <w:pPr>
              <w:pStyle w:val="TableParagraph"/>
              <w:spacing w:before="133"/>
              <w:ind w:left="314"/>
              <w:rPr>
                <w:sz w:val="24"/>
              </w:rPr>
            </w:pPr>
            <w:r>
              <w:rPr>
                <w:sz w:val="24"/>
              </w:rPr>
              <w:t>Water</w:t>
            </w:r>
          </w:p>
        </w:tc>
      </w:tr>
      <w:tr>
        <w:trPr>
          <w:trHeight w:val="545" w:hRule="atLeast"/>
        </w:trPr>
        <w:tc>
          <w:tcPr>
            <w:tcW w:w="1176" w:type="dxa"/>
          </w:tcPr>
          <w:p>
            <w:pPr>
              <w:pStyle w:val="TableParagraph"/>
              <w:spacing w:before="126"/>
              <w:ind w:left="50"/>
              <w:rPr>
                <w:sz w:val="24"/>
              </w:rPr>
            </w:pPr>
            <w:r>
              <w:rPr>
                <w:sz w:val="24"/>
              </w:rPr>
              <w:t>HCl</w:t>
            </w:r>
          </w:p>
        </w:tc>
        <w:tc>
          <w:tcPr>
            <w:tcW w:w="4927" w:type="dxa"/>
          </w:tcPr>
          <w:p>
            <w:pPr>
              <w:pStyle w:val="TableParagraph"/>
              <w:spacing w:before="126"/>
              <w:ind w:left="314"/>
              <w:rPr>
                <w:sz w:val="24"/>
              </w:rPr>
            </w:pPr>
            <w:r>
              <w:rPr>
                <w:sz w:val="24"/>
              </w:rPr>
              <w:t>Hydrochloride</w:t>
            </w:r>
          </w:p>
        </w:tc>
      </w:tr>
      <w:tr>
        <w:trPr>
          <w:trHeight w:val="552" w:hRule="atLeast"/>
        </w:trPr>
        <w:tc>
          <w:tcPr>
            <w:tcW w:w="11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  <w:tc>
          <w:tcPr>
            <w:tcW w:w="4927" w:type="dxa"/>
          </w:tcPr>
          <w:p>
            <w:pPr>
              <w:pStyle w:val="TableParagraph"/>
              <w:spacing w:before="133"/>
              <w:ind w:left="314"/>
              <w:rPr>
                <w:sz w:val="24"/>
              </w:rPr>
            </w:pPr>
            <w:r>
              <w:rPr>
                <w:sz w:val="24"/>
              </w:rPr>
              <w:t>Hausner‟s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</w:tr>
      <w:tr>
        <w:trPr>
          <w:trHeight w:val="552" w:hRule="atLeast"/>
        </w:trPr>
        <w:tc>
          <w:tcPr>
            <w:tcW w:w="11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HSM</w:t>
            </w:r>
          </w:p>
        </w:tc>
        <w:tc>
          <w:tcPr>
            <w:tcW w:w="4927" w:type="dxa"/>
          </w:tcPr>
          <w:p>
            <w:pPr>
              <w:pStyle w:val="TableParagraph"/>
              <w:spacing w:before="133"/>
              <w:ind w:left="314"/>
              <w:rPr>
                <w:sz w:val="24"/>
              </w:rPr>
            </w:pPr>
            <w:r>
              <w:rPr>
                <w:sz w:val="24"/>
              </w:rPr>
              <w:t>Hot-stage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Microscopy</w:t>
            </w:r>
          </w:p>
        </w:tc>
      </w:tr>
      <w:tr>
        <w:trPr>
          <w:trHeight w:val="551" w:hRule="atLeast"/>
        </w:trPr>
        <w:tc>
          <w:tcPr>
            <w:tcW w:w="11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ICH</w:t>
            </w:r>
          </w:p>
        </w:tc>
        <w:tc>
          <w:tcPr>
            <w:tcW w:w="4927" w:type="dxa"/>
          </w:tcPr>
          <w:p>
            <w:pPr>
              <w:pStyle w:val="TableParagraph"/>
              <w:spacing w:before="133"/>
              <w:ind w:left="314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Harmonization</w:t>
            </w:r>
          </w:p>
        </w:tc>
      </w:tr>
      <w:tr>
        <w:trPr>
          <w:trHeight w:val="551" w:hRule="atLeast"/>
        </w:trPr>
        <w:tc>
          <w:tcPr>
            <w:tcW w:w="11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IPEC</w:t>
            </w:r>
          </w:p>
        </w:tc>
        <w:tc>
          <w:tcPr>
            <w:tcW w:w="4927" w:type="dxa"/>
          </w:tcPr>
          <w:p>
            <w:pPr>
              <w:pStyle w:val="TableParagraph"/>
              <w:spacing w:before="133"/>
              <w:ind w:left="314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Pharmaceutical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Excipient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Council</w:t>
            </w:r>
          </w:p>
        </w:tc>
      </w:tr>
      <w:tr>
        <w:trPr>
          <w:trHeight w:val="552" w:hRule="atLeast"/>
        </w:trPr>
        <w:tc>
          <w:tcPr>
            <w:tcW w:w="1176" w:type="dxa"/>
          </w:tcPr>
          <w:p>
            <w:pPr>
              <w:pStyle w:val="TableParagraph"/>
              <w:spacing w:before="13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K</w:t>
            </w:r>
          </w:p>
        </w:tc>
        <w:tc>
          <w:tcPr>
            <w:tcW w:w="4927" w:type="dxa"/>
          </w:tcPr>
          <w:p>
            <w:pPr>
              <w:pStyle w:val="TableParagraph"/>
              <w:spacing w:before="133"/>
              <w:ind w:left="314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linear portion</w:t>
            </w:r>
          </w:p>
        </w:tc>
      </w:tr>
      <w:tr>
        <w:trPr>
          <w:trHeight w:val="552" w:hRule="atLeast"/>
        </w:trPr>
        <w:tc>
          <w:tcPr>
            <w:tcW w:w="11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LSR</w:t>
            </w:r>
          </w:p>
        </w:tc>
        <w:tc>
          <w:tcPr>
            <w:tcW w:w="4927" w:type="dxa"/>
          </w:tcPr>
          <w:p>
            <w:pPr>
              <w:pStyle w:val="TableParagraph"/>
              <w:spacing w:before="133"/>
              <w:ind w:left="314"/>
              <w:rPr>
                <w:sz w:val="24"/>
              </w:rPr>
            </w:pPr>
            <w:r>
              <w:rPr>
                <w:sz w:val="24"/>
              </w:rPr>
              <w:t>Lubricant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Sensitivity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</w:tr>
      <w:tr>
        <w:trPr>
          <w:trHeight w:val="552" w:hRule="atLeast"/>
        </w:trPr>
        <w:tc>
          <w:tcPr>
            <w:tcW w:w="11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MCC</w:t>
            </w:r>
          </w:p>
        </w:tc>
        <w:tc>
          <w:tcPr>
            <w:tcW w:w="4927" w:type="dxa"/>
          </w:tcPr>
          <w:p>
            <w:pPr>
              <w:pStyle w:val="TableParagraph"/>
              <w:spacing w:before="133"/>
              <w:ind w:left="314"/>
              <w:rPr>
                <w:sz w:val="24"/>
              </w:rPr>
            </w:pPr>
            <w:r>
              <w:rPr>
                <w:sz w:val="24"/>
              </w:rPr>
              <w:t>Microcrystalline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Cellulose</w:t>
            </w:r>
          </w:p>
        </w:tc>
      </w:tr>
      <w:tr>
        <w:trPr>
          <w:trHeight w:val="532" w:hRule="atLeast"/>
        </w:trPr>
        <w:tc>
          <w:tcPr>
            <w:tcW w:w="11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MHH</w:t>
            </w:r>
          </w:p>
        </w:tc>
        <w:tc>
          <w:tcPr>
            <w:tcW w:w="4927" w:type="dxa"/>
          </w:tcPr>
          <w:p>
            <w:pPr>
              <w:pStyle w:val="TableParagraph"/>
              <w:spacing w:before="133"/>
              <w:ind w:left="314"/>
              <w:rPr>
                <w:sz w:val="24"/>
              </w:rPr>
            </w:pPr>
            <w:r>
              <w:rPr>
                <w:sz w:val="24"/>
              </w:rPr>
              <w:t>Mannitol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Hemihydrate</w:t>
            </w:r>
          </w:p>
        </w:tc>
      </w:tr>
      <w:tr>
        <w:trPr>
          <w:trHeight w:val="571" w:hRule="atLeast"/>
        </w:trPr>
        <w:tc>
          <w:tcPr>
            <w:tcW w:w="1176" w:type="dxa"/>
          </w:tcPr>
          <w:p>
            <w:pPr>
              <w:pStyle w:val="TableParagraph"/>
              <w:spacing w:before="153"/>
              <w:ind w:left="50"/>
              <w:rPr>
                <w:sz w:val="24"/>
              </w:rPr>
            </w:pPr>
            <w:r>
              <w:rPr>
                <w:sz w:val="24"/>
              </w:rPr>
              <w:t>MN/m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4927" w:type="dxa"/>
          </w:tcPr>
          <w:p>
            <w:pPr>
              <w:pStyle w:val="TableParagraph"/>
              <w:spacing w:before="153"/>
              <w:ind w:left="314"/>
              <w:rPr>
                <w:sz w:val="24"/>
              </w:rPr>
            </w:pPr>
            <w:r>
              <w:rPr>
                <w:sz w:val="24"/>
              </w:rPr>
              <w:t>Mega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Newton 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 metre</w:t>
            </w:r>
          </w:p>
        </w:tc>
      </w:tr>
      <w:tr>
        <w:trPr>
          <w:trHeight w:val="551" w:hRule="atLeast"/>
        </w:trPr>
        <w:tc>
          <w:tcPr>
            <w:tcW w:w="11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MPa</w:t>
            </w:r>
          </w:p>
        </w:tc>
        <w:tc>
          <w:tcPr>
            <w:tcW w:w="4927" w:type="dxa"/>
          </w:tcPr>
          <w:p>
            <w:pPr>
              <w:pStyle w:val="TableParagraph"/>
              <w:spacing w:before="133"/>
              <w:ind w:left="314"/>
              <w:rPr>
                <w:sz w:val="24"/>
              </w:rPr>
            </w:pPr>
            <w:r>
              <w:rPr>
                <w:sz w:val="24"/>
              </w:rPr>
              <w:t>Mega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Pascal</w:t>
            </w:r>
          </w:p>
        </w:tc>
      </w:tr>
      <w:tr>
        <w:trPr>
          <w:trHeight w:val="550" w:hRule="atLeast"/>
        </w:trPr>
        <w:tc>
          <w:tcPr>
            <w:tcW w:w="11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NaCl</w:t>
            </w:r>
          </w:p>
        </w:tc>
        <w:tc>
          <w:tcPr>
            <w:tcW w:w="4927" w:type="dxa"/>
          </w:tcPr>
          <w:p>
            <w:pPr>
              <w:pStyle w:val="TableParagraph"/>
              <w:spacing w:before="133"/>
              <w:ind w:left="314"/>
              <w:rPr>
                <w:sz w:val="24"/>
              </w:rPr>
            </w:pPr>
            <w:r>
              <w:rPr>
                <w:sz w:val="24"/>
              </w:rPr>
              <w:t>Sodium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Chloride</w:t>
            </w:r>
          </w:p>
        </w:tc>
      </w:tr>
      <w:tr>
        <w:trPr>
          <w:trHeight w:val="551" w:hRule="atLeast"/>
        </w:trPr>
        <w:tc>
          <w:tcPr>
            <w:tcW w:w="1176" w:type="dxa"/>
          </w:tcPr>
          <w:p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NaCMC</w:t>
            </w:r>
          </w:p>
        </w:tc>
        <w:tc>
          <w:tcPr>
            <w:tcW w:w="4927" w:type="dxa"/>
          </w:tcPr>
          <w:p>
            <w:pPr>
              <w:pStyle w:val="TableParagraph"/>
              <w:spacing w:before="131"/>
              <w:ind w:left="314"/>
              <w:rPr>
                <w:sz w:val="24"/>
              </w:rPr>
            </w:pPr>
            <w:r>
              <w:rPr>
                <w:sz w:val="24"/>
              </w:rPr>
              <w:t>Sodium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Carboxymethylcellulose</w:t>
            </w:r>
          </w:p>
        </w:tc>
      </w:tr>
      <w:tr>
        <w:trPr>
          <w:trHeight w:val="552" w:hRule="atLeast"/>
        </w:trPr>
        <w:tc>
          <w:tcPr>
            <w:tcW w:w="11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NaOH</w:t>
            </w:r>
          </w:p>
        </w:tc>
        <w:tc>
          <w:tcPr>
            <w:tcW w:w="4927" w:type="dxa"/>
          </w:tcPr>
          <w:p>
            <w:pPr>
              <w:pStyle w:val="TableParagraph"/>
              <w:spacing w:before="133"/>
              <w:ind w:left="314"/>
              <w:rPr>
                <w:sz w:val="24"/>
              </w:rPr>
            </w:pPr>
            <w:r>
              <w:rPr>
                <w:sz w:val="24"/>
              </w:rPr>
              <w:t>Sodium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Hydroxide</w:t>
            </w:r>
          </w:p>
        </w:tc>
      </w:tr>
      <w:tr>
        <w:trPr>
          <w:trHeight w:val="551" w:hRule="atLeast"/>
        </w:trPr>
        <w:tc>
          <w:tcPr>
            <w:tcW w:w="11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NDA</w:t>
            </w:r>
          </w:p>
        </w:tc>
        <w:tc>
          <w:tcPr>
            <w:tcW w:w="4927" w:type="dxa"/>
          </w:tcPr>
          <w:p>
            <w:pPr>
              <w:pStyle w:val="TableParagraph"/>
              <w:spacing w:before="133"/>
              <w:ind w:left="314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Application</w:t>
            </w:r>
          </w:p>
        </w:tc>
      </w:tr>
      <w:tr>
        <w:trPr>
          <w:trHeight w:val="552" w:hRule="atLeast"/>
        </w:trPr>
        <w:tc>
          <w:tcPr>
            <w:tcW w:w="11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NMR</w:t>
            </w:r>
          </w:p>
        </w:tc>
        <w:tc>
          <w:tcPr>
            <w:tcW w:w="4927" w:type="dxa"/>
          </w:tcPr>
          <w:p>
            <w:pPr>
              <w:pStyle w:val="TableParagraph"/>
              <w:spacing w:before="133"/>
              <w:ind w:left="314"/>
              <w:rPr>
                <w:sz w:val="24"/>
              </w:rPr>
            </w:pPr>
            <w:r>
              <w:rPr>
                <w:sz w:val="24"/>
              </w:rPr>
              <w:t>Nuclear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Magnetic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Resonance</w:t>
            </w:r>
          </w:p>
        </w:tc>
      </w:tr>
      <w:tr>
        <w:trPr>
          <w:trHeight w:val="551" w:hRule="atLeast"/>
        </w:trPr>
        <w:tc>
          <w:tcPr>
            <w:tcW w:w="1176" w:type="dxa"/>
          </w:tcPr>
          <w:p>
            <w:pPr>
              <w:pStyle w:val="TableParagraph"/>
              <w:spacing w:before="13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  <w:tc>
          <w:tcPr>
            <w:tcW w:w="4927" w:type="dxa"/>
          </w:tcPr>
          <w:p>
            <w:pPr>
              <w:pStyle w:val="TableParagraph"/>
              <w:spacing w:before="133"/>
              <w:ind w:left="314"/>
              <w:rPr>
                <w:sz w:val="24"/>
              </w:rPr>
            </w:pPr>
            <w:r>
              <w:rPr>
                <w:sz w:val="24"/>
              </w:rPr>
              <w:t>Applied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</w:tr>
      <w:tr>
        <w:trPr>
          <w:trHeight w:val="551" w:hRule="atLeast"/>
        </w:trPr>
        <w:tc>
          <w:tcPr>
            <w:tcW w:w="11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PEG</w:t>
            </w:r>
          </w:p>
        </w:tc>
        <w:tc>
          <w:tcPr>
            <w:tcW w:w="4927" w:type="dxa"/>
          </w:tcPr>
          <w:p>
            <w:pPr>
              <w:pStyle w:val="TableParagraph"/>
              <w:spacing w:before="133"/>
              <w:ind w:left="314"/>
              <w:rPr>
                <w:sz w:val="24"/>
              </w:rPr>
            </w:pPr>
            <w:r>
              <w:rPr>
                <w:sz w:val="24"/>
              </w:rPr>
              <w:t>Polyethylene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glycol</w:t>
            </w:r>
          </w:p>
        </w:tc>
      </w:tr>
      <w:tr>
        <w:trPr>
          <w:trHeight w:val="408" w:hRule="atLeast"/>
        </w:trPr>
        <w:tc>
          <w:tcPr>
            <w:tcW w:w="1176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PSV</w:t>
            </w:r>
          </w:p>
        </w:tc>
        <w:tc>
          <w:tcPr>
            <w:tcW w:w="4927" w:type="dxa"/>
          </w:tcPr>
          <w:p>
            <w:pPr>
              <w:pStyle w:val="TableParagraph"/>
              <w:spacing w:line="256" w:lineRule="exact" w:before="133"/>
              <w:ind w:left="314"/>
              <w:rPr>
                <w:sz w:val="24"/>
              </w:rPr>
            </w:pPr>
            <w:r>
              <w:rPr>
                <w:sz w:val="24"/>
              </w:rPr>
              <w:t>Prosolv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67" w:top="1400" w:bottom="1260" w:left="1520" w:right="160"/>
        </w:sectPr>
      </w:pPr>
    </w:p>
    <w:tbl>
      <w:tblPr>
        <w:tblW w:w="0" w:type="auto"/>
        <w:jc w:val="left"/>
        <w:tblInd w:w="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5"/>
        <w:gridCol w:w="5142"/>
      </w:tblGrid>
      <w:tr>
        <w:trPr>
          <w:trHeight w:val="409" w:hRule="atLeast"/>
        </w:trPr>
        <w:tc>
          <w:tcPr>
            <w:tcW w:w="1205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PVP</w:t>
            </w:r>
          </w:p>
        </w:tc>
        <w:tc>
          <w:tcPr>
            <w:tcW w:w="5142" w:type="dxa"/>
          </w:tcPr>
          <w:p>
            <w:pPr>
              <w:pStyle w:val="TableParagraph"/>
              <w:spacing w:line="266" w:lineRule="exact"/>
              <w:ind w:left="285"/>
              <w:rPr>
                <w:sz w:val="24"/>
              </w:rPr>
            </w:pPr>
            <w:r>
              <w:rPr>
                <w:sz w:val="24"/>
              </w:rPr>
              <w:t>Polyvinylpyrrolidone</w:t>
            </w:r>
          </w:p>
        </w:tc>
      </w:tr>
      <w:tr>
        <w:trPr>
          <w:trHeight w:val="552" w:hRule="atLeast"/>
        </w:trPr>
        <w:tc>
          <w:tcPr>
            <w:tcW w:w="120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PXRD</w:t>
            </w:r>
          </w:p>
        </w:tc>
        <w:tc>
          <w:tcPr>
            <w:tcW w:w="5142" w:type="dxa"/>
          </w:tcPr>
          <w:p>
            <w:pPr>
              <w:pStyle w:val="TableParagraph"/>
              <w:spacing w:before="133"/>
              <w:ind w:left="285"/>
              <w:rPr>
                <w:sz w:val="24"/>
              </w:rPr>
            </w:pPr>
            <w:r>
              <w:rPr>
                <w:sz w:val="24"/>
              </w:rPr>
              <w:t>Powder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X-ray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Diffraction</w:t>
            </w:r>
          </w:p>
        </w:tc>
      </w:tr>
      <w:tr>
        <w:trPr>
          <w:trHeight w:val="559" w:hRule="atLeast"/>
        </w:trPr>
        <w:tc>
          <w:tcPr>
            <w:tcW w:w="1205" w:type="dxa"/>
          </w:tcPr>
          <w:p>
            <w:pPr>
              <w:pStyle w:val="TableParagraph"/>
              <w:spacing w:before="13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  <w:r>
              <w:rPr>
                <w:i/>
                <w:sz w:val="24"/>
                <w:vertAlign w:val="subscript"/>
              </w:rPr>
              <w:t>Y</w:t>
            </w:r>
          </w:p>
        </w:tc>
        <w:tc>
          <w:tcPr>
            <w:tcW w:w="5142" w:type="dxa"/>
          </w:tcPr>
          <w:p>
            <w:pPr>
              <w:pStyle w:val="TableParagraph"/>
              <w:spacing w:before="133"/>
              <w:ind w:left="285"/>
              <w:rPr>
                <w:sz w:val="24"/>
              </w:rPr>
            </w:pPr>
            <w:r>
              <w:rPr>
                <w:sz w:val="24"/>
              </w:rPr>
              <w:t>Yield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</w:tr>
      <w:tr>
        <w:trPr>
          <w:trHeight w:val="544" w:hRule="atLeast"/>
        </w:trPr>
        <w:tc>
          <w:tcPr>
            <w:tcW w:w="1205" w:type="dxa"/>
          </w:tcPr>
          <w:p>
            <w:pPr>
              <w:pStyle w:val="TableParagraph"/>
              <w:spacing w:before="126"/>
              <w:ind w:left="50"/>
              <w:rPr>
                <w:sz w:val="24"/>
              </w:rPr>
            </w:pPr>
            <w:r>
              <w:rPr>
                <w:sz w:val="24"/>
              </w:rPr>
              <w:t>QbD</w:t>
            </w:r>
          </w:p>
        </w:tc>
        <w:tc>
          <w:tcPr>
            <w:tcW w:w="5142" w:type="dxa"/>
          </w:tcPr>
          <w:p>
            <w:pPr>
              <w:pStyle w:val="TableParagraph"/>
              <w:spacing w:before="126"/>
              <w:ind w:left="285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</w:tr>
      <w:tr>
        <w:trPr>
          <w:trHeight w:val="551" w:hRule="atLeast"/>
        </w:trPr>
        <w:tc>
          <w:tcPr>
            <w:tcW w:w="120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SC</w:t>
            </w:r>
          </w:p>
        </w:tc>
        <w:tc>
          <w:tcPr>
            <w:tcW w:w="5142" w:type="dxa"/>
          </w:tcPr>
          <w:p>
            <w:pPr>
              <w:pStyle w:val="TableParagraph"/>
              <w:spacing w:before="133"/>
              <w:ind w:left="285"/>
              <w:rPr>
                <w:sz w:val="24"/>
              </w:rPr>
            </w:pP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Centroid</w:t>
            </w:r>
          </w:p>
        </w:tc>
      </w:tr>
      <w:tr>
        <w:trPr>
          <w:trHeight w:val="552" w:hRule="atLeast"/>
        </w:trPr>
        <w:tc>
          <w:tcPr>
            <w:tcW w:w="120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SCMC</w:t>
            </w:r>
          </w:p>
        </w:tc>
        <w:tc>
          <w:tcPr>
            <w:tcW w:w="5142" w:type="dxa"/>
          </w:tcPr>
          <w:p>
            <w:pPr>
              <w:pStyle w:val="TableParagraph"/>
              <w:spacing w:before="133"/>
              <w:ind w:left="285"/>
              <w:rPr>
                <w:sz w:val="24"/>
              </w:rPr>
            </w:pPr>
            <w:r>
              <w:rPr>
                <w:sz w:val="24"/>
              </w:rPr>
              <w:t>Sodium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Carboxymethylcellulose</w:t>
            </w:r>
          </w:p>
        </w:tc>
      </w:tr>
      <w:tr>
        <w:trPr>
          <w:trHeight w:val="552" w:hRule="atLeast"/>
        </w:trPr>
        <w:tc>
          <w:tcPr>
            <w:tcW w:w="120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SEM</w:t>
            </w:r>
          </w:p>
        </w:tc>
        <w:tc>
          <w:tcPr>
            <w:tcW w:w="5142" w:type="dxa"/>
          </w:tcPr>
          <w:p>
            <w:pPr>
              <w:pStyle w:val="TableParagraph"/>
              <w:spacing w:before="133"/>
              <w:ind w:left="285"/>
              <w:rPr>
                <w:sz w:val="24"/>
              </w:rPr>
            </w:pPr>
            <w:r>
              <w:rPr>
                <w:sz w:val="24"/>
              </w:rPr>
              <w:t>Scanning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Electron Microscopy</w:t>
            </w:r>
          </w:p>
        </w:tc>
      </w:tr>
      <w:tr>
        <w:trPr>
          <w:trHeight w:val="552" w:hRule="atLeast"/>
        </w:trPr>
        <w:tc>
          <w:tcPr>
            <w:tcW w:w="120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SGS</w:t>
            </w:r>
          </w:p>
        </w:tc>
        <w:tc>
          <w:tcPr>
            <w:tcW w:w="5142" w:type="dxa"/>
          </w:tcPr>
          <w:p>
            <w:pPr>
              <w:pStyle w:val="TableParagraph"/>
              <w:spacing w:before="133"/>
              <w:ind w:left="285"/>
              <w:rPr>
                <w:sz w:val="24"/>
              </w:rPr>
            </w:pPr>
            <w:r>
              <w:rPr>
                <w:sz w:val="24"/>
              </w:rPr>
              <w:t>StarGelaSil</w:t>
            </w:r>
          </w:p>
        </w:tc>
      </w:tr>
      <w:tr>
        <w:trPr>
          <w:trHeight w:val="552" w:hRule="atLeast"/>
        </w:trPr>
        <w:tc>
          <w:tcPr>
            <w:tcW w:w="120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SGS-PM</w:t>
            </w:r>
          </w:p>
        </w:tc>
        <w:tc>
          <w:tcPr>
            <w:tcW w:w="5142" w:type="dxa"/>
          </w:tcPr>
          <w:p>
            <w:pPr>
              <w:pStyle w:val="TableParagraph"/>
              <w:spacing w:before="133"/>
              <w:ind w:left="285"/>
              <w:rPr>
                <w:sz w:val="24"/>
              </w:rPr>
            </w:pPr>
            <w:r>
              <w:rPr>
                <w:sz w:val="24"/>
              </w:rPr>
              <w:t>StarGelaSil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physical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mixture</w:t>
            </w:r>
          </w:p>
        </w:tc>
      </w:tr>
      <w:tr>
        <w:trPr>
          <w:trHeight w:val="551" w:hRule="atLeast"/>
        </w:trPr>
        <w:tc>
          <w:tcPr>
            <w:tcW w:w="120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SLC</w:t>
            </w:r>
          </w:p>
        </w:tc>
        <w:tc>
          <w:tcPr>
            <w:tcW w:w="5142" w:type="dxa"/>
          </w:tcPr>
          <w:p>
            <w:pPr>
              <w:pStyle w:val="TableParagraph"/>
              <w:spacing w:before="133"/>
              <w:ind w:left="285"/>
              <w:rPr>
                <w:sz w:val="24"/>
              </w:rPr>
            </w:pPr>
            <w:r>
              <w:rPr>
                <w:sz w:val="24"/>
              </w:rPr>
              <w:t>StarLac</w:t>
            </w:r>
          </w:p>
        </w:tc>
      </w:tr>
      <w:tr>
        <w:trPr>
          <w:trHeight w:val="551" w:hRule="atLeast"/>
        </w:trPr>
        <w:tc>
          <w:tcPr>
            <w:tcW w:w="120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SMCC</w:t>
            </w:r>
          </w:p>
        </w:tc>
        <w:tc>
          <w:tcPr>
            <w:tcW w:w="5142" w:type="dxa"/>
          </w:tcPr>
          <w:p>
            <w:pPr>
              <w:pStyle w:val="TableParagraph"/>
              <w:spacing w:before="133"/>
              <w:ind w:left="285"/>
              <w:rPr>
                <w:sz w:val="24"/>
              </w:rPr>
            </w:pPr>
            <w:r>
              <w:rPr>
                <w:sz w:val="24"/>
              </w:rPr>
              <w:t>Silicified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Microcrystalline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Cellulose</w:t>
            </w:r>
          </w:p>
        </w:tc>
      </w:tr>
      <w:tr>
        <w:trPr>
          <w:trHeight w:val="552" w:hRule="atLeast"/>
        </w:trPr>
        <w:tc>
          <w:tcPr>
            <w:tcW w:w="120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5142" w:type="dxa"/>
          </w:tcPr>
          <w:p>
            <w:pPr>
              <w:pStyle w:val="TableParagraph"/>
              <w:spacing w:before="133"/>
              <w:ind w:left="285"/>
              <w:rPr>
                <w:sz w:val="24"/>
              </w:rPr>
            </w:pPr>
            <w:r>
              <w:rPr>
                <w:sz w:val="24"/>
              </w:rPr>
              <w:t>Spheronization</w:t>
            </w:r>
          </w:p>
        </w:tc>
      </w:tr>
      <w:tr>
        <w:trPr>
          <w:trHeight w:val="552" w:hRule="atLeast"/>
        </w:trPr>
        <w:tc>
          <w:tcPr>
            <w:tcW w:w="120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TD</w:t>
            </w:r>
          </w:p>
        </w:tc>
        <w:tc>
          <w:tcPr>
            <w:tcW w:w="5142" w:type="dxa"/>
          </w:tcPr>
          <w:p>
            <w:pPr>
              <w:pStyle w:val="TableParagraph"/>
              <w:spacing w:before="133"/>
              <w:ind w:left="285"/>
              <w:rPr>
                <w:sz w:val="24"/>
              </w:rPr>
            </w:pPr>
            <w:r>
              <w:rPr>
                <w:sz w:val="24"/>
              </w:rPr>
              <w:t>Tapped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</w:p>
        </w:tc>
      </w:tr>
      <w:tr>
        <w:trPr>
          <w:trHeight w:val="552" w:hRule="atLeast"/>
        </w:trPr>
        <w:tc>
          <w:tcPr>
            <w:tcW w:w="120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TGA</w:t>
            </w:r>
          </w:p>
        </w:tc>
        <w:tc>
          <w:tcPr>
            <w:tcW w:w="5142" w:type="dxa"/>
          </w:tcPr>
          <w:p>
            <w:pPr>
              <w:pStyle w:val="TableParagraph"/>
              <w:spacing w:before="133"/>
              <w:ind w:left="285"/>
              <w:rPr>
                <w:sz w:val="24"/>
              </w:rPr>
            </w:pPr>
            <w:r>
              <w:rPr>
                <w:sz w:val="24"/>
              </w:rPr>
              <w:t>Thermo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Gravimetric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</w:tr>
      <w:tr>
        <w:trPr>
          <w:trHeight w:val="551" w:hRule="atLeast"/>
        </w:trPr>
        <w:tc>
          <w:tcPr>
            <w:tcW w:w="120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TS</w:t>
            </w:r>
          </w:p>
        </w:tc>
        <w:tc>
          <w:tcPr>
            <w:tcW w:w="5142" w:type="dxa"/>
          </w:tcPr>
          <w:p>
            <w:pPr>
              <w:pStyle w:val="TableParagraph"/>
              <w:spacing w:before="133"/>
              <w:ind w:left="285"/>
              <w:rPr>
                <w:sz w:val="24"/>
              </w:rPr>
            </w:pPr>
            <w:r>
              <w:rPr>
                <w:sz w:val="24"/>
              </w:rPr>
              <w:t>Tensile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Strength</w:t>
            </w:r>
          </w:p>
        </w:tc>
      </w:tr>
      <w:tr>
        <w:trPr>
          <w:trHeight w:val="552" w:hRule="atLeast"/>
        </w:trPr>
        <w:tc>
          <w:tcPr>
            <w:tcW w:w="120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USP/NF</w:t>
            </w:r>
          </w:p>
        </w:tc>
        <w:tc>
          <w:tcPr>
            <w:tcW w:w="5142" w:type="dxa"/>
          </w:tcPr>
          <w:p>
            <w:pPr>
              <w:pStyle w:val="TableParagraph"/>
              <w:spacing w:before="133"/>
              <w:ind w:left="285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Pharmacopoeia-National Formulary</w:t>
            </w:r>
          </w:p>
        </w:tc>
      </w:tr>
      <w:tr>
        <w:trPr>
          <w:trHeight w:val="551" w:hRule="atLeast"/>
        </w:trPr>
        <w:tc>
          <w:tcPr>
            <w:tcW w:w="120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WG</w:t>
            </w:r>
          </w:p>
        </w:tc>
        <w:tc>
          <w:tcPr>
            <w:tcW w:w="5142" w:type="dxa"/>
          </w:tcPr>
          <w:p>
            <w:pPr>
              <w:pStyle w:val="TableParagraph"/>
              <w:spacing w:before="133"/>
              <w:ind w:left="285"/>
              <w:rPr>
                <w:sz w:val="24"/>
              </w:rPr>
            </w:pP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Granulation</w:t>
            </w:r>
          </w:p>
        </w:tc>
      </w:tr>
      <w:tr>
        <w:trPr>
          <w:trHeight w:val="550" w:hRule="atLeast"/>
        </w:trPr>
        <w:tc>
          <w:tcPr>
            <w:tcW w:w="1205" w:type="dxa"/>
          </w:tcPr>
          <w:p>
            <w:pPr>
              <w:pStyle w:val="TableParagraph"/>
              <w:spacing w:before="13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ρ</w:t>
            </w:r>
          </w:p>
        </w:tc>
        <w:tc>
          <w:tcPr>
            <w:tcW w:w="5142" w:type="dxa"/>
          </w:tcPr>
          <w:p>
            <w:pPr>
              <w:pStyle w:val="TableParagraph"/>
              <w:spacing w:before="133"/>
              <w:ind w:left="285"/>
              <w:rPr>
                <w:sz w:val="24"/>
              </w:rPr>
            </w:pPr>
            <w:r>
              <w:rPr>
                <w:sz w:val="24"/>
              </w:rPr>
              <w:t>Relative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</w:p>
        </w:tc>
      </w:tr>
      <w:tr>
        <w:trPr>
          <w:trHeight w:val="558" w:hRule="atLeast"/>
        </w:trPr>
        <w:tc>
          <w:tcPr>
            <w:tcW w:w="1205" w:type="dxa"/>
          </w:tcPr>
          <w:p>
            <w:pPr>
              <w:pStyle w:val="TableParagraph"/>
              <w:spacing w:before="131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ρ</w:t>
            </w:r>
            <w:r>
              <w:rPr>
                <w:i/>
                <w:sz w:val="24"/>
                <w:vertAlign w:val="subscript"/>
              </w:rPr>
              <w:t>c</w:t>
            </w:r>
          </w:p>
        </w:tc>
        <w:tc>
          <w:tcPr>
            <w:tcW w:w="5142" w:type="dxa"/>
          </w:tcPr>
          <w:p>
            <w:pPr>
              <w:pStyle w:val="TableParagraph"/>
              <w:spacing w:before="131"/>
              <w:ind w:left="285"/>
              <w:rPr>
                <w:sz w:val="24"/>
              </w:rPr>
            </w:pPr>
            <w:r>
              <w:rPr>
                <w:sz w:val="24"/>
              </w:rPr>
              <w:t>Critical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</w:p>
        </w:tc>
      </w:tr>
      <w:tr>
        <w:trPr>
          <w:trHeight w:val="402" w:hRule="atLeast"/>
        </w:trPr>
        <w:tc>
          <w:tcPr>
            <w:tcW w:w="1205" w:type="dxa"/>
          </w:tcPr>
          <w:p>
            <w:pPr>
              <w:pStyle w:val="TableParagraph"/>
              <w:spacing w:line="256" w:lineRule="exact" w:before="12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σ</w:t>
            </w:r>
          </w:p>
        </w:tc>
        <w:tc>
          <w:tcPr>
            <w:tcW w:w="5142" w:type="dxa"/>
          </w:tcPr>
          <w:p>
            <w:pPr>
              <w:pStyle w:val="TableParagraph"/>
              <w:spacing w:line="256" w:lineRule="exact" w:before="126"/>
              <w:ind w:left="285"/>
              <w:rPr>
                <w:sz w:val="24"/>
              </w:rPr>
            </w:pPr>
            <w:r>
              <w:rPr>
                <w:sz w:val="24"/>
              </w:rPr>
              <w:t>Pressure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67" w:top="1400" w:bottom="1260" w:left="1520" w:right="160"/>
        </w:sectPr>
      </w:pPr>
    </w:p>
    <w:p>
      <w:pPr>
        <w:pStyle w:val="Heading3"/>
        <w:spacing w:before="77"/>
        <w:ind w:left="644" w:right="1436"/>
        <w:jc w:val="center"/>
      </w:pPr>
      <w:bookmarkStart w:name="_TOC_250095" w:id="11"/>
      <w:r>
        <w:rPr/>
        <w:t>CHAPTER</w:t>
      </w:r>
      <w:r>
        <w:rPr>
          <w:spacing w:val="-2"/>
        </w:rPr>
        <w:t> </w:t>
      </w:r>
      <w:bookmarkEnd w:id="11"/>
      <w:r>
        <w:rPr/>
        <w:t>ONE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1"/>
          <w:numId w:val="8"/>
        </w:numPr>
        <w:tabs>
          <w:tab w:pos="4116" w:val="left" w:leader="none"/>
          <w:tab w:pos="4117" w:val="left" w:leader="none"/>
        </w:tabs>
        <w:spacing w:line="240" w:lineRule="auto" w:before="217" w:after="0"/>
        <w:ind w:left="4116" w:right="0" w:hanging="721"/>
        <w:jc w:val="left"/>
      </w:pPr>
      <w:bookmarkStart w:name="_TOC_250094" w:id="12"/>
      <w:bookmarkEnd w:id="12"/>
      <w:r>
        <w:rPr/>
        <w:t>INTRODUCTION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Heading3"/>
        <w:numPr>
          <w:ilvl w:val="1"/>
          <w:numId w:val="8"/>
        </w:numPr>
        <w:tabs>
          <w:tab w:pos="1185" w:val="left" w:leader="none"/>
          <w:tab w:pos="1186" w:val="left" w:leader="none"/>
        </w:tabs>
        <w:spacing w:line="240" w:lineRule="auto" w:before="90" w:after="0"/>
        <w:ind w:left="1185" w:right="0" w:hanging="721"/>
        <w:jc w:val="left"/>
      </w:pPr>
      <w:bookmarkStart w:name="_TOC_250093" w:id="13"/>
      <w:r>
        <w:rPr/>
        <w:t>Solid</w:t>
      </w:r>
      <w:r>
        <w:rPr>
          <w:spacing w:val="-2"/>
        </w:rPr>
        <w:t> </w:t>
      </w:r>
      <w:r>
        <w:rPr/>
        <w:t>Dosage</w:t>
      </w:r>
      <w:r>
        <w:rPr>
          <w:spacing w:val="-4"/>
        </w:rPr>
        <w:t> </w:t>
      </w:r>
      <w:bookmarkEnd w:id="13"/>
      <w:r>
        <w:rPr/>
        <w:t>Forms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6"/>
        <w:jc w:val="both"/>
      </w:pPr>
      <w:r>
        <w:rPr/>
        <w:t>Tablets account for more than 80 % of all dosage forms in the market (Khomane and</w:t>
      </w:r>
      <w:r>
        <w:rPr>
          <w:spacing w:val="1"/>
        </w:rPr>
        <w:t> </w:t>
      </w:r>
      <w:r>
        <w:rPr/>
        <w:t>Bansal,</w:t>
      </w:r>
      <w:r>
        <w:rPr>
          <w:spacing w:val="-1"/>
        </w:rPr>
        <w:t> </w:t>
      </w:r>
      <w:r>
        <w:rPr/>
        <w:t>2013)because of</w:t>
      </w:r>
      <w:r>
        <w:rPr>
          <w:spacing w:val="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properties:</w:t>
      </w:r>
    </w:p>
    <w:p>
      <w:pPr>
        <w:pStyle w:val="ListParagraph"/>
        <w:numPr>
          <w:ilvl w:val="0"/>
          <w:numId w:val="9"/>
        </w:numPr>
        <w:tabs>
          <w:tab w:pos="751" w:val="left" w:leader="none"/>
        </w:tabs>
        <w:spacing w:line="240" w:lineRule="auto" w:before="120" w:after="0"/>
        <w:ind w:left="750" w:right="0" w:hanging="286"/>
        <w:jc w:val="left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are easy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dispense,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0"/>
          <w:numId w:val="9"/>
        </w:numPr>
        <w:tabs>
          <w:tab w:pos="818" w:val="left" w:leader="none"/>
        </w:tabs>
        <w:spacing w:line="240" w:lineRule="auto" w:before="0" w:after="0"/>
        <w:ind w:left="818" w:right="0" w:hanging="353"/>
        <w:jc w:val="left"/>
        <w:rPr>
          <w:sz w:val="24"/>
        </w:rPr>
      </w:pPr>
      <w:r>
        <w:rPr>
          <w:sz w:val="24"/>
        </w:rPr>
        <w:t>Offer</w:t>
      </w:r>
      <w:r>
        <w:rPr>
          <w:spacing w:val="-4"/>
          <w:sz w:val="24"/>
        </w:rPr>
        <w:t> </w:t>
      </w:r>
      <w:r>
        <w:rPr>
          <w:sz w:val="24"/>
        </w:rPr>
        <w:t>dosage</w:t>
      </w:r>
      <w:r>
        <w:rPr>
          <w:spacing w:val="-2"/>
          <w:sz w:val="24"/>
        </w:rPr>
        <w:t> </w:t>
      </w:r>
      <w:r>
        <w:rPr>
          <w:sz w:val="24"/>
        </w:rPr>
        <w:t>accuracy,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0"/>
          <w:numId w:val="9"/>
        </w:numPr>
        <w:tabs>
          <w:tab w:pos="886" w:val="left" w:leader="none"/>
        </w:tabs>
        <w:spacing w:line="240" w:lineRule="auto" w:before="1" w:after="0"/>
        <w:ind w:left="885" w:right="0" w:hanging="421"/>
        <w:jc w:val="left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amenable</w:t>
      </w:r>
      <w:r>
        <w:rPr>
          <w:spacing w:val="-1"/>
          <w:sz w:val="24"/>
        </w:rPr>
        <w:t> </w:t>
      </w:r>
      <w:r>
        <w:rPr>
          <w:sz w:val="24"/>
        </w:rPr>
        <w:t>to mass production at a relatively</w:t>
      </w:r>
      <w:r>
        <w:rPr>
          <w:spacing w:val="-5"/>
          <w:sz w:val="24"/>
        </w:rPr>
        <w:t> </w:t>
      </w:r>
      <w:r>
        <w:rPr>
          <w:sz w:val="24"/>
        </w:rPr>
        <w:t>cheap cost,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0"/>
          <w:numId w:val="9"/>
        </w:numPr>
        <w:tabs>
          <w:tab w:pos="871" w:val="left" w:leader="none"/>
        </w:tabs>
        <w:spacing w:line="240" w:lineRule="auto" w:before="1" w:after="0"/>
        <w:ind w:left="870" w:right="0" w:hanging="406"/>
        <w:jc w:val="left"/>
        <w:rPr>
          <w:sz w:val="24"/>
        </w:rPr>
      </w:pPr>
      <w:r>
        <w:rPr>
          <w:sz w:val="24"/>
        </w:rPr>
        <w:t>Tamper</w:t>
      </w:r>
      <w:r>
        <w:rPr>
          <w:spacing w:val="-2"/>
          <w:sz w:val="24"/>
        </w:rPr>
        <w:t> </w:t>
      </w:r>
      <w:r>
        <w:rPr>
          <w:sz w:val="24"/>
        </w:rPr>
        <w:t>resistant</w:t>
      </w:r>
      <w:r>
        <w:rPr>
          <w:spacing w:val="-1"/>
          <w:sz w:val="24"/>
        </w:rPr>
        <w:t> </w:t>
      </w:r>
      <w:r>
        <w:rPr>
          <w:sz w:val="24"/>
        </w:rPr>
        <w:t>compared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capsules,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0"/>
          <w:numId w:val="9"/>
        </w:numPr>
        <w:tabs>
          <w:tab w:pos="876" w:val="left" w:leader="none"/>
        </w:tabs>
        <w:spacing w:line="480" w:lineRule="auto" w:before="1" w:after="0"/>
        <w:ind w:left="465" w:right="1251" w:firstLine="0"/>
        <w:jc w:val="both"/>
        <w:rPr>
          <w:sz w:val="24"/>
        </w:rPr>
      </w:pPr>
      <w:r>
        <w:rPr>
          <w:sz w:val="24"/>
        </w:rPr>
        <w:t>Offer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1"/>
          <w:sz w:val="24"/>
        </w:rPr>
        <w:t> </w:t>
      </w:r>
      <w:r>
        <w:rPr>
          <w:sz w:val="24"/>
        </w:rPr>
        <w:t>stability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heat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moisture</w:t>
      </w:r>
      <w:r>
        <w:rPr>
          <w:spacing w:val="1"/>
          <w:sz w:val="24"/>
        </w:rPr>
        <w:t> </w:t>
      </w:r>
      <w:r>
        <w:rPr>
          <w:sz w:val="24"/>
        </w:rPr>
        <w:t>compared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liquid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semi-solid</w:t>
      </w:r>
      <w:r>
        <w:rPr>
          <w:spacing w:val="1"/>
          <w:sz w:val="24"/>
        </w:rPr>
        <w:t> </w:t>
      </w:r>
      <w:r>
        <w:rPr>
          <w:sz w:val="24"/>
        </w:rPr>
        <w:t>formulations</w:t>
      </w:r>
      <w:r>
        <w:rPr>
          <w:spacing w:val="-1"/>
          <w:sz w:val="24"/>
        </w:rPr>
        <w:t> </w:t>
      </w:r>
      <w:r>
        <w:rPr>
          <w:sz w:val="24"/>
        </w:rPr>
        <w:t>(Jivraj</w:t>
      </w:r>
      <w:r>
        <w:rPr>
          <w:spacing w:val="1"/>
          <w:sz w:val="24"/>
        </w:rPr>
        <w:t> </w:t>
      </w:r>
      <w:r>
        <w:rPr>
          <w:i/>
          <w:sz w:val="24"/>
        </w:rPr>
        <w:t>et al.</w:t>
      </w:r>
      <w:r>
        <w:rPr>
          <w:sz w:val="24"/>
        </w:rPr>
        <w:t>, 2000; Pucelj, 2014).</w:t>
      </w:r>
    </w:p>
    <w:p>
      <w:pPr>
        <w:pStyle w:val="BodyText"/>
        <w:spacing w:line="480" w:lineRule="auto" w:before="120"/>
        <w:ind w:left="465" w:right="1256"/>
        <w:jc w:val="both"/>
      </w:pPr>
      <w:r>
        <w:rPr/>
        <w:t>The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Pharmacopoeia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preparations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containing a single dose of one or more active substances and usually obtained by</w:t>
      </w:r>
      <w:r>
        <w:rPr>
          <w:spacing w:val="1"/>
        </w:rPr>
        <w:t> </w:t>
      </w:r>
      <w:r>
        <w:rPr/>
        <w:t>compressing uniform volumes of particles. Tablets are intended for oral administration.</w:t>
      </w:r>
      <w:r>
        <w:rPr>
          <w:spacing w:val="1"/>
        </w:rPr>
        <w:t> </w:t>
      </w:r>
      <w:r>
        <w:rPr/>
        <w:t>Some</w:t>
      </w:r>
      <w:r>
        <w:rPr>
          <w:spacing w:val="12"/>
        </w:rPr>
        <w:t> </w:t>
      </w:r>
      <w:r>
        <w:rPr/>
        <w:t>are</w:t>
      </w:r>
      <w:r>
        <w:rPr>
          <w:spacing w:val="14"/>
        </w:rPr>
        <w:t> </w:t>
      </w:r>
      <w:r>
        <w:rPr/>
        <w:t>swallowed</w:t>
      </w:r>
      <w:r>
        <w:rPr>
          <w:spacing w:val="14"/>
        </w:rPr>
        <w:t> </w:t>
      </w:r>
      <w:r>
        <w:rPr/>
        <w:t>whole,</w:t>
      </w:r>
      <w:r>
        <w:rPr>
          <w:spacing w:val="12"/>
        </w:rPr>
        <w:t> </w:t>
      </w:r>
      <w:r>
        <w:rPr/>
        <w:t>some</w:t>
      </w:r>
      <w:r>
        <w:rPr>
          <w:spacing w:val="16"/>
        </w:rPr>
        <w:t> </w:t>
      </w:r>
      <w:r>
        <w:rPr/>
        <w:t>after</w:t>
      </w:r>
      <w:r>
        <w:rPr>
          <w:spacing w:val="15"/>
        </w:rPr>
        <w:t> </w:t>
      </w:r>
      <w:r>
        <w:rPr/>
        <w:t>being</w:t>
      </w:r>
      <w:r>
        <w:rPr>
          <w:spacing w:val="14"/>
        </w:rPr>
        <w:t> </w:t>
      </w:r>
      <w:r>
        <w:rPr/>
        <w:t>chewed,</w:t>
      </w:r>
      <w:r>
        <w:rPr>
          <w:spacing w:val="13"/>
        </w:rPr>
        <w:t> </w:t>
      </w:r>
      <w:r>
        <w:rPr/>
        <w:t>some</w:t>
      </w:r>
      <w:r>
        <w:rPr>
          <w:spacing w:val="13"/>
        </w:rPr>
        <w:t> </w:t>
      </w:r>
      <w:r>
        <w:rPr/>
        <w:t>are</w:t>
      </w:r>
      <w:r>
        <w:rPr>
          <w:spacing w:val="14"/>
        </w:rPr>
        <w:t> </w:t>
      </w:r>
      <w:r>
        <w:rPr/>
        <w:t>dissolved</w:t>
      </w:r>
      <w:r>
        <w:rPr>
          <w:spacing w:val="13"/>
        </w:rPr>
        <w:t> </w:t>
      </w:r>
      <w:r>
        <w:rPr/>
        <w:t>or</w:t>
      </w:r>
      <w:r>
        <w:rPr>
          <w:spacing w:val="12"/>
        </w:rPr>
        <w:t> </w:t>
      </w:r>
      <w:r>
        <w:rPr/>
        <w:t>dispersed</w:t>
      </w:r>
      <w:r>
        <w:rPr>
          <w:spacing w:val="-57"/>
        </w:rPr>
        <w:t> </w:t>
      </w:r>
      <w:r>
        <w:rPr/>
        <w:t>in water before being administered and some are retained in the mouth where the active</w:t>
      </w:r>
      <w:r>
        <w:rPr>
          <w:spacing w:val="1"/>
        </w:rPr>
        <w:t> </w:t>
      </w:r>
      <w:r>
        <w:rPr/>
        <w:t>substance is liberated. Despite the long and continuing history of the development 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commonly</w:t>
      </w:r>
      <w:r>
        <w:rPr>
          <w:spacing w:val="-6"/>
        </w:rPr>
        <w:t> </w:t>
      </w:r>
      <w:r>
        <w:rPr/>
        <w:t>used</w:t>
      </w:r>
      <w:r>
        <w:rPr>
          <w:spacing w:val="-1"/>
        </w:rPr>
        <w:t> </w:t>
      </w:r>
      <w:r>
        <w:rPr/>
        <w:t>dosage</w:t>
      </w:r>
      <w:r>
        <w:rPr>
          <w:spacing w:val="-1"/>
        </w:rPr>
        <w:t> </w:t>
      </w:r>
      <w:r>
        <w:rPr/>
        <w:t>form (European Pharmacopoeia, 2002).</w:t>
      </w:r>
    </w:p>
    <w:p>
      <w:pPr>
        <w:pStyle w:val="BodyText"/>
        <w:spacing w:before="2"/>
        <w:rPr>
          <w:sz w:val="21"/>
        </w:rPr>
      </w:pPr>
    </w:p>
    <w:p>
      <w:pPr>
        <w:pStyle w:val="Heading3"/>
        <w:numPr>
          <w:ilvl w:val="1"/>
          <w:numId w:val="8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bookmarkStart w:name="_TOC_250092" w:id="14"/>
      <w:bookmarkEnd w:id="14"/>
      <w:r>
        <w:rPr/>
        <w:t>Excipients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5" w:right="1254"/>
        <w:jc w:val="both"/>
      </w:pPr>
      <w:r>
        <w:rPr/>
        <w:t>The formulation of tabletsusually consists of the active pharmaceutical ingredient (API)</w:t>
      </w:r>
      <w:r>
        <w:rPr>
          <w:spacing w:val="1"/>
        </w:rPr>
        <w:t> </w:t>
      </w:r>
      <w:r>
        <w:rPr/>
        <w:t>and</w:t>
      </w:r>
      <w:r>
        <w:rPr>
          <w:spacing w:val="8"/>
        </w:rPr>
        <w:t> </w:t>
      </w:r>
      <w:r>
        <w:rPr/>
        <w:t>excipients.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International</w:t>
      </w:r>
      <w:r>
        <w:rPr>
          <w:spacing w:val="9"/>
        </w:rPr>
        <w:t> </w:t>
      </w:r>
      <w:r>
        <w:rPr/>
        <w:t>Pharmaceutical</w:t>
      </w:r>
      <w:r>
        <w:rPr>
          <w:spacing w:val="10"/>
        </w:rPr>
        <w:t> </w:t>
      </w:r>
      <w:r>
        <w:rPr/>
        <w:t>Excipient</w:t>
      </w:r>
      <w:r>
        <w:rPr>
          <w:spacing w:val="9"/>
        </w:rPr>
        <w:t> </w:t>
      </w:r>
      <w:r>
        <w:rPr/>
        <w:t>Council</w:t>
      </w:r>
      <w:r>
        <w:rPr>
          <w:spacing w:val="10"/>
        </w:rPr>
        <w:t> </w:t>
      </w:r>
      <w:r>
        <w:rPr/>
        <w:t>(IPEC)</w:t>
      </w:r>
      <w:r>
        <w:rPr>
          <w:spacing w:val="8"/>
        </w:rPr>
        <w:t> </w:t>
      </w:r>
      <w:r>
        <w:rPr/>
        <w:t>has</w:t>
      </w:r>
      <w:r>
        <w:rPr>
          <w:spacing w:val="9"/>
        </w:rPr>
        <w:t> </w:t>
      </w:r>
      <w:r>
        <w:rPr/>
        <w:t>defined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987" w:header="0" w:top="1440" w:bottom="1180" w:left="1520" w:right="160"/>
          <w:pgNumType w:start="1"/>
        </w:sectPr>
      </w:pPr>
    </w:p>
    <w:p>
      <w:pPr>
        <w:pStyle w:val="BodyText"/>
        <w:spacing w:line="480" w:lineRule="auto" w:before="72"/>
        <w:ind w:left="465" w:right="1249"/>
        <w:jc w:val="both"/>
      </w:pPr>
      <w:r>
        <w:rPr/>
        <w:t>excipients as “substances other than the API in finished dosage form, which have been</w:t>
      </w:r>
      <w:r>
        <w:rPr>
          <w:spacing w:val="1"/>
        </w:rPr>
        <w:t> </w:t>
      </w:r>
      <w:r>
        <w:rPr/>
        <w:t>appropriately evaluated for safety and are included in drug delivery systems to either aid</w:t>
      </w:r>
      <w:r>
        <w:rPr>
          <w:spacing w:val="-57"/>
        </w:rPr>
        <w:t> </w:t>
      </w:r>
      <w:r>
        <w:rPr/>
        <w:t>the processing or to aid manufacture, protect, support, enhance stability, bioavailability</w:t>
      </w:r>
      <w:r>
        <w:rPr>
          <w:spacing w:val="1"/>
        </w:rPr>
        <w:t> </w:t>
      </w:r>
      <w:r>
        <w:rPr/>
        <w:t>or patient acceptability.</w:t>
      </w:r>
      <w:r>
        <w:rPr>
          <w:spacing w:val="1"/>
        </w:rPr>
        <w:t> </w:t>
      </w:r>
      <w:r>
        <w:rPr/>
        <w:t>They assist in product identification, or enhance any other</w:t>
      </w:r>
      <w:r>
        <w:rPr>
          <w:spacing w:val="1"/>
        </w:rPr>
        <w:t> </w:t>
      </w:r>
      <w:r>
        <w:rPr/>
        <w:t>attributes for the overall safety and effectiveness of the drug delivery system during</w:t>
      </w:r>
      <w:r>
        <w:rPr>
          <w:spacing w:val="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and use”</w:t>
      </w:r>
      <w:r>
        <w:rPr>
          <w:spacing w:val="-1"/>
        </w:rPr>
        <w:t> </w:t>
      </w:r>
      <w:r>
        <w:rPr/>
        <w:t>(Daraghmeh, 2012; Pucelj, 2014).</w:t>
      </w:r>
    </w:p>
    <w:p>
      <w:pPr>
        <w:pStyle w:val="BodyText"/>
        <w:spacing w:line="480" w:lineRule="auto" w:before="121"/>
        <w:ind w:left="465" w:right="1259" w:firstLine="59"/>
        <w:jc w:val="both"/>
      </w:pPr>
      <w:r>
        <w:rPr/>
        <w:t>They may serve either as diluents, binders, disintegrants, lubricants, glidants, or release</w:t>
      </w:r>
      <w:r>
        <w:rPr>
          <w:spacing w:val="1"/>
        </w:rPr>
        <w:t> </w:t>
      </w:r>
      <w:r>
        <w:rPr/>
        <w:t>control agents (Rashid </w:t>
      </w:r>
      <w:r>
        <w:rPr>
          <w:i/>
        </w:rPr>
        <w:t>et al</w:t>
      </w:r>
      <w:r>
        <w:rPr/>
        <w:t>., 2013). They have earlier been labelled as the “functional</w:t>
      </w:r>
      <w:r>
        <w:rPr>
          <w:spacing w:val="1"/>
        </w:rPr>
        <w:t> </w:t>
      </w:r>
      <w:r>
        <w:rPr/>
        <w:t>components” of a formulation (Moreton, 2004). They may be classified as natural (i.e.</w:t>
      </w:r>
      <w:r>
        <w:rPr>
          <w:spacing w:val="1"/>
        </w:rPr>
        <w:t> </w:t>
      </w:r>
      <w:r>
        <w:rPr/>
        <w:t>cellulose,</w:t>
      </w:r>
      <w:r>
        <w:rPr>
          <w:spacing w:val="1"/>
        </w:rPr>
        <w:t> </w:t>
      </w:r>
      <w:r>
        <w:rPr/>
        <w:t>starch,</w:t>
      </w:r>
      <w:r>
        <w:rPr>
          <w:spacing w:val="1"/>
        </w:rPr>
        <w:t> </w:t>
      </w:r>
      <w:r>
        <w:rPr/>
        <w:t>chitosan</w:t>
      </w:r>
      <w:r>
        <w:rPr>
          <w:spacing w:val="1"/>
        </w:rPr>
        <w:t> </w:t>
      </w:r>
      <w:r>
        <w:rPr/>
        <w:t>etc),</w:t>
      </w:r>
      <w:r>
        <w:rPr>
          <w:spacing w:val="1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(dicalcium</w:t>
      </w:r>
      <w:r>
        <w:rPr>
          <w:spacing w:val="1"/>
        </w:rPr>
        <w:t> </w:t>
      </w:r>
      <w:r>
        <w:rPr/>
        <w:t>phosphate),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(polyvinylpyrrolidone) and semisynthetic (hydroxypropylmethylcellulose) on the basis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and chemical</w:t>
      </w:r>
      <w:r>
        <w:rPr>
          <w:spacing w:val="1"/>
        </w:rPr>
        <w:t> </w:t>
      </w:r>
      <w:r>
        <w:rPr/>
        <w:t>nature.</w:t>
      </w:r>
    </w:p>
    <w:p>
      <w:pPr>
        <w:pStyle w:val="BodyText"/>
        <w:spacing w:line="480" w:lineRule="auto" w:before="121"/>
        <w:ind w:left="465" w:right="1256"/>
        <w:jc w:val="both"/>
      </w:pPr>
      <w:r>
        <w:rPr/>
        <w:t>More than 70 % of all formulations contain excipients in concentrations higher than that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API,</w:t>
      </w:r>
      <w:r>
        <w:rPr>
          <w:spacing w:val="1"/>
        </w:rPr>
        <w:t> </w:t>
      </w:r>
      <w:r>
        <w:rPr/>
        <w:t>affirming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forms(Nachaegari and Bansal, 2004; Saha and Shahiwala, 2009). It is therefore obvious</w:t>
      </w:r>
      <w:r>
        <w:rPr>
          <w:spacing w:val="1"/>
        </w:rPr>
        <w:t> </w:t>
      </w:r>
      <w:r>
        <w:rPr/>
        <w:t>that excipients contribute in significant terms toward the processing, stability, safety and</w:t>
      </w:r>
      <w:r>
        <w:rPr>
          <w:spacing w:val="-57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solid dosage</w:t>
      </w:r>
      <w:r>
        <w:rPr>
          <w:spacing w:val="-1"/>
        </w:rPr>
        <w:t> </w:t>
      </w:r>
      <w:r>
        <w:rPr/>
        <w:t>forms.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2"/>
          <w:numId w:val="8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bookmarkStart w:name="_TOC_250091" w:id="15"/>
      <w:r>
        <w:rPr/>
        <w:t>Types</w:t>
      </w:r>
      <w:r>
        <w:rPr>
          <w:spacing w:val="-1"/>
        </w:rPr>
        <w:t> </w:t>
      </w:r>
      <w:bookmarkEnd w:id="15"/>
      <w:r>
        <w:rPr/>
        <w:t>of excipients</w:t>
      </w:r>
    </w:p>
    <w:p>
      <w:pPr>
        <w:pStyle w:val="BodyText"/>
        <w:spacing w:before="10"/>
        <w:rPr>
          <w:b/>
          <w:sz w:val="33"/>
        </w:rPr>
      </w:pPr>
    </w:p>
    <w:p>
      <w:pPr>
        <w:pStyle w:val="BodyText"/>
        <w:spacing w:line="480" w:lineRule="auto"/>
        <w:ind w:left="465" w:right="1251"/>
        <w:jc w:val="both"/>
      </w:pPr>
      <w:r>
        <w:rPr/>
        <w:t>In tablet formulation, a range of excipient materials is normally required along with the</w:t>
      </w:r>
      <w:r>
        <w:rPr>
          <w:spacing w:val="1"/>
        </w:rPr>
        <w:t> </w:t>
      </w:r>
      <w:r>
        <w:rPr/>
        <w:t>active ingredient in order to furnish the tablet with the desired properties. For example,</w:t>
      </w:r>
      <w:r>
        <w:rPr>
          <w:spacing w:val="1"/>
        </w:rPr>
        <w:t> </w:t>
      </w:r>
      <w:r>
        <w:rPr/>
        <w:t>the reproducibility and dose homogeneity of the tablets are dependent on the properties</w:t>
      </w:r>
      <w:r>
        <w:rPr>
          <w:spacing w:val="1"/>
        </w:rPr>
        <w:t> </w:t>
      </w:r>
      <w:r>
        <w:rPr/>
        <w:t>of the powder mass. The tablet should also be sufficiently strong to withstand handling,</w:t>
      </w:r>
      <w:r>
        <w:rPr>
          <w:spacing w:val="1"/>
        </w:rPr>
        <w:t> </w:t>
      </w:r>
      <w:r>
        <w:rPr/>
        <w:t>but</w:t>
      </w:r>
      <w:r>
        <w:rPr>
          <w:spacing w:val="25"/>
        </w:rPr>
        <w:t> </w:t>
      </w:r>
      <w:r>
        <w:rPr/>
        <w:t>should</w:t>
      </w:r>
      <w:r>
        <w:rPr>
          <w:spacing w:val="26"/>
        </w:rPr>
        <w:t> </w:t>
      </w:r>
      <w:r>
        <w:rPr/>
        <w:t>disintegrate</w:t>
      </w:r>
      <w:r>
        <w:rPr>
          <w:spacing w:val="28"/>
        </w:rPr>
        <w:t> </w:t>
      </w:r>
      <w:r>
        <w:rPr/>
        <w:t>after</w:t>
      </w:r>
      <w:r>
        <w:rPr>
          <w:spacing w:val="24"/>
        </w:rPr>
        <w:t> </w:t>
      </w:r>
      <w:r>
        <w:rPr/>
        <w:t>intake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facilitate</w:t>
      </w:r>
      <w:r>
        <w:rPr>
          <w:spacing w:val="24"/>
        </w:rPr>
        <w:t> </w:t>
      </w:r>
      <w:r>
        <w:rPr/>
        <w:t>drug</w:t>
      </w:r>
      <w:r>
        <w:rPr>
          <w:spacing w:val="25"/>
        </w:rPr>
        <w:t> </w:t>
      </w:r>
      <w:r>
        <w:rPr/>
        <w:t>release.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choice</w:t>
      </w:r>
      <w:r>
        <w:rPr>
          <w:spacing w:val="29"/>
        </w:rPr>
        <w:t> </w:t>
      </w:r>
      <w:r>
        <w:rPr/>
        <w:t>of</w:t>
      </w:r>
      <w:r>
        <w:rPr>
          <w:spacing w:val="24"/>
        </w:rPr>
        <w:t> </w:t>
      </w:r>
      <w:r>
        <w:rPr/>
        <w:t>excipients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9"/>
        <w:jc w:val="both"/>
      </w:pPr>
      <w:r>
        <w:rPr/>
        <w:t>will affect all these properties. Based on their function, excipients have been grouped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classes:</w:t>
      </w:r>
    </w:p>
    <w:p>
      <w:pPr>
        <w:pStyle w:val="ListParagraph"/>
        <w:numPr>
          <w:ilvl w:val="3"/>
          <w:numId w:val="8"/>
        </w:numPr>
        <w:tabs>
          <w:tab w:pos="1186" w:val="left" w:leader="none"/>
        </w:tabs>
        <w:spacing w:line="240" w:lineRule="auto" w:before="120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Diluents/Fillers/Bulking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agents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465" w:right="1251"/>
        <w:jc w:val="both"/>
      </w:pPr>
      <w:r>
        <w:rPr/>
        <w:t>A diluent is any material that is added to a tablet formulation to fill out the size of a</w:t>
      </w:r>
      <w:r>
        <w:rPr>
          <w:spacing w:val="1"/>
        </w:rPr>
        <w:t> </w:t>
      </w:r>
      <w:r>
        <w:rPr/>
        <w:t>tablet or capsule, making it practical to produce and convenient for the consumer to use</w:t>
      </w:r>
      <w:r>
        <w:rPr>
          <w:spacing w:val="1"/>
        </w:rPr>
        <w:t> </w:t>
      </w:r>
      <w:r>
        <w:rPr/>
        <w:t>by increasing the bulk</w:t>
      </w:r>
      <w:r>
        <w:rPr>
          <w:spacing w:val="1"/>
        </w:rPr>
        <w:t> </w:t>
      </w:r>
      <w:r>
        <w:rPr/>
        <w:t>volume of the formulation. Hence,</w:t>
      </w:r>
      <w:r>
        <w:rPr>
          <w:spacing w:val="1"/>
        </w:rPr>
        <w:t> </w:t>
      </w:r>
      <w:r>
        <w:rPr/>
        <w:t>the final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 volume for patient handling. A good filler must be inert, compatible with 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formulation,</w:t>
      </w:r>
      <w:r>
        <w:rPr>
          <w:spacing w:val="1"/>
        </w:rPr>
        <w:t> </w:t>
      </w:r>
      <w:r>
        <w:rPr/>
        <w:t>non-hygroscopic,</w:t>
      </w:r>
      <w:r>
        <w:rPr>
          <w:spacing w:val="1"/>
        </w:rPr>
        <w:t> </w:t>
      </w:r>
      <w:r>
        <w:rPr/>
        <w:t>soluble,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cheap,</w:t>
      </w:r>
      <w:r>
        <w:rPr>
          <w:spacing w:val="1"/>
        </w:rPr>
        <w:t> </w:t>
      </w:r>
      <w:r>
        <w:rPr/>
        <w:t>compactable,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preferablytasteless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pleasant</w:t>
      </w:r>
      <w:r>
        <w:rPr>
          <w:spacing w:val="1"/>
        </w:rPr>
        <w:t> </w:t>
      </w:r>
      <w:r>
        <w:rPr/>
        <w:t>tasting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chewable</w:t>
      </w:r>
      <w:r>
        <w:rPr>
          <w:spacing w:val="1"/>
        </w:rPr>
        <w:t> </w:t>
      </w:r>
      <w:r>
        <w:rPr/>
        <w:t>tablet).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diluents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lactose,</w:t>
      </w:r>
      <w:r>
        <w:rPr>
          <w:spacing w:val="1"/>
        </w:rPr>
        <w:t> </w:t>
      </w:r>
      <w:r>
        <w:rPr/>
        <w:t>dicalcium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dihydrate,</w:t>
      </w:r>
      <w:r>
        <w:rPr>
          <w:spacing w:val="1"/>
        </w:rPr>
        <w:t> </w:t>
      </w:r>
      <w:r>
        <w:rPr/>
        <w:t>sucrose,</w:t>
      </w:r>
      <w:r>
        <w:rPr>
          <w:spacing w:val="1"/>
        </w:rPr>
        <w:t> </w:t>
      </w:r>
      <w:r>
        <w:rPr/>
        <w:t>glucose,</w:t>
      </w:r>
      <w:r>
        <w:rPr>
          <w:spacing w:val="-57"/>
        </w:rPr>
        <w:t> </w:t>
      </w:r>
      <w:r>
        <w:rPr/>
        <w:t>mannitol,</w:t>
      </w:r>
      <w:r>
        <w:rPr>
          <w:spacing w:val="-1"/>
        </w:rPr>
        <w:t> </w:t>
      </w:r>
      <w:r>
        <w:rPr/>
        <w:t>sorbitol, calcium sulphate, starch etc.</w:t>
      </w:r>
    </w:p>
    <w:p>
      <w:pPr>
        <w:pStyle w:val="ListParagraph"/>
        <w:numPr>
          <w:ilvl w:val="3"/>
          <w:numId w:val="8"/>
        </w:numPr>
        <w:tabs>
          <w:tab w:pos="1186" w:val="left" w:leader="none"/>
        </w:tabs>
        <w:spacing w:line="240" w:lineRule="auto" w:before="121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Binders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 w:before="1"/>
        <w:ind w:left="465" w:right="1251"/>
        <w:jc w:val="both"/>
      </w:pPr>
      <w:r>
        <w:rPr/>
        <w:t>Bindersareoften added to the granulation liquid during wet granulation to improve the</w:t>
      </w:r>
      <w:r>
        <w:rPr>
          <w:spacing w:val="1"/>
        </w:rPr>
        <w:t> </w:t>
      </w:r>
      <w:r>
        <w:rPr/>
        <w:t>cohesiveness and compactability of the powder particles, which assists in the formation</w:t>
      </w:r>
      <w:r>
        <w:rPr>
          <w:spacing w:val="1"/>
        </w:rPr>
        <w:t> </w:t>
      </w:r>
      <w:r>
        <w:rPr/>
        <w:t>of agglomerates or granules.Materials with high bonding ability can be used as binders</w:t>
      </w:r>
      <w:r>
        <w:rPr>
          <w:spacing w:val="1"/>
        </w:rPr>
        <w:t> </w:t>
      </w:r>
      <w:r>
        <w:rPr/>
        <w:t>to increase the mechanical strength of the tablet. A binder is usually a ductile material</w:t>
      </w:r>
      <w:r>
        <w:rPr>
          <w:spacing w:val="1"/>
        </w:rPr>
        <w:t> </w:t>
      </w:r>
      <w:r>
        <w:rPr/>
        <w:t>prone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undergo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(irreversible)</w:t>
      </w:r>
      <w:r>
        <w:rPr>
          <w:spacing w:val="1"/>
        </w:rPr>
        <w:t> </w:t>
      </w:r>
      <w:r>
        <w:rPr/>
        <w:t>deformation</w:t>
      </w:r>
      <w:r>
        <w:rPr>
          <w:spacing w:val="1"/>
        </w:rPr>
        <w:t> </w:t>
      </w:r>
      <w:r>
        <w:rPr/>
        <w:t>(Klevan,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act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reducing interparticulate distances within the tablet, thereby improving bond formation.</w:t>
      </w:r>
      <w:r>
        <w:rPr>
          <w:spacing w:val="1"/>
        </w:rPr>
        <w:t> </w:t>
      </w:r>
      <w:r>
        <w:rPr/>
        <w:t>If the entire bulk of the binder particles undergo extensive plastic deformation during</w:t>
      </w:r>
      <w:r>
        <w:rPr>
          <w:spacing w:val="1"/>
        </w:rPr>
        <w:t> </w:t>
      </w:r>
      <w:r>
        <w:rPr/>
        <w:t>compression, the interparticulate voids</w:t>
      </w:r>
      <w:r>
        <w:rPr>
          <w:spacing w:val="1"/>
        </w:rPr>
        <w:t> </w:t>
      </w:r>
      <w:r>
        <w:rPr/>
        <w:t>will, at</w:t>
      </w:r>
      <w:r>
        <w:rPr>
          <w:spacing w:val="1"/>
        </w:rPr>
        <w:t> </w:t>
      </w:r>
      <w:r>
        <w:rPr/>
        <w:t>least partly,</w:t>
      </w:r>
      <w:r>
        <w:rPr>
          <w:spacing w:val="1"/>
        </w:rPr>
        <w:t> </w:t>
      </w:r>
      <w:r>
        <w:rPr/>
        <w:t>be filled</w:t>
      </w:r>
      <w:r>
        <w:rPr>
          <w:spacing w:val="1"/>
        </w:rPr>
        <w:t> </w:t>
      </w:r>
      <w:r>
        <w:rPr/>
        <w:t>and the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porosity will decrease. This increases the contact area between the particles, which</w:t>
      </w:r>
      <w:r>
        <w:rPr>
          <w:spacing w:val="1"/>
        </w:rPr>
        <w:t> </w:t>
      </w:r>
      <w:r>
        <w:rPr/>
        <w:t>promotes the creation of interparticulate bonds and subsequently increases the tablet</w:t>
      </w:r>
      <w:r>
        <w:rPr>
          <w:spacing w:val="1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(Sun, 2011).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4"/>
        <w:jc w:val="both"/>
      </w:pPr>
      <w:r>
        <w:rPr/>
        <w:t>It is commonly accepted that binders added in dissolved form, during a granulation</w:t>
      </w:r>
      <w:r>
        <w:rPr>
          <w:spacing w:val="1"/>
        </w:rPr>
        <w:t> </w:t>
      </w:r>
      <w:r>
        <w:rPr/>
        <w:t>process, is more effective than incorporating as a dry powder during direct compression.</w:t>
      </w:r>
      <w:r>
        <w:rPr>
          <w:spacing w:val="-57"/>
        </w:rPr>
        <w:t> </w:t>
      </w:r>
      <w:r>
        <w:rPr/>
        <w:t>Typical examples of binders include starches, gelatin, acacia, sucrose, sodium alginate,</w:t>
      </w:r>
      <w:r>
        <w:rPr>
          <w:spacing w:val="1"/>
        </w:rPr>
        <w:t> </w:t>
      </w:r>
      <w:r>
        <w:rPr/>
        <w:t>polyvinylpyrrolidone</w:t>
      </w:r>
      <w:r>
        <w:rPr>
          <w:spacing w:val="1"/>
        </w:rPr>
        <w:t> </w:t>
      </w:r>
      <w:r>
        <w:rPr/>
        <w:t>(PVP),</w:t>
      </w:r>
      <w:r>
        <w:rPr>
          <w:spacing w:val="1"/>
        </w:rPr>
        <w:t> </w:t>
      </w:r>
      <w:r>
        <w:rPr/>
        <w:t>carboxymethylcellulose,</w:t>
      </w:r>
      <w:r>
        <w:rPr>
          <w:spacing w:val="1"/>
        </w:rPr>
        <w:t> </w:t>
      </w:r>
      <w:r>
        <w:rPr/>
        <w:t>hydroxypropylmethylcellulose,</w:t>
      </w:r>
      <w:r>
        <w:rPr>
          <w:spacing w:val="1"/>
        </w:rPr>
        <w:t> </w:t>
      </w:r>
      <w:r>
        <w:rPr/>
        <w:t>microcrystalline</w:t>
      </w:r>
      <w:r>
        <w:rPr>
          <w:spacing w:val="-2"/>
        </w:rPr>
        <w:t> </w:t>
      </w:r>
      <w:r>
        <w:rPr/>
        <w:t>cellulose</w:t>
      </w:r>
      <w:r>
        <w:rPr>
          <w:spacing w:val="-1"/>
        </w:rPr>
        <w:t> </w:t>
      </w:r>
      <w:r>
        <w:rPr/>
        <w:t>etc. Water</w:t>
      </w:r>
      <w:r>
        <w:rPr>
          <w:spacing w:val="-1"/>
        </w:rPr>
        <w:t> </w:t>
      </w:r>
      <w:r>
        <w:rPr/>
        <w:t>and alcohol</w:t>
      </w:r>
      <w:r>
        <w:rPr>
          <w:spacing w:val="2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-1"/>
        </w:rPr>
        <w:t> </w:t>
      </w:r>
      <w:r>
        <w:rPr/>
        <w:t>usedasmoisteningagents.</w:t>
      </w:r>
    </w:p>
    <w:p>
      <w:pPr>
        <w:pStyle w:val="ListParagraph"/>
        <w:numPr>
          <w:ilvl w:val="3"/>
          <w:numId w:val="8"/>
        </w:numPr>
        <w:tabs>
          <w:tab w:pos="1186" w:val="left" w:leader="none"/>
        </w:tabs>
        <w:spacing w:line="240" w:lineRule="auto" w:before="120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Disintegrating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agents</w:t>
      </w:r>
    </w:p>
    <w:p>
      <w:pPr>
        <w:pStyle w:val="BodyText"/>
        <w:spacing w:before="6"/>
        <w:rPr>
          <w:i/>
          <w:sz w:val="34"/>
        </w:rPr>
      </w:pPr>
    </w:p>
    <w:p>
      <w:pPr>
        <w:pStyle w:val="BodyText"/>
        <w:spacing w:line="480" w:lineRule="auto"/>
        <w:ind w:left="465" w:right="1252"/>
        <w:jc w:val="both"/>
      </w:pPr>
      <w:r>
        <w:rPr/>
        <w:t>Disintegrants</w:t>
      </w:r>
      <w:r>
        <w:rPr>
          <w:spacing w:val="1"/>
        </w:rPr>
        <w:t> </w:t>
      </w:r>
      <w:r>
        <w:rPr/>
        <w:t>are normally 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rupture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disintegration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tablets</w:t>
      </w:r>
      <w:r>
        <w:rPr>
          <w:spacing w:val="34"/>
        </w:rPr>
        <w:t> </w:t>
      </w:r>
      <w:r>
        <w:rPr/>
        <w:t>(Daraghmeh</w:t>
      </w:r>
      <w:r>
        <w:rPr>
          <w:i/>
        </w:rPr>
        <w:t>et</w:t>
      </w:r>
      <w:r>
        <w:rPr>
          <w:i/>
          <w:spacing w:val="32"/>
        </w:rPr>
        <w:t> </w:t>
      </w:r>
      <w:r>
        <w:rPr>
          <w:i/>
        </w:rPr>
        <w:t>al.</w:t>
      </w:r>
      <w:r>
        <w:rPr/>
        <w:t>,</w:t>
      </w:r>
      <w:r>
        <w:rPr>
          <w:spacing w:val="31"/>
        </w:rPr>
        <w:t> </w:t>
      </w:r>
      <w:r>
        <w:rPr/>
        <w:t>2015).</w:t>
      </w:r>
      <w:r>
        <w:rPr>
          <w:spacing w:val="31"/>
        </w:rPr>
        <w:t> </w:t>
      </w:r>
      <w:r>
        <w:rPr/>
        <w:t>Disintegrants</w:t>
      </w:r>
      <w:r>
        <w:rPr>
          <w:spacing w:val="33"/>
        </w:rPr>
        <w:t> </w:t>
      </w:r>
      <w:r>
        <w:rPr/>
        <w:t>are</w:t>
      </w:r>
      <w:r>
        <w:rPr>
          <w:spacing w:val="29"/>
        </w:rPr>
        <w:t> </w:t>
      </w:r>
      <w:r>
        <w:rPr/>
        <w:t>usually</w:t>
      </w:r>
      <w:r>
        <w:rPr>
          <w:spacing w:val="27"/>
        </w:rPr>
        <w:t> </w:t>
      </w:r>
      <w:r>
        <w:rPr/>
        <w:t>added</w:t>
      </w:r>
      <w:r>
        <w:rPr>
          <w:spacing w:val="-58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compressed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break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into</w:t>
      </w:r>
      <w:r>
        <w:rPr>
          <w:spacing w:val="61"/>
        </w:rPr>
        <w:t> </w:t>
      </w:r>
      <w:r>
        <w:rPr/>
        <w:t>smaller</w:t>
      </w:r>
      <w:r>
        <w:rPr>
          <w:spacing w:val="1"/>
        </w:rPr>
        <w:t> </w:t>
      </w:r>
      <w:r>
        <w:rPr/>
        <w:t>fragmentswhen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medium,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making the active ingredients ready for absorption in the digestive tract. The most</w:t>
      </w:r>
      <w:r>
        <w:rPr>
          <w:spacing w:val="1"/>
        </w:rPr>
        <w:t> </w:t>
      </w:r>
      <w:r>
        <w:rPr/>
        <w:t>conventionally used disintegrants are: corn starch, potato starch, and alginic acid. Other</w:t>
      </w:r>
      <w:r>
        <w:rPr>
          <w:spacing w:val="1"/>
        </w:rPr>
        <w:t> </w:t>
      </w:r>
      <w:r>
        <w:rPr/>
        <w:t>substances which swell in water can be used as disintegrants such as gelatin, sodium</w:t>
      </w:r>
      <w:r>
        <w:rPr>
          <w:spacing w:val="1"/>
        </w:rPr>
        <w:t> </w:t>
      </w:r>
      <w:r>
        <w:rPr/>
        <w:t>carboxymethylcellulose,</w:t>
      </w:r>
      <w:r>
        <w:rPr>
          <w:spacing w:val="-1"/>
        </w:rPr>
        <w:t> </w:t>
      </w:r>
      <w:r>
        <w:rPr/>
        <w:t>microcrystalline</w:t>
      </w:r>
      <w:r>
        <w:rPr>
          <w:spacing w:val="-1"/>
        </w:rPr>
        <w:t> </w:t>
      </w:r>
      <w:r>
        <w:rPr/>
        <w:t>cellulose, and bentonite.</w:t>
      </w:r>
    </w:p>
    <w:p>
      <w:pPr>
        <w:pStyle w:val="BodyText"/>
        <w:spacing w:line="480" w:lineRule="auto" w:before="121"/>
        <w:ind w:left="465" w:right="1252"/>
        <w:jc w:val="both"/>
      </w:pPr>
      <w:r>
        <w:rPr/>
        <w:t>Superdisintegrants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disintegrants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at</w:t>
      </w:r>
      <w:r>
        <w:rPr>
          <w:spacing w:val="61"/>
        </w:rPr>
        <w:t> </w:t>
      </w:r>
      <w:r>
        <w:rPr/>
        <w:t>low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disintegrating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disintegrants. They act by swelling and due to swelling pressure exerted in the outer</w:t>
      </w:r>
      <w:r>
        <w:rPr>
          <w:spacing w:val="1"/>
        </w:rPr>
        <w:t> </w:t>
      </w:r>
      <w:r>
        <w:rPr/>
        <w:t>direction or radial direction, they cause tablet to burst or the accelerated absorption 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enormous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disintegration.</w:t>
      </w:r>
      <w:r>
        <w:rPr>
          <w:spacing w:val="1"/>
        </w:rPr>
        <w:t> </w:t>
      </w:r>
      <w:r>
        <w:rPr/>
        <w:t>Commercially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superdisintegrants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glycolate,</w:t>
      </w:r>
      <w:r>
        <w:rPr>
          <w:spacing w:val="1"/>
        </w:rPr>
        <w:t> </w:t>
      </w:r>
      <w:r>
        <w:rPr/>
        <w:t>cross-linked</w:t>
      </w:r>
      <w:r>
        <w:rPr>
          <w:spacing w:val="1"/>
        </w:rPr>
        <w:t> </w:t>
      </w:r>
      <w:r>
        <w:rPr/>
        <w:t>polyvinylpyrrolidone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cross-linked</w:t>
      </w:r>
      <w:r>
        <w:rPr>
          <w:spacing w:val="1"/>
        </w:rPr>
        <w:t> </w:t>
      </w:r>
      <w:r>
        <w:rPr/>
        <w:t>sodium</w:t>
      </w:r>
      <w:r>
        <w:rPr>
          <w:spacing w:val="-57"/>
        </w:rPr>
        <w:t> </w:t>
      </w:r>
      <w:r>
        <w:rPr/>
        <w:t>carboxymethylcellulose.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ListParagraph"/>
        <w:numPr>
          <w:ilvl w:val="3"/>
          <w:numId w:val="8"/>
        </w:numPr>
        <w:tabs>
          <w:tab w:pos="1186" w:val="left" w:leader="none"/>
        </w:tabs>
        <w:spacing w:line="240" w:lineRule="auto" w:before="72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Glidants,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antiadherents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lubricants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465" w:right="1250"/>
        <w:jc w:val="both"/>
      </w:pPr>
      <w:r>
        <w:rPr/>
        <w:t>Glidants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flowability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mass,</w:t>
      </w:r>
      <w:r>
        <w:rPr>
          <w:spacing w:val="61"/>
        </w:rPr>
        <w:t> </w:t>
      </w:r>
      <w:r>
        <w:rPr/>
        <w:t>reduce</w:t>
      </w:r>
      <w:r>
        <w:rPr>
          <w:spacing w:val="1"/>
        </w:rPr>
        <w:t> </w:t>
      </w:r>
      <w:r>
        <w:rPr/>
        <w:t>interparticulate friction and improve powderflow in the hopper shoe and die of the</w:t>
      </w:r>
      <w:r>
        <w:rPr>
          <w:spacing w:val="1"/>
        </w:rPr>
        <w:t> </w:t>
      </w:r>
      <w:r>
        <w:rPr/>
        <w:t>tableting machine. Antiadherents can be added to decrease sticking of the powder to the</w:t>
      </w:r>
      <w:r>
        <w:rPr>
          <w:spacing w:val="1"/>
        </w:rPr>
        <w:t> </w:t>
      </w:r>
      <w:r>
        <w:rPr/>
        <w:t>faces of the punches and the die walls during compaction, and lubricants are added to</w:t>
      </w:r>
      <w:r>
        <w:rPr>
          <w:spacing w:val="1"/>
        </w:rPr>
        <w:t> </w:t>
      </w:r>
      <w:r>
        <w:rPr/>
        <w:t>decrease friction between powder and die, facilitating ejection of the tablet from the die.</w:t>
      </w:r>
      <w:r>
        <w:rPr>
          <w:spacing w:val="-57"/>
        </w:rPr>
        <w:t> </w:t>
      </w:r>
      <w:r>
        <w:rPr/>
        <w:t>However, addition of lubricants (also including glidants and antiadherents) can exert</w:t>
      </w:r>
      <w:r>
        <w:rPr>
          <w:spacing w:val="1"/>
        </w:rPr>
        <w:t> </w:t>
      </w:r>
      <w:r>
        <w:rPr/>
        <w:t>negative effects on tablet strength, since the lubricant often reduces the creation of</w:t>
      </w:r>
      <w:r>
        <w:rPr>
          <w:spacing w:val="1"/>
        </w:rPr>
        <w:t> </w:t>
      </w:r>
      <w:r>
        <w:rPr/>
        <w:t>interparticulate bonds. Further, lubricants can also slow the drug dissolution process by</w:t>
      </w:r>
      <w:r>
        <w:rPr>
          <w:spacing w:val="1"/>
        </w:rPr>
        <w:t> </w:t>
      </w:r>
      <w:r>
        <w:rPr/>
        <w:t>introducing hydrophobic films around drug and excipient particles(Patel</w:t>
      </w:r>
      <w:r>
        <w:rPr>
          <w:i/>
        </w:rPr>
        <w:t>et al.</w:t>
      </w:r>
      <w:r>
        <w:rPr/>
        <w:t>, 2006).</w:t>
      </w:r>
      <w:r>
        <w:rPr>
          <w:spacing w:val="1"/>
        </w:rPr>
        <w:t> </w:t>
      </w:r>
      <w:r>
        <w:rPr/>
        <w:t>These negative effects are especially pronounced when long mixing times are required.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lubricants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kept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mixing</w:t>
      </w:r>
      <w:r>
        <w:rPr>
          <w:spacing w:val="-57"/>
        </w:rPr>
        <w:t> </w:t>
      </w:r>
      <w:r>
        <w:rPr/>
        <w:t>procedure kept short, to avoid a homogenous distribution of lubricant throughout the</w:t>
      </w:r>
      <w:r>
        <w:rPr>
          <w:spacing w:val="1"/>
        </w:rPr>
        <w:t> </w:t>
      </w:r>
      <w:r>
        <w:rPr/>
        <w:t>powder mass.Lubricants such as magnesium stearate, calcium stearate, stearic acid, talc</w:t>
      </w:r>
      <w:r>
        <w:rPr>
          <w:spacing w:val="1"/>
        </w:rPr>
        <w:t> </w:t>
      </w:r>
      <w:r>
        <w:rPr/>
        <w:t>and colloidal silicon dioxide are the most frequently used lubricants in tablets or hard</w:t>
      </w:r>
      <w:r>
        <w:rPr>
          <w:spacing w:val="1"/>
        </w:rPr>
        <w:t> </w:t>
      </w:r>
      <w:r>
        <w:rPr/>
        <w:t>gelatin</w:t>
      </w:r>
      <w:r>
        <w:rPr>
          <w:spacing w:val="-1"/>
        </w:rPr>
        <w:t> </w:t>
      </w:r>
      <w:r>
        <w:rPr/>
        <w:t>capsules.</w:t>
      </w:r>
    </w:p>
    <w:p>
      <w:pPr>
        <w:pStyle w:val="ListParagraph"/>
        <w:numPr>
          <w:ilvl w:val="3"/>
          <w:numId w:val="8"/>
        </w:numPr>
        <w:tabs>
          <w:tab w:pos="1186" w:val="left" w:leader="none"/>
        </w:tabs>
        <w:spacing w:line="240" w:lineRule="auto" w:before="122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Flavours,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sweeteners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colorants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465" w:right="1252"/>
        <w:jc w:val="both"/>
      </w:pPr>
      <w:r>
        <w:rPr/>
        <w:t>Flavours and sweeteners are primarily used to improve or mask the taste of the drug,</w:t>
      </w:r>
      <w:r>
        <w:rPr>
          <w:spacing w:val="1"/>
        </w:rPr>
        <w:t> </w:t>
      </w:r>
      <w:r>
        <w:rPr/>
        <w:t>with subsequent substantial improvement in patient compliance. Typical examples of</w:t>
      </w:r>
      <w:r>
        <w:rPr>
          <w:spacing w:val="1"/>
        </w:rPr>
        <w:t> </w:t>
      </w:r>
      <w:r>
        <w:rPr/>
        <w:t>flavours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volatile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clove,</w:t>
      </w:r>
      <w:r>
        <w:rPr>
          <w:spacing w:val="1"/>
        </w:rPr>
        <w:t> </w:t>
      </w:r>
      <w:r>
        <w:rPr/>
        <w:t>fennel,</w:t>
      </w:r>
      <w:r>
        <w:rPr>
          <w:spacing w:val="1"/>
        </w:rPr>
        <w:t> </w:t>
      </w:r>
      <w:r>
        <w:rPr/>
        <w:t>orange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wintergreen oil while sweeteners include sucrose, sorbitol, mannitol, xylitol, saccharin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aspartame.</w:t>
      </w:r>
    </w:p>
    <w:p>
      <w:pPr>
        <w:pStyle w:val="BodyText"/>
        <w:spacing w:line="480" w:lineRule="auto" w:before="118"/>
        <w:ind w:left="465" w:right="1255"/>
        <w:jc w:val="both"/>
      </w:pPr>
      <w:r>
        <w:rPr/>
        <w:t>Colorants are added to provide tablets with good aesthetic value, and can improve tablet</w:t>
      </w:r>
      <w:r>
        <w:rPr>
          <w:spacing w:val="-57"/>
        </w:rPr>
        <w:t> </w:t>
      </w:r>
      <w:r>
        <w:rPr/>
        <w:t>identification,</w:t>
      </w:r>
      <w:r>
        <w:rPr>
          <w:spacing w:val="39"/>
        </w:rPr>
        <w:t> </w:t>
      </w:r>
      <w:r>
        <w:rPr/>
        <w:t>especially</w:t>
      </w:r>
      <w:r>
        <w:rPr>
          <w:spacing w:val="38"/>
        </w:rPr>
        <w:t> </w:t>
      </w:r>
      <w:r>
        <w:rPr/>
        <w:t>when</w:t>
      </w:r>
      <w:r>
        <w:rPr>
          <w:spacing w:val="42"/>
        </w:rPr>
        <w:t> </w:t>
      </w:r>
      <w:r>
        <w:rPr/>
        <w:t>patients</w:t>
      </w:r>
      <w:r>
        <w:rPr>
          <w:spacing w:val="41"/>
        </w:rPr>
        <w:t> </w:t>
      </w:r>
      <w:r>
        <w:rPr/>
        <w:t>are</w:t>
      </w:r>
      <w:r>
        <w:rPr>
          <w:spacing w:val="41"/>
        </w:rPr>
        <w:t> </w:t>
      </w:r>
      <w:r>
        <w:rPr/>
        <w:t>taking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number</w:t>
      </w:r>
      <w:r>
        <w:rPr>
          <w:spacing w:val="45"/>
        </w:rPr>
        <w:t> </w:t>
      </w:r>
      <w:r>
        <w:rPr/>
        <w:t>of</w:t>
      </w:r>
      <w:r>
        <w:rPr>
          <w:spacing w:val="40"/>
        </w:rPr>
        <w:t> </w:t>
      </w:r>
      <w:r>
        <w:rPr/>
        <w:t>different</w:t>
      </w:r>
      <w:r>
        <w:rPr>
          <w:spacing w:val="42"/>
        </w:rPr>
        <w:t> </w:t>
      </w:r>
      <w:r>
        <w:rPr/>
        <w:t>tablets.</w:t>
      </w:r>
      <w:r>
        <w:rPr>
          <w:spacing w:val="4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61"/>
        <w:jc w:val="both"/>
      </w:pPr>
      <w:r>
        <w:rPr/>
        <w:t>common</w:t>
      </w:r>
      <w:r>
        <w:rPr>
          <w:spacing w:val="1"/>
        </w:rPr>
        <w:t> </w:t>
      </w:r>
      <w:r>
        <w:rPr/>
        <w:t>colorants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tableting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erythrosine,</w:t>
      </w:r>
      <w:r>
        <w:rPr>
          <w:spacing w:val="1"/>
        </w:rPr>
        <w:t> </w:t>
      </w:r>
      <w:r>
        <w:rPr/>
        <w:t>tartrazine,</w:t>
      </w:r>
      <w:r>
        <w:rPr>
          <w:spacing w:val="1"/>
        </w:rPr>
        <w:t> </w:t>
      </w:r>
      <w:r>
        <w:rPr/>
        <w:t>sunset</w:t>
      </w:r>
      <w:r>
        <w:rPr>
          <w:spacing w:val="1"/>
        </w:rPr>
        <w:t> </w:t>
      </w:r>
      <w:r>
        <w:rPr/>
        <w:t>yellow,</w:t>
      </w:r>
      <w:r>
        <w:rPr>
          <w:spacing w:val="1"/>
        </w:rPr>
        <w:t> </w:t>
      </w:r>
      <w:r>
        <w:rPr/>
        <w:t>brilliant</w:t>
      </w:r>
      <w:r>
        <w:rPr>
          <w:spacing w:val="-1"/>
        </w:rPr>
        <w:t> </w:t>
      </w:r>
      <w:r>
        <w:rPr/>
        <w:t>blue, indigotine</w:t>
      </w:r>
      <w:r>
        <w:rPr>
          <w:spacing w:val="-1"/>
        </w:rPr>
        <w:t> </w:t>
      </w:r>
      <w:r>
        <w:rPr/>
        <w:t>and fast</w:t>
      </w:r>
      <w:r>
        <w:rPr>
          <w:spacing w:val="2"/>
        </w:rPr>
        <w:t> </w:t>
      </w:r>
      <w:r>
        <w:rPr/>
        <w:t>green.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2"/>
          <w:numId w:val="8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5" w:right="0" w:hanging="721"/>
        <w:jc w:val="left"/>
      </w:pPr>
      <w:bookmarkStart w:name="_TOC_250090" w:id="16"/>
      <w:r>
        <w:rPr/>
        <w:t>Functionality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bookmarkEnd w:id="16"/>
      <w:r>
        <w:rPr/>
        <w:t>excipient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5"/>
        <w:jc w:val="both"/>
      </w:pPr>
      <w:r>
        <w:rPr/>
        <w:t>The quality of medicines depends not only on the active drug and production processes,</w:t>
      </w:r>
      <w:r>
        <w:rPr>
          <w:spacing w:val="1"/>
        </w:rPr>
        <w:t> </w:t>
      </w:r>
      <w:r>
        <w:rPr/>
        <w:t>but also on the performance of the excipients. The traditional concept of the excipient as</w:t>
      </w:r>
      <w:r>
        <w:rPr>
          <w:spacing w:val="-57"/>
        </w:rPr>
        <w:t> </w:t>
      </w:r>
      <w:r>
        <w:rPr/>
        <w:t>any component other than the active substance has undergone a substantial evolution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“inert”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cheap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constituent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formulation(Moreton,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480" w:lineRule="auto" w:before="121"/>
        <w:ind w:left="465" w:right="1256"/>
        <w:jc w:val="both"/>
      </w:pPr>
      <w:r>
        <w:rPr/>
        <w:t>More than a thousand raw materials are available from a wide variety of sources and</w:t>
      </w:r>
      <w:r>
        <w:rPr>
          <w:spacing w:val="1"/>
        </w:rPr>
        <w:t> </w:t>
      </w:r>
      <w:r>
        <w:rPr/>
        <w:t>have been adapted for</w:t>
      </w:r>
      <w:r>
        <w:rPr>
          <w:spacing w:val="1"/>
        </w:rPr>
        <w:t> </w:t>
      </w:r>
      <w:r>
        <w:rPr/>
        <w:t>use in the pharmaceutical industry. Their</w:t>
      </w:r>
      <w:r>
        <w:rPr>
          <w:spacing w:val="60"/>
        </w:rPr>
        <w:t> </w:t>
      </w:r>
      <w:r>
        <w:rPr/>
        <w:t>chemical structures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polymeric</w:t>
      </w:r>
      <w:r>
        <w:rPr>
          <w:spacing w:val="1"/>
        </w:rPr>
        <w:t> </w:t>
      </w:r>
      <w:r>
        <w:rPr/>
        <w:t>mixtures.</w:t>
      </w:r>
      <w:r>
        <w:rPr>
          <w:spacing w:val="1"/>
        </w:rPr>
        <w:t> </w:t>
      </w:r>
      <w:r>
        <w:rPr/>
        <w:t>Excipients are now incorporated as functional components to perform a wide variety of</w:t>
      </w:r>
      <w:r>
        <w:rPr>
          <w:spacing w:val="1"/>
        </w:rPr>
        <w:t> </w:t>
      </w:r>
      <w:r>
        <w:rPr/>
        <w:t>functions to guarantee the stability and bioavailability of the drug substance from the</w:t>
      </w:r>
      <w:r>
        <w:rPr>
          <w:spacing w:val="1"/>
        </w:rPr>
        <w:t> </w:t>
      </w:r>
      <w:r>
        <w:rPr/>
        <w:t>drug product and its potential for manufacture on a production scale. Beyond the dosage</w:t>
      </w:r>
      <w:r>
        <w:rPr>
          <w:spacing w:val="-57"/>
        </w:rPr>
        <w:t> </w:t>
      </w:r>
      <w:r>
        <w:rPr/>
        <w:t>form necessities, excipients are required to perform important and specific technological</w:t>
      </w:r>
      <w:r>
        <w:rPr>
          <w:spacing w:val="-57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particularly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domain of</w:t>
      </w:r>
      <w:r>
        <w:rPr>
          <w:spacing w:val="-1"/>
        </w:rPr>
        <w:t> </w:t>
      </w:r>
      <w:r>
        <w:rPr/>
        <w:t>solid dosage</w:t>
      </w:r>
      <w:r>
        <w:rPr>
          <w:spacing w:val="-1"/>
        </w:rPr>
        <w:t> </w:t>
      </w:r>
      <w:r>
        <w:rPr/>
        <w:t>forms.</w:t>
      </w:r>
    </w:p>
    <w:p>
      <w:pPr>
        <w:pStyle w:val="BodyText"/>
        <w:spacing w:line="480" w:lineRule="auto" w:before="120"/>
        <w:ind w:left="465" w:right="1257"/>
        <w:jc w:val="both"/>
      </w:pPr>
      <w:r>
        <w:rPr/>
        <w:t>The</w:t>
      </w:r>
      <w:r>
        <w:rPr>
          <w:spacing w:val="-6"/>
        </w:rPr>
        <w:t> </w:t>
      </w:r>
      <w:r>
        <w:rPr/>
        <w:t>functionality</w:t>
      </w:r>
      <w:r>
        <w:rPr>
          <w:spacing w:val="-9"/>
        </w:rPr>
        <w:t> </w:t>
      </w:r>
      <w:r>
        <w:rPr/>
        <w:t>of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/>
        <w:t>excipient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best</w:t>
      </w:r>
      <w:r>
        <w:rPr>
          <w:spacing w:val="-4"/>
        </w:rPr>
        <w:t> </w:t>
      </w:r>
      <w:r>
        <w:rPr/>
        <w:t>described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/>
        <w:t>its‟</w:t>
      </w:r>
      <w:r>
        <w:rPr>
          <w:spacing w:val="-3"/>
        </w:rPr>
        <w:t> </w:t>
      </w:r>
      <w:r>
        <w:rPr/>
        <w:t>contribution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dosage</w:t>
      </w:r>
      <w:r>
        <w:rPr>
          <w:spacing w:val="-5"/>
        </w:rPr>
        <w:t> </w:t>
      </w:r>
      <w:r>
        <w:rPr/>
        <w:t>form‟s</w:t>
      </w:r>
      <w:r>
        <w:rPr>
          <w:spacing w:val="-57"/>
        </w:rPr>
        <w:t> </w:t>
      </w:r>
      <w:r>
        <w:rPr/>
        <w:t>stability,</w:t>
      </w:r>
      <w:r>
        <w:rPr>
          <w:spacing w:val="1"/>
        </w:rPr>
        <w:t> </w:t>
      </w:r>
      <w:r>
        <w:rPr/>
        <w:t>identity,</w:t>
      </w:r>
      <w:r>
        <w:rPr>
          <w:spacing w:val="1"/>
        </w:rPr>
        <w:t> </w:t>
      </w:r>
      <w:r>
        <w:rPr/>
        <w:t>delivery and</w:t>
      </w:r>
      <w:r>
        <w:rPr>
          <w:spacing w:val="1"/>
        </w:rPr>
        <w:t> </w:t>
      </w:r>
      <w:r>
        <w:rPr/>
        <w:t>processability which does not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solely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excipient‟s</w:t>
      </w:r>
      <w:r>
        <w:rPr>
          <w:spacing w:val="1"/>
        </w:rPr>
        <w:t> </w:t>
      </w:r>
      <w:r>
        <w:rPr/>
        <w:t>inherent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application,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process(Moreton,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480" w:lineRule="auto" w:before="119"/>
        <w:ind w:left="465" w:right="1257"/>
        <w:jc w:val="both"/>
      </w:pPr>
      <w:r>
        <w:rPr/>
        <w:t>A good number of excipients relevant to tableting are multifunctional in nature, i.e.</w:t>
      </w:r>
      <w:r>
        <w:rPr>
          <w:spacing w:val="1"/>
        </w:rPr>
        <w:t> </w:t>
      </w:r>
      <w:r>
        <w:rPr/>
        <w:t>having the ability to combine two or more functions in a formulation. A typical example</w:t>
      </w:r>
      <w:r>
        <w:rPr>
          <w:spacing w:val="-57"/>
        </w:rPr>
        <w:t> </w:t>
      </w:r>
      <w:r>
        <w:rPr/>
        <w:t>is microcrystalline cellulose (MCC) which is available in various grades. MCC is highly</w:t>
      </w:r>
      <w:r>
        <w:rPr>
          <w:spacing w:val="-57"/>
        </w:rPr>
        <w:t> </w:t>
      </w:r>
      <w:r>
        <w:rPr/>
        <w:t>compactable</w:t>
      </w:r>
      <w:r>
        <w:rPr>
          <w:spacing w:val="57"/>
        </w:rPr>
        <w:t> </w:t>
      </w:r>
      <w:r>
        <w:rPr/>
        <w:t>and</w:t>
      </w:r>
      <w:r>
        <w:rPr>
          <w:spacing w:val="56"/>
        </w:rPr>
        <w:t> </w:t>
      </w:r>
      <w:r>
        <w:rPr/>
        <w:t>can</w:t>
      </w:r>
      <w:r>
        <w:rPr>
          <w:spacing w:val="58"/>
        </w:rPr>
        <w:t> </w:t>
      </w:r>
      <w:r>
        <w:rPr/>
        <w:t>also</w:t>
      </w:r>
      <w:r>
        <w:rPr>
          <w:spacing w:val="56"/>
        </w:rPr>
        <w:t> </w:t>
      </w:r>
      <w:r>
        <w:rPr/>
        <w:t>aid</w:t>
      </w:r>
      <w:r>
        <w:rPr>
          <w:spacing w:val="57"/>
        </w:rPr>
        <w:t> </w:t>
      </w:r>
      <w:r>
        <w:rPr/>
        <w:t>disintegration</w:t>
      </w:r>
      <w:r>
        <w:rPr>
          <w:spacing w:val="56"/>
        </w:rPr>
        <w:t> </w:t>
      </w:r>
      <w:r>
        <w:rPr/>
        <w:t>due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its</w:t>
      </w:r>
      <w:r>
        <w:rPr>
          <w:spacing w:val="57"/>
        </w:rPr>
        <w:t> </w:t>
      </w:r>
      <w:r>
        <w:rPr/>
        <w:t>ability</w:t>
      </w:r>
      <w:r>
        <w:rPr>
          <w:spacing w:val="49"/>
        </w:rPr>
        <w:t> </w:t>
      </w:r>
      <w:r>
        <w:rPr/>
        <w:t>to</w:t>
      </w:r>
      <w:r>
        <w:rPr>
          <w:spacing w:val="57"/>
        </w:rPr>
        <w:t> </w:t>
      </w:r>
      <w:r>
        <w:rPr/>
        <w:t>take</w:t>
      </w:r>
      <w:r>
        <w:rPr>
          <w:spacing w:val="54"/>
        </w:rPr>
        <w:t> </w:t>
      </w:r>
      <w:r>
        <w:rPr/>
        <w:t>up</w:t>
      </w:r>
      <w:r>
        <w:rPr>
          <w:spacing w:val="57"/>
        </w:rPr>
        <w:t> </w:t>
      </w:r>
      <w:r>
        <w:rPr/>
        <w:t>water</w:t>
      </w:r>
      <w:r>
        <w:rPr>
          <w:spacing w:val="55"/>
        </w:rPr>
        <w:t> </w:t>
      </w:r>
      <w:r>
        <w:rPr/>
        <w:t>by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2"/>
        <w:jc w:val="both"/>
      </w:pPr>
      <w:r>
        <w:rPr/>
        <w:t>wicking action(Rumman, 2009). The use of a multifunctional excipient reduces the</w:t>
      </w:r>
      <w:r>
        <w:rPr>
          <w:spacing w:val="1"/>
        </w:rPr>
        <w:t> </w:t>
      </w:r>
      <w:r>
        <w:rPr/>
        <w:t>number of excipients incorporated in a formulation</w:t>
      </w:r>
      <w:r>
        <w:rPr>
          <w:spacing w:val="1"/>
        </w:rPr>
        <w:t> </w:t>
      </w:r>
      <w:r>
        <w:rPr/>
        <w:t>to the barest minimum thereby</w:t>
      </w:r>
      <w:r>
        <w:rPr>
          <w:spacing w:val="1"/>
        </w:rPr>
        <w:t> </w:t>
      </w:r>
      <w:r>
        <w:rPr/>
        <w:t>simplifying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final formulation and</w:t>
      </w:r>
      <w:r>
        <w:rPr>
          <w:spacing w:val="-1"/>
        </w:rPr>
        <w:t> </w:t>
      </w:r>
      <w:r>
        <w:rPr/>
        <w:t>the manufacturing</w:t>
      </w:r>
      <w:r>
        <w:rPr>
          <w:spacing w:val="-3"/>
        </w:rPr>
        <w:t> </w:t>
      </w:r>
      <w:r>
        <w:rPr/>
        <w:t>process.</w:t>
      </w:r>
    </w:p>
    <w:p>
      <w:pPr>
        <w:pStyle w:val="BodyText"/>
        <w:spacing w:line="480" w:lineRule="auto" w:before="120"/>
        <w:ind w:left="465" w:right="1257"/>
        <w:jc w:val="both"/>
      </w:pPr>
      <w:r>
        <w:rPr/>
        <w:t>The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Pharmacopoeia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functionality-related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(FRC) for some</w:t>
      </w:r>
      <w:r>
        <w:rPr>
          <w:spacing w:val="1"/>
        </w:rPr>
        <w:t> </w:t>
      </w:r>
      <w:r>
        <w:rPr/>
        <w:t>of the excipient</w:t>
      </w:r>
      <w:r>
        <w:rPr>
          <w:spacing w:val="1"/>
        </w:rPr>
        <w:t> </w:t>
      </w:r>
      <w:r>
        <w:rPr/>
        <w:t>monograph.</w:t>
      </w:r>
      <w:r>
        <w:rPr>
          <w:spacing w:val="1"/>
        </w:rPr>
        <w:t> </w:t>
      </w:r>
      <w:r>
        <w:rPr/>
        <w:t>These tests</w:t>
      </w:r>
      <w:r>
        <w:rPr>
          <w:spacing w:val="1"/>
        </w:rPr>
        <w:t> </w:t>
      </w:r>
      <w:r>
        <w:rPr/>
        <w:t>have been</w:t>
      </w:r>
      <w:r>
        <w:rPr>
          <w:spacing w:val="1"/>
        </w:rPr>
        <w:t> </w:t>
      </w:r>
      <w:r>
        <w:rPr/>
        <w:t>described as non-mandatory but highly recommended because of their importance to the</w:t>
      </w:r>
      <w:r>
        <w:rPr>
          <w:spacing w:val="-57"/>
        </w:rPr>
        <w:t> </w:t>
      </w:r>
      <w:r>
        <w:rPr/>
        <w:t>excipient‟s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many</w:t>
      </w:r>
      <w:r>
        <w:rPr>
          <w:spacing w:val="-3"/>
        </w:rPr>
        <w:t> </w:t>
      </w:r>
      <w:r>
        <w:rPr/>
        <w:t>applications.</w:t>
      </w:r>
    </w:p>
    <w:p>
      <w:pPr>
        <w:pStyle w:val="BodyText"/>
        <w:spacing w:line="480" w:lineRule="auto" w:before="121"/>
        <w:ind w:left="465" w:right="1253"/>
        <w:jc w:val="both"/>
      </w:pPr>
      <w:r>
        <w:rPr/>
        <w:t>Characterization studies on excipients must go beyond the simple tests for identity,</w:t>
      </w:r>
      <w:r>
        <w:rPr>
          <w:spacing w:val="1"/>
        </w:rPr>
        <w:t> </w:t>
      </w:r>
      <w:r>
        <w:rPr/>
        <w:t>purity and safety as recommended in the Pharmacopoeial monographs and extend to</w:t>
      </w:r>
      <w:r>
        <w:rPr>
          <w:spacing w:val="1"/>
        </w:rPr>
        <w:t> </w:t>
      </w:r>
      <w:r>
        <w:rPr/>
        <w:t>testing the technological functionality of the excipient, which is usually employed in the</w:t>
      </w:r>
      <w:r>
        <w:rPr>
          <w:spacing w:val="-57"/>
        </w:rPr>
        <w:t> </w:t>
      </w:r>
      <w:r>
        <w:rPr/>
        <w:t>solid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physico-</w:t>
      </w:r>
      <w:r>
        <w:rPr>
          <w:spacing w:val="1"/>
        </w:rPr>
        <w:t> </w:t>
      </w:r>
      <w:r>
        <w:rPr/>
        <w:t>mechanical and biopharmaceutical properties. The characterization of the solid state and</w:t>
      </w:r>
      <w:r>
        <w:rPr>
          <w:spacing w:val="-57"/>
        </w:rPr>
        <w:t> </w:t>
      </w:r>
      <w:r>
        <w:rPr/>
        <w:t>surface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guarantee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phases.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techniques such as infra-red spectroscopy and nuclear magnetic resonance (NMR) can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to determine</w:t>
      </w:r>
      <w:r>
        <w:rPr>
          <w:spacing w:val="-1"/>
        </w:rPr>
        <w:t> </w:t>
      </w:r>
      <w:r>
        <w:rPr/>
        <w:t>molecular</w:t>
      </w:r>
      <w:r>
        <w:rPr>
          <w:spacing w:val="-2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and possible chemical interactions.</w:t>
      </w:r>
    </w:p>
    <w:p>
      <w:pPr>
        <w:pStyle w:val="BodyText"/>
        <w:spacing w:line="480" w:lineRule="auto" w:before="121"/>
        <w:ind w:left="465" w:right="1255"/>
        <w:jc w:val="both"/>
      </w:pPr>
      <w:r>
        <w:rPr/>
        <w:t>Thermo gravimetric analysis (TGA) and differential scanning calorimetry (DSC) are</w:t>
      </w:r>
      <w:r>
        <w:rPr>
          <w:spacing w:val="1"/>
        </w:rPr>
        <w:t> </w:t>
      </w:r>
      <w:r>
        <w:rPr/>
        <w:t>often employed to clarify the stability, compatibility, degree of crystallinity and phase</w:t>
      </w:r>
      <w:r>
        <w:rPr>
          <w:spacing w:val="1"/>
        </w:rPr>
        <w:t> </w:t>
      </w:r>
      <w:r>
        <w:rPr/>
        <w:t>transitions occurring in the excipient. The structure of the single crystal or the powder</w:t>
      </w:r>
      <w:r>
        <w:rPr>
          <w:spacing w:val="1"/>
        </w:rPr>
        <w:t> </w:t>
      </w:r>
      <w:r>
        <w:rPr/>
        <w:t>can be</w:t>
      </w:r>
      <w:r>
        <w:rPr>
          <w:spacing w:val="1"/>
        </w:rPr>
        <w:t> </w:t>
      </w:r>
      <w:r>
        <w:rPr/>
        <w:t>examined with absolute</w:t>
      </w:r>
      <w:r>
        <w:rPr>
          <w:spacing w:val="-1"/>
        </w:rPr>
        <w:t> </w:t>
      </w:r>
      <w:r>
        <w:rPr/>
        <w:t>certainty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powder x-ray</w:t>
      </w:r>
      <w:r>
        <w:rPr>
          <w:spacing w:val="-5"/>
        </w:rPr>
        <w:t> </w:t>
      </w:r>
      <w:r>
        <w:rPr/>
        <w:t>diffraction (PXRD).</w:t>
      </w:r>
    </w:p>
    <w:p>
      <w:pPr>
        <w:pStyle w:val="BodyText"/>
        <w:spacing w:line="480" w:lineRule="auto" w:before="118"/>
        <w:ind w:left="465" w:right="1257"/>
        <w:jc w:val="both"/>
      </w:pPr>
      <w:r>
        <w:rPr/>
        <w:t>A thorough understanding of the specific properties of a material gives us insight as to</w:t>
      </w:r>
      <w:r>
        <w:rPr>
          <w:spacing w:val="1"/>
        </w:rPr>
        <w:t> </w:t>
      </w:r>
      <w:r>
        <w:rPr/>
        <w:t>which of them will be crucial to the stability, bioavailability and easy manufacturability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formulation</w:t>
      </w:r>
      <w:r>
        <w:rPr>
          <w:spacing w:val="1"/>
        </w:rPr>
        <w:t> </w:t>
      </w:r>
      <w:r>
        <w:rPr/>
        <w:t>(Zhou</w:t>
      </w:r>
      <w:r>
        <w:rPr>
          <w:spacing w:val="2"/>
        </w:rPr>
        <w:t> </w:t>
      </w:r>
      <w:r>
        <w:rPr/>
        <w:t>and Qiu, 2010).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numPr>
          <w:ilvl w:val="2"/>
          <w:numId w:val="8"/>
        </w:numPr>
        <w:tabs>
          <w:tab w:pos="1185" w:val="left" w:leader="none"/>
          <w:tab w:pos="1186" w:val="left" w:leader="none"/>
        </w:tabs>
        <w:spacing w:line="240" w:lineRule="auto" w:before="76" w:after="0"/>
        <w:ind w:left="1185" w:right="0" w:hanging="721"/>
        <w:jc w:val="left"/>
      </w:pPr>
      <w:bookmarkStart w:name="_TOC_250089" w:id="17"/>
      <w:r>
        <w:rPr/>
        <w:t>Powder</w:t>
      </w:r>
      <w:r>
        <w:rPr>
          <w:spacing w:val="-3"/>
        </w:rPr>
        <w:t> </w:t>
      </w:r>
      <w:r>
        <w:rPr/>
        <w:t>compaction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particle</w:t>
      </w:r>
      <w:r>
        <w:rPr>
          <w:spacing w:val="-2"/>
        </w:rPr>
        <w:t> </w:t>
      </w:r>
      <w:r>
        <w:rPr/>
        <w:t>bonding</w:t>
      </w:r>
      <w:r>
        <w:rPr>
          <w:spacing w:val="-4"/>
        </w:rPr>
        <w:t> </w:t>
      </w:r>
      <w:bookmarkEnd w:id="17"/>
      <w:r>
        <w:rPr/>
        <w:t>process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5"/>
        <w:jc w:val="both"/>
      </w:pPr>
      <w:r>
        <w:rPr/>
        <w:t>Excipients for direct compression are required to form solid compacts when mixed with</w:t>
      </w:r>
      <w:r>
        <w:rPr>
          <w:spacing w:val="1"/>
        </w:rPr>
        <w:t> </w:t>
      </w:r>
      <w:r>
        <w:rPr/>
        <w:t>poorly</w:t>
      </w:r>
      <w:r>
        <w:rPr>
          <w:spacing w:val="1"/>
        </w:rPr>
        <w:t> </w:t>
      </w:r>
      <w:r>
        <w:rPr/>
        <w:t>compressible</w:t>
      </w:r>
      <w:r>
        <w:rPr>
          <w:spacing w:val="1"/>
        </w:rPr>
        <w:t> </w:t>
      </w:r>
      <w:r>
        <w:rPr/>
        <w:t>drugs.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excipients</w:t>
      </w:r>
      <w:r>
        <w:rPr>
          <w:spacing w:val="-57"/>
        </w:rPr>
        <w:t> </w:t>
      </w:r>
      <w:r>
        <w:rPr/>
        <w:t>determine success of the powder compaction and the deformation behaviour of material</w:t>
      </w:r>
      <w:r>
        <w:rPr>
          <w:spacing w:val="1"/>
        </w:rPr>
        <w:t> </w:t>
      </w:r>
      <w:r>
        <w:rPr/>
        <w:t>is a property</w:t>
      </w:r>
      <w:r>
        <w:rPr>
          <w:spacing w:val="-5"/>
        </w:rPr>
        <w:t> </w:t>
      </w:r>
      <w:r>
        <w:rPr/>
        <w:t>that mainly</w:t>
      </w:r>
      <w:r>
        <w:rPr>
          <w:spacing w:val="-2"/>
        </w:rPr>
        <w:t> </w:t>
      </w:r>
      <w:r>
        <w:rPr/>
        <w:t>affects the</w:t>
      </w:r>
      <w:r>
        <w:rPr>
          <w:spacing w:val="-1"/>
        </w:rPr>
        <w:t> </w:t>
      </w:r>
      <w:r>
        <w:rPr/>
        <w:t>tableting</w:t>
      </w:r>
      <w:r>
        <w:rPr>
          <w:spacing w:val="-3"/>
        </w:rPr>
        <w:t> </w:t>
      </w:r>
      <w:r>
        <w:rPr/>
        <w:t>ofpowders</w:t>
      </w:r>
      <w:r>
        <w:rPr>
          <w:spacing w:val="1"/>
        </w:rPr>
        <w:t> </w:t>
      </w:r>
      <w:r>
        <w:rPr/>
        <w:t>(Roberts and Rowe, 1986).</w:t>
      </w:r>
    </w:p>
    <w:p>
      <w:pPr>
        <w:pStyle w:val="BodyText"/>
        <w:spacing w:line="480" w:lineRule="auto" w:before="120"/>
        <w:ind w:left="465" w:right="1255"/>
        <w:jc w:val="both"/>
      </w:pPr>
      <w:r>
        <w:rPr/>
        <w:t>The compaction process</w:t>
      </w:r>
      <w:r>
        <w:rPr>
          <w:spacing w:val="1"/>
        </w:rPr>
        <w:t> </w:t>
      </w:r>
      <w:r>
        <w:rPr/>
        <w:t>is a series of several</w:t>
      </w:r>
      <w:r>
        <w:rPr>
          <w:spacing w:val="1"/>
        </w:rPr>
        <w:t> </w:t>
      </w:r>
      <w:r>
        <w:rPr/>
        <w:t>events: particle movement into void</w:t>
      </w:r>
      <w:r>
        <w:rPr>
          <w:spacing w:val="1"/>
        </w:rPr>
        <w:t> </w:t>
      </w:r>
      <w:r>
        <w:rPr/>
        <w:t>spaces, partial fracture, elastic deformation, plastic deformation and cohesion between</w:t>
      </w:r>
      <w:r>
        <w:rPr>
          <w:spacing w:val="1"/>
        </w:rPr>
        <w:t> </w:t>
      </w:r>
      <w:r>
        <w:rPr/>
        <w:t>particle surfaces. These events occur simultaneously, but not necessarily to the same</w:t>
      </w:r>
      <w:r>
        <w:rPr>
          <w:spacing w:val="1"/>
        </w:rPr>
        <w:t> </w:t>
      </w:r>
      <w:r>
        <w:rPr/>
        <w:t>degree at any</w:t>
      </w:r>
      <w:r>
        <w:rPr>
          <w:spacing w:val="-6"/>
        </w:rPr>
        <w:t> </w:t>
      </w:r>
      <w:r>
        <w:rPr/>
        <w:t>stage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compression process</w:t>
      </w:r>
      <w:r>
        <w:rPr>
          <w:spacing w:val="2"/>
        </w:rPr>
        <w:t> </w:t>
      </w:r>
      <w:r>
        <w:rPr/>
        <w:t>(Patel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2006; Zhou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Qiu, 2010)</w:t>
      </w:r>
      <w:r>
        <w:rPr>
          <w:color w:val="FF0000"/>
        </w:rPr>
        <w:t>.</w:t>
      </w:r>
    </w:p>
    <w:p>
      <w:pPr>
        <w:pStyle w:val="BodyText"/>
        <w:spacing w:line="480" w:lineRule="auto" w:before="121"/>
        <w:ind w:left="465" w:right="1257"/>
        <w:jc w:val="both"/>
      </w:pPr>
      <w:r>
        <w:rPr/>
        <w:t>During consolidation of a powder bed, a reduction in porosity occurs. This reduction in</w:t>
      </w:r>
      <w:r>
        <w:rPr>
          <w:spacing w:val="1"/>
        </w:rPr>
        <w:t> </w:t>
      </w:r>
      <w:r>
        <w:rPr/>
        <w:t>compact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brings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proximity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distance between the particles facilitates creation of bonds and makes the particles</w:t>
      </w:r>
      <w:r>
        <w:rPr>
          <w:spacing w:val="1"/>
        </w:rPr>
        <w:t> </w:t>
      </w:r>
      <w:r>
        <w:rPr/>
        <w:t>adhere</w:t>
      </w:r>
      <w:r>
        <w:rPr>
          <w:spacing w:val="-3"/>
        </w:rPr>
        <w:t> </w:t>
      </w:r>
      <w:r>
        <w:rPr/>
        <w:t>together</w:t>
      </w:r>
      <w:r>
        <w:rPr>
          <w:spacing w:val="-2"/>
        </w:rPr>
        <w:t> </w:t>
      </w:r>
      <w:r>
        <w:rPr/>
        <w:t>to form a coherent</w:t>
      </w:r>
      <w:r>
        <w:rPr>
          <w:spacing w:val="2"/>
        </w:rPr>
        <w:t> </w:t>
      </w:r>
      <w:r>
        <w:rPr/>
        <w:t>compact.</w:t>
      </w:r>
    </w:p>
    <w:p>
      <w:pPr>
        <w:pStyle w:val="BodyText"/>
        <w:spacing w:line="480" w:lineRule="auto" w:before="121"/>
        <w:ind w:left="465" w:right="1258"/>
        <w:jc w:val="both"/>
      </w:pPr>
      <w:r>
        <w:rPr/>
        <w:t>Two different types of interactions are normally considered in direct compression of</w:t>
      </w:r>
      <w:r>
        <w:rPr>
          <w:spacing w:val="1"/>
        </w:rPr>
        <w:t> </w:t>
      </w:r>
      <w:r>
        <w:rPr/>
        <w:t>pharmaceutical materials; intermolecular interactions and mechanical interlocking. Van</w:t>
      </w:r>
      <w:r>
        <w:rPr>
          <w:spacing w:val="1"/>
        </w:rPr>
        <w:t> </w:t>
      </w:r>
      <w:r>
        <w:rPr/>
        <w:t>der Waal forces are probably the most important intermolecular forces responsible for</w:t>
      </w:r>
      <w:r>
        <w:rPr>
          <w:spacing w:val="1"/>
        </w:rPr>
        <w:t> </w:t>
      </w:r>
      <w:r>
        <w:rPr/>
        <w:t>bond formation in tablets.</w:t>
      </w:r>
      <w:r>
        <w:rPr>
          <w:spacing w:val="1"/>
        </w:rPr>
        <w:t> </w:t>
      </w:r>
      <w:r>
        <w:rPr/>
        <w:t>Hydrogen bonding is another example of intermolecular</w:t>
      </w:r>
      <w:r>
        <w:rPr>
          <w:spacing w:val="1"/>
        </w:rPr>
        <w:t> </w:t>
      </w:r>
      <w:r>
        <w:rPr/>
        <w:t>forces</w:t>
      </w:r>
      <w:r>
        <w:rPr>
          <w:spacing w:val="59"/>
        </w:rPr>
        <w:t> </w:t>
      </w:r>
      <w:r>
        <w:rPr/>
        <w:t>that</w:t>
      </w:r>
      <w:r>
        <w:rPr>
          <w:spacing w:val="58"/>
        </w:rPr>
        <w:t> </w:t>
      </w:r>
      <w:r>
        <w:rPr/>
        <w:t>act</w:t>
      </w:r>
      <w:r>
        <w:rPr>
          <w:spacing w:val="59"/>
        </w:rPr>
        <w:t> </w:t>
      </w:r>
      <w:r>
        <w:rPr/>
        <w:t>over</w:t>
      </w:r>
      <w:r>
        <w:rPr>
          <w:spacing w:val="58"/>
        </w:rPr>
        <w:t> </w:t>
      </w:r>
      <w:r>
        <w:rPr/>
        <w:t>a</w:t>
      </w:r>
      <w:r>
        <w:rPr>
          <w:spacing w:val="58"/>
        </w:rPr>
        <w:t> </w:t>
      </w:r>
      <w:r>
        <w:rPr/>
        <w:t>short</w:t>
      </w:r>
      <w:r>
        <w:rPr>
          <w:spacing w:val="59"/>
        </w:rPr>
        <w:t> </w:t>
      </w:r>
      <w:r>
        <w:rPr/>
        <w:t>distance</w:t>
      </w:r>
      <w:r>
        <w:rPr>
          <w:spacing w:val="57"/>
        </w:rPr>
        <w:t> </w:t>
      </w:r>
      <w:r>
        <w:rPr/>
        <w:t>between</w:t>
      </w:r>
      <w:r>
        <w:rPr>
          <w:spacing w:val="58"/>
        </w:rPr>
        <w:t> </w:t>
      </w:r>
      <w:r>
        <w:rPr/>
        <w:t>particles.</w:t>
      </w:r>
      <w:r>
        <w:rPr>
          <w:spacing w:val="60"/>
        </w:rPr>
        <w:t> </w:t>
      </w:r>
      <w:r>
        <w:rPr/>
        <w:t>The</w:t>
      </w:r>
      <w:r>
        <w:rPr>
          <w:spacing w:val="57"/>
        </w:rPr>
        <w:t> </w:t>
      </w:r>
      <w:r>
        <w:rPr/>
        <w:t>nature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57"/>
        </w:rPr>
        <w:t> </w:t>
      </w:r>
      <w:r>
        <w:rPr/>
        <w:t>forces</w:t>
      </w:r>
      <w:r>
        <w:rPr>
          <w:spacing w:val="-58"/>
        </w:rPr>
        <w:t> </w:t>
      </w:r>
      <w:r>
        <w:rPr/>
        <w:t>depends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chemical</w:t>
      </w:r>
      <w:r>
        <w:rPr>
          <w:spacing w:val="2"/>
        </w:rPr>
        <w:t> </w:t>
      </w:r>
      <w:r>
        <w:rPr/>
        <w:t>composition of the</w:t>
      </w:r>
      <w:r>
        <w:rPr>
          <w:spacing w:val="-1"/>
        </w:rPr>
        <w:t> </w:t>
      </w:r>
      <w:r>
        <w:rPr/>
        <w:t>material(Patel 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line="480" w:lineRule="auto" w:before="118"/>
        <w:ind w:left="465" w:right="1254"/>
        <w:jc w:val="both"/>
      </w:pPr>
      <w:r>
        <w:rPr/>
        <w:t>Bonding by hooking or twisting of particles depends on the surface texture and shape of</w:t>
      </w:r>
      <w:r>
        <w:rPr>
          <w:spacing w:val="-57"/>
        </w:rPr>
        <w:t> </w:t>
      </w:r>
      <w:r>
        <w:rPr/>
        <w:t>the particles. The dominant bond type depends on various factors, including the degree</w:t>
      </w:r>
      <w:r>
        <w:rPr>
          <w:spacing w:val="1"/>
        </w:rPr>
        <w:t> </w:t>
      </w:r>
      <w:r>
        <w:rPr/>
        <w:t>of compression</w:t>
      </w:r>
      <w:r>
        <w:rPr>
          <w:spacing w:val="1"/>
        </w:rPr>
        <w:t> </w:t>
      </w:r>
      <w:r>
        <w:rPr/>
        <w:t>and the inherent properties of the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In the high porosity</w:t>
      </w:r>
      <w:r>
        <w:rPr>
          <w:spacing w:val="1"/>
        </w:rPr>
        <w:t> </w:t>
      </w:r>
      <w:r>
        <w:rPr/>
        <w:t>range,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attraction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intermolecular</w:t>
      </w:r>
      <w:r>
        <w:rPr>
          <w:spacing w:val="1"/>
        </w:rPr>
        <w:t> </w:t>
      </w:r>
      <w:r>
        <w:rPr/>
        <w:t>forces;</w:t>
      </w:r>
      <w:r>
        <w:rPr>
          <w:spacing w:val="28"/>
        </w:rPr>
        <w:t> </w:t>
      </w:r>
      <w:r>
        <w:rPr/>
        <w:t>whereas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low</w:t>
      </w:r>
      <w:r>
        <w:rPr>
          <w:spacing w:val="27"/>
        </w:rPr>
        <w:t> </w:t>
      </w:r>
      <w:r>
        <w:rPr/>
        <w:t>porosity</w:t>
      </w:r>
      <w:r>
        <w:rPr>
          <w:spacing w:val="23"/>
        </w:rPr>
        <w:t> </w:t>
      </w:r>
      <w:r>
        <w:rPr/>
        <w:t>range,</w:t>
      </w:r>
      <w:r>
        <w:rPr>
          <w:spacing w:val="27"/>
        </w:rPr>
        <w:t> </w:t>
      </w:r>
      <w:r>
        <w:rPr/>
        <w:t>solid</w:t>
      </w:r>
      <w:r>
        <w:rPr>
          <w:spacing w:val="28"/>
        </w:rPr>
        <w:t> </w:t>
      </w:r>
      <w:r>
        <w:rPr/>
        <w:t>bridges</w:t>
      </w:r>
      <w:r>
        <w:rPr>
          <w:spacing w:val="27"/>
        </w:rPr>
        <w:t> </w:t>
      </w:r>
      <w:r>
        <w:rPr/>
        <w:t>play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major</w:t>
      </w:r>
      <w:r>
        <w:rPr>
          <w:spacing w:val="27"/>
        </w:rPr>
        <w:t> </w:t>
      </w:r>
      <w:r>
        <w:rPr/>
        <w:t>role</w:t>
      </w:r>
      <w:r>
        <w:rPr>
          <w:spacing w:val="27"/>
        </w:rPr>
        <w:t> </w:t>
      </w:r>
      <w:r>
        <w:rPr/>
        <w:t>(Adolfsson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6"/>
        <w:jc w:val="both"/>
      </w:pPr>
      <w:r>
        <w:rPr/>
        <w:t>and Nystrom, 1996). Usually, solid bridges connect particles by spanning, sintering,</w:t>
      </w:r>
      <w:r>
        <w:rPr>
          <w:spacing w:val="1"/>
        </w:rPr>
        <w:t> </w:t>
      </w:r>
      <w:r>
        <w:rPr/>
        <w:t>melting</w:t>
      </w:r>
      <w:r>
        <w:rPr>
          <w:spacing w:val="-4"/>
        </w:rPr>
        <w:t> </w:t>
      </w:r>
      <w:r>
        <w:rPr/>
        <w:t>and crystallization (Klevan, 2011).</w:t>
      </w:r>
    </w:p>
    <w:p>
      <w:pPr>
        <w:pStyle w:val="ListParagraph"/>
        <w:numPr>
          <w:ilvl w:val="3"/>
          <w:numId w:val="8"/>
        </w:numPr>
        <w:tabs>
          <w:tab w:pos="1186" w:val="left" w:leader="none"/>
        </w:tabs>
        <w:spacing w:line="240" w:lineRule="auto" w:before="120" w:after="0"/>
        <w:ind w:left="1185" w:right="0" w:hanging="721"/>
        <w:jc w:val="left"/>
        <w:rPr>
          <w:i/>
          <w:sz w:val="24"/>
        </w:rPr>
      </w:pPr>
      <w:r>
        <w:rPr>
          <w:i/>
          <w:sz w:val="24"/>
        </w:rPr>
        <w:t>Compaction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models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465" w:right="1255"/>
        <w:jc w:val="both"/>
      </w:pPr>
      <w:r>
        <w:rPr/>
        <w:t>The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compressibility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studying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 between compact porosity and compression pressure. If high pressures are</w:t>
      </w:r>
      <w:r>
        <w:rPr>
          <w:spacing w:val="1"/>
        </w:rPr>
        <w:t> </w:t>
      </w:r>
      <w:r>
        <w:rPr/>
        <w:t>applied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powder</w:t>
      </w:r>
      <w:r>
        <w:rPr>
          <w:spacing w:val="44"/>
        </w:rPr>
        <w:t> </w:t>
      </w:r>
      <w:r>
        <w:rPr/>
        <w:t>bed,</w:t>
      </w:r>
      <w:r>
        <w:rPr>
          <w:spacing w:val="44"/>
        </w:rPr>
        <w:t> </w:t>
      </w:r>
      <w:r>
        <w:rPr/>
        <w:t>low</w:t>
      </w:r>
      <w:r>
        <w:rPr>
          <w:spacing w:val="44"/>
        </w:rPr>
        <w:t> </w:t>
      </w:r>
      <w:r>
        <w:rPr/>
        <w:t>porosities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resulting</w:t>
      </w:r>
      <w:r>
        <w:rPr>
          <w:spacing w:val="43"/>
        </w:rPr>
        <w:t> </w:t>
      </w:r>
      <w:r>
        <w:rPr/>
        <w:t>compacts</w:t>
      </w:r>
      <w:r>
        <w:rPr>
          <w:spacing w:val="45"/>
        </w:rPr>
        <w:t> </w:t>
      </w:r>
      <w:r>
        <w:rPr/>
        <w:t>can</w:t>
      </w:r>
      <w:r>
        <w:rPr>
          <w:spacing w:val="46"/>
        </w:rPr>
        <w:t> </w:t>
      </w:r>
      <w:r>
        <w:rPr/>
        <w:t>be</w:t>
      </w:r>
      <w:r>
        <w:rPr>
          <w:spacing w:val="44"/>
        </w:rPr>
        <w:t> </w:t>
      </w:r>
      <w:r>
        <w:rPr/>
        <w:t>achieved.</w:t>
      </w:r>
      <w:r>
        <w:rPr>
          <w:spacing w:val="-58"/>
        </w:rPr>
        <w:t> </w:t>
      </w:r>
      <w:r>
        <w:rPr/>
        <w:t>When the porosity of the tablet is close to zero, the structure of the tablet should be</w:t>
      </w:r>
      <w:r>
        <w:rPr>
          <w:spacing w:val="1"/>
        </w:rPr>
        <w:t> </w:t>
      </w:r>
      <w:r>
        <w:rPr/>
        <w:t>different from the structure at normal porosities (5-25 %) (Adolfsson and Nystrom,</w:t>
      </w:r>
      <w:r>
        <w:rPr>
          <w:spacing w:val="1"/>
        </w:rPr>
        <w:t> </w:t>
      </w:r>
      <w:r>
        <w:rPr/>
        <w:t>1996).The final porosity reduction may eventually represent a transformation to a new</w:t>
      </w:r>
      <w:r>
        <w:rPr>
          <w:spacing w:val="1"/>
        </w:rPr>
        <w:t> </w:t>
      </w:r>
      <w:r>
        <w:rPr/>
        <w:t>physical structure, where the solid constitutes the continuous phase. Thus, the bonding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compact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altered.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</w:t>
      </w:r>
      <w:r>
        <w:rPr>
          <w:spacing w:val="-57"/>
        </w:rPr>
        <w:t> </w:t>
      </w:r>
      <w:r>
        <w:rPr/>
        <w:t>reduction ability of a powder makes it possible to predict the compaction behaviour of a</w:t>
      </w:r>
      <w:r>
        <w:rPr>
          <w:spacing w:val="-57"/>
        </w:rPr>
        <w:t> </w:t>
      </w:r>
      <w:r>
        <w:rPr/>
        <w:t>pharmaceutical</w:t>
      </w:r>
      <w:r>
        <w:rPr>
          <w:spacing w:val="-1"/>
        </w:rPr>
        <w:t> </w:t>
      </w:r>
      <w:r>
        <w:rPr/>
        <w:t>material</w:t>
      </w:r>
      <w:r>
        <w:rPr>
          <w:spacing w:val="2"/>
        </w:rPr>
        <w:t> </w:t>
      </w:r>
      <w:r>
        <w:rPr/>
        <w:t>(Zhou and</w:t>
      </w:r>
      <w:r>
        <w:rPr>
          <w:spacing w:val="2"/>
        </w:rPr>
        <w:t> </w:t>
      </w:r>
      <w:r>
        <w:rPr/>
        <w:t>Qiu, 2010).</w:t>
      </w:r>
    </w:p>
    <w:p>
      <w:pPr>
        <w:pStyle w:val="BodyText"/>
        <w:spacing w:line="480" w:lineRule="auto" w:before="122"/>
        <w:ind w:left="465" w:right="1253"/>
        <w:jc w:val="both"/>
      </w:pPr>
      <w:r>
        <w:rPr/>
        <w:t>A compaction equation shows the relationship between the state of consolidation of a</w:t>
      </w:r>
      <w:r>
        <w:rPr>
          <w:spacing w:val="1"/>
        </w:rPr>
        <w:t> </w:t>
      </w:r>
      <w:r>
        <w:rPr/>
        <w:t>powder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porosity,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(or relative</w:t>
      </w:r>
      <w:r>
        <w:rPr>
          <w:spacing w:val="1"/>
        </w:rPr>
        <w:t> </w:t>
      </w:r>
      <w:r>
        <w:rPr/>
        <w:t>volume), density,</w:t>
      </w:r>
      <w:r>
        <w:rPr>
          <w:spacing w:val="1"/>
        </w:rPr>
        <w:t> </w:t>
      </w:r>
      <w:r>
        <w:rPr/>
        <w:t>or void</w:t>
      </w:r>
      <w:r>
        <w:rPr>
          <w:spacing w:val="1"/>
        </w:rPr>
        <w:t> </w:t>
      </w:r>
      <w:r>
        <w:rPr/>
        <w:t>ratio,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64"/>
        </w:rPr>
        <w:t> </w:t>
      </w:r>
      <w:r>
        <w:rPr/>
        <w:t>compression</w:t>
      </w:r>
      <w:r>
        <w:rPr>
          <w:spacing w:val="62"/>
        </w:rPr>
        <w:t> </w:t>
      </w:r>
      <w:r>
        <w:rPr/>
        <w:t>pressure.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most</w:t>
      </w:r>
      <w:r>
        <w:rPr>
          <w:spacing w:val="62"/>
        </w:rPr>
        <w:t> </w:t>
      </w:r>
      <w:r>
        <w:rPr/>
        <w:t>widely</w:t>
      </w:r>
      <w:r>
        <w:rPr>
          <w:spacing w:val="57"/>
        </w:rPr>
        <w:t> </w:t>
      </w:r>
      <w:r>
        <w:rPr/>
        <w:t>used</w:t>
      </w:r>
      <w:r>
        <w:rPr>
          <w:spacing w:val="62"/>
        </w:rPr>
        <w:t> </w:t>
      </w:r>
      <w:r>
        <w:rPr/>
        <w:t>equation</w:t>
      </w:r>
      <w:r>
        <w:rPr>
          <w:spacing w:val="61"/>
        </w:rPr>
        <w:t> </w:t>
      </w:r>
      <w:r>
        <w:rPr/>
        <w:t>relating</w:t>
      </w:r>
      <w:r>
        <w:rPr>
          <w:spacing w:val="59"/>
        </w:rPr>
        <w:t> </w:t>
      </w:r>
      <w:r>
        <w:rPr/>
        <w:t>the</w:t>
      </w:r>
    </w:p>
    <w:p>
      <w:pPr>
        <w:pStyle w:val="BodyText"/>
        <w:spacing w:line="330" w:lineRule="exact"/>
        <w:ind w:left="465"/>
        <w:jc w:val="both"/>
      </w:pPr>
      <w:r>
        <w:rPr/>
        <w:t>porosity</w:t>
      </w:r>
      <w:r>
        <w:rPr>
          <w:spacing w:val="28"/>
        </w:rPr>
        <w:t> </w:t>
      </w:r>
      <w:r>
        <w:rPr/>
        <w:t>(</w:t>
      </w:r>
      <w:r>
        <w:rPr>
          <w:rFonts w:ascii="Lucida Sans Unicode" w:hAnsi="Lucida Sans Unicode"/>
        </w:rPr>
        <w:t>Ɛ</w:t>
      </w:r>
      <w:r>
        <w:rPr>
          <w:rFonts w:ascii="Lucida Sans Unicode" w:hAnsi="Lucida Sans Unicode"/>
          <w:spacing w:val="-15"/>
        </w:rPr>
        <w:t> </w:t>
      </w:r>
      <w:r>
        <w:rPr/>
        <w:t>)</w:t>
      </w:r>
      <w:r>
        <w:rPr>
          <w:spacing w:val="35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powder</w:t>
      </w:r>
      <w:r>
        <w:rPr>
          <w:spacing w:val="33"/>
        </w:rPr>
        <w:t> </w:t>
      </w:r>
      <w:r>
        <w:rPr/>
        <w:t>bed</w:t>
      </w:r>
      <w:r>
        <w:rPr>
          <w:spacing w:val="36"/>
        </w:rPr>
        <w:t> </w:t>
      </w:r>
      <w:r>
        <w:rPr/>
        <w:t>during</w:t>
      </w:r>
      <w:r>
        <w:rPr>
          <w:spacing w:val="31"/>
        </w:rPr>
        <w:t> </w:t>
      </w:r>
      <w:r>
        <w:rPr/>
        <w:t>compaction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applied</w:t>
      </w:r>
      <w:r>
        <w:rPr>
          <w:spacing w:val="33"/>
        </w:rPr>
        <w:t> </w:t>
      </w:r>
      <w:r>
        <w:rPr/>
        <w:t>pressure</w:t>
      </w:r>
      <w:r>
        <w:rPr>
          <w:spacing w:val="32"/>
        </w:rPr>
        <w:t> </w:t>
      </w:r>
      <w:r>
        <w:rPr/>
        <w:t>(</w:t>
      </w:r>
      <w:r>
        <w:rPr>
          <w:i/>
        </w:rPr>
        <w:t>P</w:t>
      </w:r>
      <w:r>
        <w:rPr/>
        <w:t>)</w:t>
      </w:r>
      <w:r>
        <w:rPr>
          <w:spacing w:val="33"/>
        </w:rPr>
        <w:t> </w:t>
      </w:r>
      <w:r>
        <w:rPr/>
        <w:t>is</w:t>
      </w:r>
      <w:r>
        <w:rPr>
          <w:spacing w:val="35"/>
        </w:rPr>
        <w:t> </w:t>
      </w:r>
      <w:r>
        <w:rPr/>
        <w:t>the</w:t>
      </w:r>
    </w:p>
    <w:p>
      <w:pPr>
        <w:pStyle w:val="BodyText"/>
        <w:spacing w:line="477" w:lineRule="auto" w:before="222"/>
        <w:ind w:left="465" w:right="1260"/>
        <w:jc w:val="both"/>
      </w:pPr>
      <w:r>
        <w:rPr/>
        <w:pict>
          <v:shape style="position:absolute;margin-left:245.570007pt;margin-top:74.173119pt;width:4.8pt;height:8.2pt;mso-position-horizontal-relative:page;mso-position-vertical-relative:paragraph;z-index:-20899328" coordorigin="4911,1483" coordsize="96,164" path="m4974,1483l4969,1483,4911,1517,4916,1527,4923,1522,4931,1519,4935,1515,4940,1512,4950,1512,4950,1515,4952,1515,4952,1625,4950,1627,4950,1630,4945,1635,4938,1635,4933,1637,4919,1637,4919,1647,5007,1647,5007,1637,4988,1637,4986,1635,4981,1635,4976,1630,4976,1627,4974,1625,4974,1615,4974,1483xe" filled="true" fillcolor="#000000" stroked="false">
            <v:path arrowok="t"/>
            <v:fill type="solid"/>
            <w10:wrap type="none"/>
          </v:shape>
        </w:pict>
      </w:r>
      <w:r>
        <w:rPr/>
        <w:t>Heckel equation. This equation is based on the assumption that densification of the</w:t>
      </w:r>
      <w:r>
        <w:rPr>
          <w:spacing w:val="1"/>
        </w:rPr>
        <w:t> </w:t>
      </w:r>
      <w:r>
        <w:rPr/>
        <w:t>powder</w:t>
      </w:r>
      <w:r>
        <w:rPr>
          <w:spacing w:val="-1"/>
        </w:rPr>
        <w:t> </w:t>
      </w:r>
      <w:r>
        <w:rPr/>
        <w:t>under pressure</w:t>
      </w:r>
      <w:r>
        <w:rPr>
          <w:spacing w:val="-2"/>
        </w:rPr>
        <w:t> </w:t>
      </w:r>
      <w:r>
        <w:rPr/>
        <w:t>follows first-order</w:t>
      </w:r>
      <w:r>
        <w:rPr>
          <w:spacing w:val="-1"/>
        </w:rPr>
        <w:t> </w:t>
      </w:r>
      <w:r>
        <w:rPr/>
        <w:t>kinetics.</w:t>
      </w:r>
      <w:r>
        <w:rPr>
          <w:spacing w:val="4"/>
        </w:rPr>
        <w:t> </w:t>
      </w:r>
      <w:r>
        <w:rPr/>
        <w:t>It is</w:t>
      </w:r>
      <w:r>
        <w:rPr>
          <w:spacing w:val="1"/>
        </w:rPr>
        <w:t> </w:t>
      </w:r>
      <w:r>
        <w:rPr/>
        <w:t>given as: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2687447</wp:posOffset>
            </wp:positionH>
            <wp:positionV relativeFrom="paragraph">
              <wp:posOffset>216524</wp:posOffset>
            </wp:positionV>
            <wp:extent cx="118081" cy="107346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8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6.729996pt;margin-top:10.209211pt;width:42.25pt;height:23.65pt;mso-position-horizontal-relative:page;mso-position-vertical-relative:paragraph;z-index:-15721472;mso-wrap-distance-left:0;mso-wrap-distance-right:0" coordorigin="4535,204" coordsize="845,473">
            <v:shape style="position:absolute;left:4534;top:204;width:216;height:473" coordorigin="4535,204" coordsize="216,473" path="m4623,211l4619,204,4601,219,4586,238,4572,262,4559,291,4548,323,4540,359,4536,399,4535,442,4536,485,4540,523,4548,559,4559,591,4572,619,4586,643,4601,662,4619,677,4623,670,4609,654,4597,634,4585,610,4575,583,4567,553,4561,519,4558,482,4556,442,4558,400,4561,363,4567,328,4575,298,4585,271,4597,247,4609,228,4623,211xm4751,660l4731,660,4729,658,4724,658,4719,653,4719,651,4717,648,4717,639,4717,507,4712,507,4655,540,4659,550,4667,545,4674,543,4679,538,4683,535,4693,535,4693,538,4695,538,4695,648,4693,651,4693,653,4688,658,4681,658,4676,660,4662,660,4662,670,4751,670,4751,660xe" filled="true" fillcolor="#000000" stroked="false">
              <v:path arrowok="t"/>
              <v:fill type="solid"/>
            </v:shape>
            <v:shape style="position:absolute;left:5113;top:508;width:144;height:161" type="#_x0000_t75" stroked="false">
              <v:imagedata r:id="rId8" o:title=""/>
            </v:shape>
            <v:shape style="position:absolute;left:4635;top:204;width:744;height:473" coordorigin="4635,204" coordsize="744,473" path="m5281,432l4635,432,4635,449,5281,449,5281,432xm5379,442l5378,399,5374,359,5366,323,5355,291,5342,262,5328,238,5313,219,5295,204,5291,211,5305,228,5317,247,5329,271,5339,298,5347,328,5353,363,5356,400,5358,442,5356,482,5353,519,5347,553,5339,583,5329,610,5317,634,5305,654,5291,670,5295,677,5313,662,5328,643,5342,619,5355,591,5366,559,5374,523,5378,485,5379,44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74.150024pt;margin-top:20.289202pt;width:7.2pt;height:3.4pt;mso-position-horizontal-relative:page;mso-position-vertical-relative:paragraph;z-index:-15720960;mso-wrap-distance-left:0;mso-wrap-distance-right:0" coordorigin="5483,406" coordsize="144,68" path="m5627,456l5483,456,5483,473,5627,473,5627,456xm5627,406l5483,406,5483,423,5627,423,5627,406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3631057</wp:posOffset>
            </wp:positionH>
            <wp:positionV relativeFrom="paragraph">
              <wp:posOffset>221096</wp:posOffset>
            </wp:positionV>
            <wp:extent cx="191566" cy="102679"/>
            <wp:effectExtent l="0" t="0" r="0" b="0"/>
            <wp:wrapTopAndBottom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6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7.869995pt;margin-top:17.289211pt;width:17.8pt;height:8.550pt;mso-position-horizontal-relative:page;mso-position-vertical-relative:paragraph;z-index:-15719936;mso-wrap-distance-left:0;mso-wrap-distance-right:0" coordorigin="6157,346" coordsize="356,171">
            <v:shape style="position:absolute;left:6157;top:364;width:144;height:152" coordorigin="6157,365" coordsize="144,152" path="m6301,433l6239,433,6239,365,6222,365,6222,433,6157,433,6157,449,6222,449,6222,517,6239,517,6239,449,6301,449,6301,433xe" filled="true" fillcolor="#000000" stroked="false">
              <v:path arrowok="t"/>
              <v:fill type="solid"/>
            </v:shape>
            <v:shape style="position:absolute;left:6371;top:345;width:142;height:164" type="#_x0000_t75" stroked="false">
              <v:imagedata r:id="rId10" o:title=""/>
            </v:shape>
            <w10:wrap type="topAndBottom"/>
          </v:group>
        </w:pict>
      </w:r>
      <w:r>
        <w:rPr/>
        <w:pict>
          <v:rect style="position:absolute;margin-left:329.829987pt;margin-top:21.609241pt;width:7.2pt;height:.83997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41.470001pt;margin-top:21.609241pt;width:7.2pt;height:.83997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53.109985pt;margin-top:21.609241pt;width:7.2pt;height:.83997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64.75pt;margin-top:21.609241pt;width:7.2pt;height:.83997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76.390015pt;margin-top:21.609241pt;width:7.224pt;height:.83997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387.579987pt;margin-top:17.409212pt;width:15.75pt;height:10.6pt;mso-position-horizontal-relative:page;mso-position-vertical-relative:paragraph;z-index:-15716864;mso-wrap-distance-left:0;mso-wrap-distance-right:0" coordorigin="7752,348" coordsize="315,212">
            <v:shape style="position:absolute;left:7751;top:348;width:260;height:212" type="#_x0000_t75" stroked="false">
              <v:imagedata r:id="rId11" o:title=""/>
            </v:shape>
            <v:rect style="position:absolute;left:8042;top:482;width:24;height:27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406.899994pt;margin-top:17.289211pt;width:4.8pt;height:8.2pt;mso-position-horizontal-relative:page;mso-position-vertical-relative:paragraph;z-index:-15716352;mso-wrap-distance-left:0;mso-wrap-distance-right:0" coordorigin="8138,346" coordsize="96,164" path="m8200,346l8196,346,8138,379,8143,389,8150,384,8157,382,8162,377,8167,375,8176,375,8176,377,8179,377,8179,487,8176,490,8176,492,8172,497,8164,497,8160,499,8145,499,8145,509,8234,509,8234,499,8215,499,8212,497,8208,497,8203,492,8203,490,8200,487,8200,478,8200,34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2"/>
      </w:pPr>
    </w:p>
    <w:p>
      <w:pPr>
        <w:pStyle w:val="BodyText"/>
        <w:spacing w:line="480" w:lineRule="auto" w:before="90"/>
        <w:ind w:left="465" w:right="1253"/>
        <w:jc w:val="both"/>
      </w:pPr>
      <w:r>
        <w:rPr/>
        <w:pict>
          <v:rect style="position:absolute;margin-left:244.490005pt;margin-top:-19.576902pt;width:7.2pt;height:.84003pt;mso-position-horizontal-relative:page;mso-position-vertical-relative:paragraph;z-index:-20898816" filled="true" fillcolor="#000000" stroked="false">
            <v:fill type="solid"/>
            <w10:wrap type="none"/>
          </v:rect>
        </w:pict>
      </w:r>
      <w:r>
        <w:rPr/>
        <w:t>where</w:t>
      </w:r>
      <w:r>
        <w:rPr>
          <w:i/>
        </w:rPr>
        <w:t>D </w:t>
      </w:r>
      <w:r>
        <w:rPr/>
        <w:t>is the relative density of the tablet (ratio of tablet density to the true density of</w:t>
      </w:r>
      <w:r>
        <w:rPr>
          <w:spacing w:val="1"/>
        </w:rPr>
        <w:t> </w:t>
      </w:r>
      <w:r>
        <w:rPr/>
        <w:t>the powder) at applied pressure, </w:t>
      </w:r>
      <w:r>
        <w:rPr>
          <w:i/>
        </w:rPr>
        <w:t>P </w:t>
      </w:r>
      <w:r>
        <w:rPr/>
        <w:t>and </w:t>
      </w:r>
      <w:r>
        <w:rPr>
          <w:i/>
        </w:rPr>
        <w:t>K </w:t>
      </w:r>
      <w:r>
        <w:rPr/>
        <w:t>is the slope of the straight line portion of the</w:t>
      </w:r>
      <w:r>
        <w:rPr>
          <w:spacing w:val="1"/>
        </w:rPr>
        <w:t> </w:t>
      </w:r>
      <w:r>
        <w:rPr/>
        <w:t>Heckel plot. The reciprocal of the slope (</w:t>
      </w:r>
      <w:r>
        <w:rPr>
          <w:i/>
        </w:rPr>
        <w:t>K</w:t>
      </w:r>
      <w:r>
        <w:rPr/>
        <w:t>) of the linear portion of the Heckel curve is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as the mean</w:t>
      </w:r>
      <w:r>
        <w:rPr>
          <w:spacing w:val="3"/>
        </w:rPr>
        <w:t> </w:t>
      </w:r>
      <w:r>
        <w:rPr/>
        <w:t>yield pressure,</w:t>
      </w:r>
      <w:r>
        <w:rPr>
          <w:spacing w:val="1"/>
        </w:rPr>
        <w:t> </w:t>
      </w:r>
      <w:r>
        <w:rPr>
          <w:i/>
        </w:rPr>
        <w:t>P</w:t>
      </w:r>
      <w:r>
        <w:rPr>
          <w:i/>
          <w:vertAlign w:val="subscript"/>
        </w:rPr>
        <w:t>Y</w:t>
      </w:r>
      <w:r>
        <w:rPr>
          <w:vertAlign w:val="baseline"/>
        </w:rPr>
        <w:t>.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P</w:t>
      </w:r>
      <w:r>
        <w:rPr>
          <w:i/>
          <w:vertAlign w:val="subscript"/>
        </w:rPr>
        <w:t>Y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can</w:t>
      </w:r>
      <w:r>
        <w:rPr>
          <w:spacing w:val="-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-2"/>
          <w:vertAlign w:val="baseline"/>
        </w:rPr>
        <w:t> </w:t>
      </w:r>
      <w:r>
        <w:rPr>
          <w:vertAlign w:val="baseline"/>
        </w:rPr>
        <w:t>to indicate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mechanism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7"/>
        <w:jc w:val="both"/>
      </w:pPr>
      <w:r>
        <w:rPr/>
        <w:t>occurring during compression. From the value of </w:t>
      </w:r>
      <w:r>
        <w:rPr>
          <w:i/>
        </w:rPr>
        <w:t>A </w:t>
      </w:r>
      <w:r>
        <w:rPr/>
        <w:t>(intercept), the total relative density,</w:t>
      </w:r>
      <w:r>
        <w:rPr>
          <w:spacing w:val="-57"/>
        </w:rPr>
        <w:t> </w:t>
      </w:r>
      <w:r>
        <w:rPr>
          <w:i/>
        </w:rPr>
        <w:t>D</w:t>
      </w:r>
      <w:r>
        <w:rPr>
          <w:i/>
          <w:vertAlign w:val="subscript"/>
        </w:rPr>
        <w:t>A</w:t>
      </w:r>
      <w:r>
        <w:rPr>
          <w:i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D</w:t>
      </w:r>
      <w:r>
        <w:rPr>
          <w:i/>
          <w:vertAlign w:val="subscript"/>
        </w:rPr>
        <w:t>A</w:t>
      </w:r>
      <w:r>
        <w:rPr>
          <w:vertAlign w:val="baseline"/>
        </w:rPr>
        <w:t>= </w:t>
      </w:r>
      <w:r>
        <w:rPr>
          <w:i/>
          <w:vertAlign w:val="baseline"/>
        </w:rPr>
        <w:t>1 - e</w:t>
      </w:r>
      <w:r>
        <w:rPr>
          <w:i/>
          <w:vertAlign w:val="superscript"/>
        </w:rPr>
        <w:t>-A</w:t>
      </w:r>
      <w:r>
        <w:rPr>
          <w:vertAlign w:val="baseline"/>
        </w:rPr>
        <w:t>) or powder solid fraction due to die filling and particle rearrangement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-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(Roberts and</w:t>
      </w:r>
      <w:r>
        <w:rPr>
          <w:spacing w:val="-1"/>
          <w:vertAlign w:val="baseline"/>
        </w:rPr>
        <w:t> </w:t>
      </w:r>
      <w:r>
        <w:rPr>
          <w:vertAlign w:val="baseline"/>
        </w:rPr>
        <w:t>Rowe, 1986).</w:t>
      </w:r>
    </w:p>
    <w:p>
      <w:pPr>
        <w:pStyle w:val="BodyText"/>
        <w:spacing w:line="480" w:lineRule="auto" w:before="120"/>
        <w:ind w:left="465" w:right="1260"/>
        <w:jc w:val="both"/>
      </w:pPr>
      <w:r>
        <w:rPr/>
        <w:pict>
          <v:shape style="position:absolute;margin-left:128.899994pt;margin-top:96.793129pt;width:4.8pt;height:8.2pt;mso-position-horizontal-relative:page;mso-position-vertical-relative:paragraph;z-index:-20890112" coordorigin="2578,1936" coordsize="96,164" path="m2674,2089l2585,2089,2585,2099,2674,2099,2674,2089xm2652,2087l2604,2087,2600,2089,2655,2089,2652,2087xm2640,1965l2616,1965,2616,1967,2619,1967,2619,2077,2616,2080,2616,2082,2612,2087,2648,2087,2643,2082,2643,2080,2640,2077,2640,1965xm2640,1936l2636,1936,2578,1969,2583,1979,2590,1974,2597,1972,2602,1967,2607,1965,2640,1965,2640,1936xe" filled="true" fillcolor="#000000" stroked="false">
            <v:path arrowok="t"/>
            <v:fill type="solid"/>
            <w10:wrap type="none"/>
          </v:shape>
        </w:pict>
      </w:r>
      <w:r>
        <w:rPr/>
        <w:t>Kuentz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Leuenberger</w:t>
      </w:r>
      <w:r>
        <w:rPr>
          <w:spacing w:val="32"/>
        </w:rPr>
        <w:t> </w:t>
      </w:r>
      <w:r>
        <w:rPr/>
        <w:t>(1977)</w:t>
      </w:r>
      <w:r>
        <w:rPr>
          <w:spacing w:val="30"/>
        </w:rPr>
        <w:t> </w:t>
      </w:r>
      <w:r>
        <w:rPr/>
        <w:t>postulated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modified</w:t>
      </w:r>
      <w:r>
        <w:rPr>
          <w:spacing w:val="31"/>
        </w:rPr>
        <w:t> </w:t>
      </w:r>
      <w:r>
        <w:rPr/>
        <w:t>Heckel</w:t>
      </w:r>
      <w:r>
        <w:rPr>
          <w:spacing w:val="31"/>
        </w:rPr>
        <w:t> </w:t>
      </w:r>
      <w:r>
        <w:rPr/>
        <w:t>equation</w:t>
      </w:r>
      <w:r>
        <w:rPr>
          <w:spacing w:val="31"/>
        </w:rPr>
        <w:t> </w:t>
      </w:r>
      <w:r>
        <w:rPr/>
        <w:t>which</w:t>
      </w:r>
      <w:r>
        <w:rPr>
          <w:spacing w:val="31"/>
        </w:rPr>
        <w:t> </w:t>
      </w:r>
      <w:r>
        <w:rPr/>
        <w:t>allows</w:t>
      </w:r>
      <w:r>
        <w:rPr>
          <w:spacing w:val="-58"/>
        </w:rPr>
        <w:t> </w:t>
      </w:r>
      <w:r>
        <w:rPr/>
        <w:t>the description of the transition between the states of a powder to the state of the tablet.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modified Heckel equation is given as follows:</w:t>
      </w: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1266748</wp:posOffset>
            </wp:positionH>
            <wp:positionV relativeFrom="paragraph">
              <wp:posOffset>249733</wp:posOffset>
            </wp:positionV>
            <wp:extent cx="81923" cy="72866"/>
            <wp:effectExtent l="0" t="0" r="0" b="0"/>
            <wp:wrapTopAndBottom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2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3.420006pt;margin-top:20.144035pt;width:7.2pt;height:3.4pt;mso-position-horizontal-relative:page;mso-position-vertical-relative:paragraph;z-index:-15714304;mso-wrap-distance-left:0;mso-wrap-distance-right:0" coordorigin="2268,403" coordsize="144,68" path="m2412,453l2268,453,2268,470,2412,470,2412,453xm2412,403l2268,403,2268,420,2412,420,2412,40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27.459999pt;margin-top:9.914063pt;width:25.7pt;height:23.9pt;mso-position-horizontal-relative:page;mso-position-vertical-relative:paragraph;z-index:-15713792;mso-wrap-distance-left:0;mso-wrap-distance-right:0" coordorigin="2549,198" coordsize="514,478">
            <v:shape style="position:absolute;left:2566;top:503;width:123;height:166" type="#_x0000_t75" stroked="false">
              <v:imagedata r:id="rId13" o:title=""/>
            </v:shape>
            <v:shape style="position:absolute;left:2549;top:198;width:281;height:478" coordorigin="2549,198" coordsize="281,478" path="m2703,429l2549,429,2549,446,2703,446,2703,429xm2830,198l2770,198,2770,210,2770,664,2770,676,2830,676,2830,664,2794,664,2794,210,2830,210,2830,198xe" filled="true" fillcolor="#000000" stroked="false">
              <v:path arrowok="t"/>
              <v:fill type="solid"/>
            </v:shape>
            <v:shape style="position:absolute;left:2837;top:390;width:226;height:166" type="#_x0000_t75" stroked="false">
              <v:imagedata r:id="rId14" o:title=""/>
            </v:shape>
            <w10:wrap type="topAndBottom"/>
          </v:group>
        </w:pict>
      </w:r>
      <w:r>
        <w:rPr/>
        <w:pict>
          <v:rect style="position:absolute;margin-left:159.5pt;margin-top:21.464062pt;width:7.224pt;height:.84pt;mso-position-horizontal-relative:page;mso-position-vertical-relative:paragraph;z-index:-15713280;mso-wrap-distance-left:0;mso-wrap-distance-right:0" filled="true" fillcolor="#00000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2198242</wp:posOffset>
            </wp:positionH>
            <wp:positionV relativeFrom="paragraph">
              <wp:posOffset>248209</wp:posOffset>
            </wp:positionV>
            <wp:extent cx="75923" cy="104775"/>
            <wp:effectExtent l="0" t="0" r="0" b="0"/>
            <wp:wrapTopAndBottom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86.050003pt;margin-top:21.464062pt;width:7.2pt;height:.84pt;mso-position-horizontal-relative:page;mso-position-vertical-relative:paragraph;z-index:-15712256;mso-wrap-distance-left:0;mso-wrap-distance-right:0" filled="true" fillcolor="#00000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2547239</wp:posOffset>
            </wp:positionH>
            <wp:positionV relativeFrom="paragraph">
              <wp:posOffset>207061</wp:posOffset>
            </wp:positionV>
            <wp:extent cx="124439" cy="142875"/>
            <wp:effectExtent l="0" t="0" r="0" b="0"/>
            <wp:wrapTopAndBottom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3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17.25pt;margin-top:21.464062pt;width:7.2pt;height:.84pt;mso-position-horizontal-relative:page;mso-position-vertical-relative:paragraph;z-index:-1571123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230.809998pt;margin-top:8.024062pt;width:85pt;height:27.85pt;mso-position-horizontal-relative:page;mso-position-vertical-relative:paragraph;z-index:-15710720;mso-wrap-distance-left:0;mso-wrap-distance-right:0" coordorigin="4616,160" coordsize="1700,557">
            <v:rect style="position:absolute;left:5670;top:246;width:144;height:17" filled="true" fillcolor="#000000" stroked="false">
              <v:fill type="solid"/>
            </v:rect>
            <v:shape style="position:absolute;left:4616;top:160;width:1616;height:557" type="#_x0000_t75" stroked="false">
              <v:imagedata r:id="rId17" o:title=""/>
            </v:shape>
            <v:shape style="position:absolute;left:5615;top:198;width:701;height:478" coordorigin="5615,198" coordsize="701,478" path="m5759,590l5615,590,5615,607,5759,607,5759,590xm6316,198l6256,198,6256,210,6292,210,6292,664,6256,664,6256,676,6316,676,6316,664,6316,210,6316,198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rect style="position:absolute;margin-left:320.589996pt;margin-top:21.464062pt;width:7.2pt;height:.84pt;mso-position-horizontal-relative:page;mso-position-vertical-relative:paragraph;z-index:-1571020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32.230011pt;margin-top:21.464062pt;width:7.2pt;height:.84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43.869995pt;margin-top:21.464062pt;width:7.2pt;height:.84pt;mso-position-horizontal-relative:page;mso-position-vertical-relative:paragraph;z-index:-1570918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55.51001pt;margin-top:21.464062pt;width:7.2pt;height:.84pt;mso-position-horizontal-relative:page;mso-position-vertical-relative:paragraph;z-index:-1570867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67.149994pt;margin-top:21.464062pt;width:7.2pt;height:.84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378.309998pt;margin-top:17.264063pt;width:15.75pt;height:10.6pt;mso-position-horizontal-relative:page;mso-position-vertical-relative:paragraph;z-index:-15707648;mso-wrap-distance-left:0;mso-wrap-distance-right:0" coordorigin="7566,345" coordsize="315,212">
            <v:shape style="position:absolute;left:7566;top:345;width:260;height:212" type="#_x0000_t75" stroked="false">
              <v:imagedata r:id="rId18" o:title=""/>
            </v:shape>
            <v:rect style="position:absolute;left:7857;top:479;width:24;height:27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397.660004pt;margin-top:17.144062pt;width:4.8pt;height:8.2pt;mso-position-horizontal-relative:page;mso-position-vertical-relative:paragraph;z-index:-15707136;mso-wrap-distance-left:0;mso-wrap-distance-right:0" coordorigin="7953,343" coordsize="96,164" path="m8035,352l8006,352,8011,355,8013,357,8018,360,8020,362,8025,372,8025,391,8023,393,8023,398,8020,403,8020,405,8018,410,8013,415,8011,420,8006,427,7999,434,7992,444,7980,456,7972,465,7968,475,7960,484,7956,492,7953,501,7953,506,8047,506,8048,487,7977,487,7982,477,7989,467,7998,457,8008,446,8016,436,8023,429,8025,424,8030,422,8035,412,8037,410,8040,405,8042,403,8044,398,8044,396,8047,391,8047,367,8044,360,8035,352xm8049,472l8040,472,8039,477,8035,482,8035,484,8032,484,8030,487,8048,487,8049,472xm8018,343l7989,343,7975,348,7965,350,7956,355,7956,376,7970,376,7975,360,7984,352,8035,352,8028,345,8018,34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line="480" w:lineRule="auto" w:before="90"/>
        <w:ind w:left="465" w:right="1250"/>
        <w:jc w:val="both"/>
      </w:pPr>
      <w:r>
        <w:rPr/>
        <w:t>where</w:t>
      </w:r>
      <w:r>
        <w:rPr>
          <w:i/>
        </w:rPr>
        <w:t>σ </w:t>
      </w:r>
      <w:r>
        <w:rPr/>
        <w:t>is the pressure, </w:t>
      </w:r>
      <w:r>
        <w:rPr>
          <w:i/>
        </w:rPr>
        <w:t>ρ </w:t>
      </w:r>
      <w:r>
        <w:rPr/>
        <w:t>is the relative density, </w:t>
      </w:r>
      <w:r>
        <w:rPr>
          <w:i/>
        </w:rPr>
        <w:t>ρ</w:t>
      </w:r>
      <w:r>
        <w:rPr>
          <w:i/>
          <w:vertAlign w:val="subscript"/>
        </w:rPr>
        <w:t>c</w:t>
      </w:r>
      <w:r>
        <w:rPr>
          <w:i/>
          <w:vertAlign w:val="baseline"/>
        </w:rPr>
        <w:t> </w:t>
      </w:r>
      <w:r>
        <w:rPr>
          <w:vertAlign w:val="baseline"/>
        </w:rPr>
        <w:t>is the critical density, and </w:t>
      </w:r>
      <w:r>
        <w:rPr>
          <w:i/>
          <w:vertAlign w:val="baseline"/>
        </w:rPr>
        <w:t>C </w:t>
      </w:r>
      <w:r>
        <w:rPr>
          <w:vertAlign w:val="baseline"/>
        </w:rPr>
        <w:t>is a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constant.</w:t>
      </w:r>
    </w:p>
    <w:p>
      <w:pPr>
        <w:pStyle w:val="BodyText"/>
        <w:spacing w:line="480" w:lineRule="auto" w:before="120"/>
        <w:ind w:left="465" w:right="1252"/>
        <w:jc w:val="both"/>
      </w:pPr>
      <w:r>
        <w:rPr/>
        <w:t>Powders have been classified into three types A, B, and C on</w:t>
      </w:r>
      <w:r>
        <w:rPr>
          <w:spacing w:val="60"/>
        </w:rPr>
        <w:t> </w:t>
      </w:r>
      <w:r>
        <w:rPr/>
        <w:t>the basis of the Heckel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(Wong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Pilpel,</w:t>
      </w:r>
      <w:r>
        <w:rPr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graphical</w:t>
      </w:r>
      <w:r>
        <w:rPr>
          <w:spacing w:val="-1"/>
        </w:rPr>
        <w:t> </w:t>
      </w:r>
      <w:r>
        <w:rPr/>
        <w:t>illustration of</w:t>
      </w:r>
      <w:r>
        <w:rPr>
          <w:spacing w:val="-1"/>
        </w:rPr>
        <w:t> </w:t>
      </w:r>
      <w:r>
        <w:rPr/>
        <w:t>the three</w:t>
      </w:r>
      <w:r>
        <w:rPr>
          <w:spacing w:val="-2"/>
        </w:rPr>
        <w:t> </w:t>
      </w:r>
      <w:r>
        <w:rPr/>
        <w:t>plots is given as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1.1.</w:t>
      </w:r>
    </w:p>
    <w:p>
      <w:pPr>
        <w:pStyle w:val="BodyText"/>
        <w:spacing w:line="480" w:lineRule="auto" w:before="120"/>
        <w:ind w:left="465" w:right="1255"/>
        <w:jc w:val="both"/>
      </w:pPr>
      <w:r>
        <w:rPr/>
        <w:t>With type „A‟ materials, a linear relationship is observed, with plots remaining parallel</w:t>
      </w:r>
      <w:r>
        <w:rPr>
          <w:spacing w:val="1"/>
        </w:rPr>
        <w:t> </w:t>
      </w:r>
      <w:r>
        <w:rPr/>
        <w:t>as the applied pressure is increased indicating deformation apparently only by plastic</w:t>
      </w:r>
      <w:r>
        <w:rPr>
          <w:spacing w:val="1"/>
        </w:rPr>
        <w:t> </w:t>
      </w:r>
      <w:r>
        <w:rPr/>
        <w:t>deformation. A typical example of a type „A‟ material is sodium chloride. They are</w:t>
      </w:r>
      <w:r>
        <w:rPr>
          <w:spacing w:val="1"/>
        </w:rPr>
        <w:t> </w:t>
      </w:r>
      <w:r>
        <w:rPr/>
        <w:t>comparatively</w:t>
      </w:r>
      <w:r>
        <w:rPr>
          <w:spacing w:val="18"/>
        </w:rPr>
        <w:t> </w:t>
      </w:r>
      <w:r>
        <w:rPr/>
        <w:t>soft</w:t>
      </w:r>
      <w:r>
        <w:rPr>
          <w:spacing w:val="26"/>
        </w:rPr>
        <w:t> </w:t>
      </w:r>
      <w:r>
        <w:rPr/>
        <w:t>and</w:t>
      </w:r>
      <w:r>
        <w:rPr>
          <w:spacing w:val="23"/>
        </w:rPr>
        <w:t> </w:t>
      </w:r>
      <w:r>
        <w:rPr/>
        <w:t>readily</w:t>
      </w:r>
      <w:r>
        <w:rPr>
          <w:spacing w:val="21"/>
        </w:rPr>
        <w:t> </w:t>
      </w:r>
      <w:r>
        <w:rPr/>
        <w:t>undergo</w:t>
      </w:r>
      <w:r>
        <w:rPr>
          <w:spacing w:val="24"/>
        </w:rPr>
        <w:t> </w:t>
      </w:r>
      <w:r>
        <w:rPr/>
        <w:t>plastic</w:t>
      </w:r>
      <w:r>
        <w:rPr>
          <w:spacing w:val="22"/>
        </w:rPr>
        <w:t> </w:t>
      </w:r>
      <w:r>
        <w:rPr/>
        <w:t>deformation</w:t>
      </w:r>
      <w:r>
        <w:rPr>
          <w:spacing w:val="24"/>
        </w:rPr>
        <w:t> </w:t>
      </w:r>
      <w:r>
        <w:rPr/>
        <w:t>retaining</w:t>
      </w:r>
      <w:r>
        <w:rPr>
          <w:spacing w:val="24"/>
        </w:rPr>
        <w:t> </w:t>
      </w:r>
      <w:r>
        <w:rPr/>
        <w:t>different</w:t>
      </w:r>
      <w:r>
        <w:rPr>
          <w:spacing w:val="24"/>
        </w:rPr>
        <w:t> </w:t>
      </w:r>
      <w:r>
        <w:rPr/>
        <w:t>degrees</w:t>
      </w:r>
      <w:r>
        <w:rPr>
          <w:spacing w:val="-57"/>
        </w:rPr>
        <w:t> </w:t>
      </w:r>
      <w:r>
        <w:rPr/>
        <w:t>of porosity depending on the initial packing of the powder in the die. This is usually</w:t>
      </w:r>
      <w:r>
        <w:rPr>
          <w:spacing w:val="1"/>
        </w:rPr>
        <w:t> </w:t>
      </w:r>
      <w:r>
        <w:rPr/>
        <w:t>influenced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size</w:t>
      </w:r>
      <w:r>
        <w:rPr>
          <w:spacing w:val="-1"/>
        </w:rPr>
        <w:t> </w:t>
      </w:r>
      <w:r>
        <w:rPr/>
        <w:t>distribution and shape</w:t>
      </w:r>
      <w:r>
        <w:rPr>
          <w:spacing w:val="-1"/>
        </w:rPr>
        <w:t> </w:t>
      </w:r>
      <w:r>
        <w:rPr/>
        <w:t>of the original particles.</w:t>
      </w:r>
    </w:p>
    <w:p>
      <w:pPr>
        <w:pStyle w:val="BodyText"/>
        <w:spacing w:line="480" w:lineRule="auto" w:before="121"/>
        <w:ind w:left="465" w:right="1252"/>
        <w:jc w:val="both"/>
      </w:pPr>
      <w:r>
        <w:rPr/>
        <w:t>For type „B‟ materials, there is an initial curved region followed by a straight line. This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fragmenting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compression</w:t>
      </w:r>
      <w:r>
        <w:rPr>
          <w:spacing w:val="-57"/>
        </w:rPr>
        <w:t> </w:t>
      </w:r>
      <w:r>
        <w:rPr/>
        <w:t>process i.e. brittle fracture precedes plastic flow. Type „B‟ Heckel plots are usually seen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harder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pressures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undergo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fragmentation</w:t>
      </w:r>
      <w:r>
        <w:rPr>
          <w:spacing w:val="-1"/>
        </w:rPr>
        <w:t> </w:t>
      </w:r>
      <w:r>
        <w:rPr/>
        <w:t>to achieve a</w:t>
      </w:r>
      <w:r>
        <w:rPr>
          <w:spacing w:val="-1"/>
        </w:rPr>
        <w:t> </w:t>
      </w:r>
      <w:r>
        <w:rPr/>
        <w:t>densely</w:t>
      </w:r>
      <w:r>
        <w:rPr>
          <w:spacing w:val="-5"/>
        </w:rPr>
        <w:t> </w:t>
      </w:r>
      <w:r>
        <w:rPr/>
        <w:t>packed arrangement e.g.</w:t>
      </w:r>
      <w:r>
        <w:rPr>
          <w:spacing w:val="-1"/>
        </w:rPr>
        <w:t> </w:t>
      </w:r>
      <w:r>
        <w:rPr/>
        <w:t>lactose.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spacing w:line="240" w:lineRule="auto"/>
        <w:ind w:left="476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1937365" cy="4045267"/>
            <wp:effectExtent l="0" t="0" r="0" b="0"/>
            <wp:docPr id="1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365" cy="404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spacing w:val="42"/>
          <w:position w:val="2"/>
          <w:sz w:val="20"/>
        </w:rPr>
        <w:t> </w:t>
      </w:r>
      <w:r>
        <w:rPr>
          <w:spacing w:val="42"/>
          <w:sz w:val="20"/>
        </w:rPr>
        <w:pict>
          <v:group style="width:299.7pt;height:328.4pt;mso-position-horizontal-relative:char;mso-position-vertical-relative:line" coordorigin="0,0" coordsize="5994,6568">
            <v:shape style="position:absolute;left:3031;top:0;width:2963;height:6568" type="#_x0000_t75" stroked="false">
              <v:imagedata r:id="rId20" o:title=""/>
            </v:shape>
            <v:shape style="position:absolute;left:0;top:213;width:2965;height:6331" type="#_x0000_t75" stroked="false">
              <v:imagedata r:id="rId21" o:title=""/>
            </v:shape>
          </v:group>
        </w:pict>
      </w:r>
      <w:r>
        <w:rPr>
          <w:spacing w:val="42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3"/>
        <w:spacing w:before="90"/>
        <w:ind w:left="1817"/>
      </w:pPr>
      <w:r>
        <w:rPr/>
        <w:t>Figure</w:t>
      </w:r>
      <w:r>
        <w:rPr>
          <w:spacing w:val="-2"/>
        </w:rPr>
        <w:t> </w:t>
      </w:r>
      <w:r>
        <w:rPr/>
        <w:t>1.1: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of Heckel</w:t>
      </w:r>
      <w:r>
        <w:rPr>
          <w:spacing w:val="-1"/>
        </w:rPr>
        <w:t> </w:t>
      </w:r>
      <w:r>
        <w:rPr/>
        <w:t>plots(</w:t>
      </w:r>
      <w:r>
        <w:rPr>
          <w:spacing w:val="-1"/>
        </w:rPr>
        <w:t> </w:t>
      </w:r>
      <w:r>
        <w:rPr/>
        <w:t>Odeku,</w:t>
      </w:r>
      <w:r>
        <w:rPr>
          <w:spacing w:val="-1"/>
        </w:rPr>
        <w:t> </w:t>
      </w:r>
      <w:r>
        <w:rPr/>
        <w:t>2007)</w:t>
      </w:r>
    </w:p>
    <w:p>
      <w:pPr>
        <w:spacing w:after="0"/>
        <w:sectPr>
          <w:pgSz w:w="11910" w:h="16840"/>
          <w:pgMar w:header="0" w:footer="987" w:top="1560" w:bottom="1260" w:left="1520" w:right="160"/>
        </w:sectPr>
      </w:pPr>
    </w:p>
    <w:p>
      <w:pPr>
        <w:pStyle w:val="BodyText"/>
        <w:spacing w:line="480" w:lineRule="auto" w:before="72"/>
        <w:ind w:left="465" w:right="1252"/>
        <w:jc w:val="both"/>
      </w:pPr>
      <w:r>
        <w:rPr/>
        <w:t>In type „C‟ materials, there is an initial steep linear region which become superimposed</w:t>
      </w:r>
      <w:r>
        <w:rPr>
          <w:spacing w:val="1"/>
        </w:rPr>
        <w:t> </w:t>
      </w:r>
      <w:r>
        <w:rPr/>
        <w:t>and flattens out as the applied pressure is increased. Wong and Pilpel (1990) explained</w:t>
      </w:r>
      <w:r>
        <w:rPr>
          <w:spacing w:val="1"/>
        </w:rPr>
        <w:t> </w:t>
      </w:r>
      <w:r>
        <w:rPr/>
        <w:t>this behaviour to be due to the absence of a rearrangement stage and densification is due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plastic</w:t>
      </w:r>
      <w:r>
        <w:rPr>
          <w:spacing w:val="-1"/>
        </w:rPr>
        <w:t> </w:t>
      </w:r>
      <w:r>
        <w:rPr/>
        <w:t>deformation and asperity</w:t>
      </w:r>
      <w:r>
        <w:rPr>
          <w:spacing w:val="-5"/>
        </w:rPr>
        <w:t> </w:t>
      </w:r>
      <w:r>
        <w:rPr/>
        <w:t>melting.</w:t>
      </w:r>
    </w:p>
    <w:p>
      <w:pPr>
        <w:pStyle w:val="BodyText"/>
        <w:spacing w:line="480" w:lineRule="auto" w:before="120"/>
        <w:ind w:left="465" w:right="1250"/>
        <w:jc w:val="both"/>
      </w:pPr>
      <w:r>
        <w:rPr/>
        <w:t>There</w:t>
      </w:r>
      <w:r>
        <w:rPr>
          <w:spacing w:val="24"/>
        </w:rPr>
        <w:t> </w:t>
      </w:r>
      <w:r>
        <w:rPr/>
        <w:t>are</w:t>
      </w:r>
      <w:r>
        <w:rPr>
          <w:spacing w:val="24"/>
        </w:rPr>
        <w:t> </w:t>
      </w:r>
      <w:r>
        <w:rPr/>
        <w:t>two</w:t>
      </w:r>
      <w:r>
        <w:rPr>
          <w:spacing w:val="23"/>
        </w:rPr>
        <w:t> </w:t>
      </w:r>
      <w:r>
        <w:rPr/>
        <w:t>methods</w:t>
      </w:r>
      <w:r>
        <w:rPr>
          <w:spacing w:val="26"/>
        </w:rPr>
        <w:t> </w:t>
      </w:r>
      <w:r>
        <w:rPr/>
        <w:t>used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obtain</w:t>
      </w:r>
      <w:r>
        <w:rPr>
          <w:spacing w:val="24"/>
        </w:rPr>
        <w:t> </w:t>
      </w:r>
      <w:r>
        <w:rPr/>
        <w:t>density-pressure</w:t>
      </w:r>
      <w:r>
        <w:rPr>
          <w:spacing w:val="22"/>
        </w:rPr>
        <w:t> </w:t>
      </w:r>
      <w:r>
        <w:rPr/>
        <w:t>profiles: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in-die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out-of-</w:t>
      </w:r>
      <w:r>
        <w:rPr>
          <w:spacing w:val="-57"/>
        </w:rPr>
        <w:t> </w:t>
      </w:r>
      <w:r>
        <w:rPr/>
        <w:t>die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ejected</w:t>
      </w:r>
      <w:r>
        <w:rPr>
          <w:spacing w:val="1"/>
        </w:rPr>
        <w:t> </w:t>
      </w:r>
      <w:r>
        <w:rPr/>
        <w:t>tablets)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out-of-die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compact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measured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ejected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undergone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elastic</w:t>
      </w:r>
      <w:r>
        <w:rPr>
          <w:spacing w:val="1"/>
        </w:rPr>
        <w:t> </w:t>
      </w:r>
      <w:r>
        <w:rPr/>
        <w:t>recovery. Conversely, the in-die method measures the compact densification in the die</w:t>
      </w:r>
      <w:r>
        <w:rPr>
          <w:spacing w:val="1"/>
        </w:rPr>
        <w:t> </w:t>
      </w:r>
      <w:r>
        <w:rPr/>
        <w:t>by evaluating punch displacement(s) relative to the increase in compression pressure.</w:t>
      </w:r>
      <w:r>
        <w:rPr>
          <w:spacing w:val="1"/>
        </w:rPr>
        <w:t> </w:t>
      </w:r>
      <w:r>
        <w:rPr/>
        <w:t>This method is faster and consumes less material than the out-of-die method, which</w:t>
      </w:r>
      <w:r>
        <w:rPr>
          <w:spacing w:val="1"/>
        </w:rPr>
        <w:t> </w:t>
      </w:r>
      <w:r>
        <w:rPr/>
        <w:t>requires a new compact for each compression pressure. However, the in-die density</w:t>
      </w:r>
      <w:r>
        <w:rPr>
          <w:spacing w:val="1"/>
        </w:rPr>
        <w:t> </w:t>
      </w:r>
      <w:r>
        <w:rPr/>
        <w:t>measurement contains an elastic component leading to falsely low mean yield pressures,</w:t>
      </w:r>
      <w:r>
        <w:rPr>
          <w:spacing w:val="-57"/>
        </w:rPr>
        <w:t> </w:t>
      </w:r>
      <w:r>
        <w:rPr/>
        <w:t>which is a limitation when using the information to prepare a tablet formulation</w:t>
      </w:r>
      <w:r>
        <w:rPr>
          <w:spacing w:val="60"/>
        </w:rPr>
        <w:t> </w:t>
      </w:r>
      <w:r>
        <w:rPr/>
        <w:t>(Egart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2014).</w:t>
      </w:r>
    </w:p>
    <w:p>
      <w:pPr>
        <w:pStyle w:val="BodyText"/>
        <w:spacing w:line="480" w:lineRule="auto" w:before="122"/>
        <w:ind w:left="465" w:right="1256"/>
        <w:jc w:val="both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3332098</wp:posOffset>
            </wp:positionH>
            <wp:positionV relativeFrom="paragraph">
              <wp:posOffset>1827950</wp:posOffset>
            </wp:positionV>
            <wp:extent cx="76200" cy="74675"/>
            <wp:effectExtent l="0" t="0" r="0" b="0"/>
            <wp:wrapNone/>
            <wp:docPr id="1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5.950012pt;margin-top:133.613129pt;width:15.85pt;height:10.6pt;mso-position-horizontal-relative:page;mso-position-vertical-relative:paragraph;z-index:15763456" coordorigin="7319,2672" coordsize="317,212">
            <v:shape style="position:absolute;left:7319;top:2672;width:260;height:212" type="#_x0000_t75" stroked="false">
              <v:imagedata r:id="rId11" o:title=""/>
            </v:shape>
            <v:rect style="position:absolute;left:7611;top:2806;width:24;height:27" filled="true" fillcolor="#000000" stroked="false">
              <v:fill type="solid"/>
            </v:rect>
            <w10:wrap type="none"/>
          </v:group>
        </w:pict>
      </w:r>
      <w:r>
        <w:rPr/>
        <w:pict>
          <v:shape style="position:absolute;margin-left:385.299988pt;margin-top:133.493134pt;width:4.8pt;height:8.3pt;mso-position-horizontal-relative:page;mso-position-vertical-relative:paragraph;z-index:15763968" coordorigin="7706,2670" coordsize="96,166" path="m7766,2670l7749,2670,7742,2672,7735,2672,7725,2675,7718,2677,7708,2682,7708,2703,7723,2703,7728,2689,7732,2687,7737,2682,7744,2679,7759,2679,7766,2682,7776,2691,7778,2699,7778,2715,7776,2720,7773,2727,7764,2737,7756,2739,7749,2744,7740,2747,7730,2747,7730,2756,7754,2756,7764,2759,7778,2773,7780,2780,7780,2804,7778,2811,7773,2819,7768,2823,7759,2826,7742,2826,7735,2823,7723,2811,7720,2802,7706,2802,7706,2828,7720,2833,7728,2833,7735,2835,7761,2835,7771,2833,7802,2797,7802,2778,7795,2763,7790,2761,7783,2754,7780,2754,7771,2749,7766,2749,7766,2747,7773,2744,7780,2739,7785,2737,7790,2732,7795,2723,7800,2718,7800,2699,7797,2691,7795,2687,7785,2677,7780,2675,7766,2670xe" filled="true" fillcolor="#000000" stroked="false">
            <v:path arrowok="t"/>
            <v:fill type="solid"/>
            <w10:wrap type="none"/>
          </v:shape>
        </w:pict>
      </w:r>
      <w:r>
        <w:rPr/>
        <w:t>The Kawakita linear model is another porosity-pressure function used to characterize</w:t>
      </w:r>
      <w:r>
        <w:rPr>
          <w:spacing w:val="1"/>
        </w:rPr>
        <w:t> </w:t>
      </w:r>
      <w:r>
        <w:rPr/>
        <w:t>powder compressibility. It is based on the assumption that the particles are subjected to</w:t>
      </w:r>
      <w:r>
        <w:rPr>
          <w:spacing w:val="1"/>
        </w:rPr>
        <w:t> </w:t>
      </w:r>
      <w:r>
        <w:rPr/>
        <w:t>compressive load in equilibrium at all stages of compression, so that the product of</w:t>
      </w:r>
      <w:r>
        <w:rPr>
          <w:spacing w:val="1"/>
        </w:rPr>
        <w:t> </w:t>
      </w:r>
      <w:r>
        <w:rPr/>
        <w:t>pressure</w:t>
      </w:r>
      <w:r>
        <w:rPr>
          <w:spacing w:val="-3"/>
        </w:rPr>
        <w:t> </w:t>
      </w:r>
      <w:r>
        <w:rPr/>
        <w:t>term and volume</w:t>
      </w:r>
      <w:r>
        <w:rPr>
          <w:spacing w:val="-1"/>
        </w:rPr>
        <w:t> </w:t>
      </w:r>
      <w:r>
        <w:rPr/>
        <w:t>term</w:t>
      </w:r>
      <w:r>
        <w:rPr>
          <w:spacing w:val="-1"/>
        </w:rPr>
        <w:t> </w:t>
      </w:r>
      <w:r>
        <w:rPr/>
        <w:t>is constant.</w:t>
      </w:r>
      <w:r>
        <w:rPr>
          <w:spacing w:val="2"/>
        </w:rPr>
        <w:t> </w:t>
      </w:r>
      <w:r>
        <w:rPr/>
        <w:t>It is expressed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2960242</wp:posOffset>
            </wp:positionH>
            <wp:positionV relativeFrom="paragraph">
              <wp:posOffset>101627</wp:posOffset>
            </wp:positionV>
            <wp:extent cx="84289" cy="102679"/>
            <wp:effectExtent l="0" t="0" r="0" b="0"/>
            <wp:wrapTopAndBottom/>
            <wp:docPr id="1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8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3324478</wp:posOffset>
            </wp:positionH>
            <wp:positionV relativeFrom="paragraph">
              <wp:posOffset>101627</wp:posOffset>
            </wp:positionV>
            <wp:extent cx="84289" cy="102679"/>
            <wp:effectExtent l="0" t="0" r="0" b="0"/>
            <wp:wrapTopAndBottom/>
            <wp:docPr id="1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8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3.109985pt;margin-top:7.882187pt;width:4.8pt;height:8.2pt;mso-position-horizontal-relative:page;mso-position-vertical-relative:paragraph;z-index:-15704576;mso-wrap-distance-left:0;mso-wrap-distance-right:0" coordorigin="5862,158" coordsize="96,164" path="m5958,311l5869,311,5869,321,5958,321,5958,311xm5937,309l5889,309,5884,311,5939,311,5937,309xm5925,186l5901,186,5901,189,5903,189,5903,299,5901,302,5901,304,5896,309,5932,309,5927,304,5927,302,5925,299,5925,186xm5925,158l5920,158,5862,191,5867,201,5874,196,5881,194,5886,189,5891,186,5925,186,5925,158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/>
        <w:ind w:left="3134" w:right="0" w:firstLine="0"/>
        <w:rPr>
          <w:sz w:val="20"/>
        </w:rPr>
      </w:pPr>
      <w:r>
        <w:rPr>
          <w:sz w:val="20"/>
        </w:rPr>
        <w:pict>
          <v:group style="width:7.7pt;height:12pt;mso-position-horizontal-relative:char;mso-position-vertical-relative:line" coordorigin="0,0" coordsize="154,240">
            <v:shape style="position:absolute;left:16;top:74;width:123;height:166" type="#_x0000_t75" stroked="false">
              <v:imagedata r:id="rId13" o:title=""/>
            </v:shape>
            <v:rect style="position:absolute;left:0;top:0;width:154;height:17" filled="true" fillcolor="#000000" stroked="false">
              <v:fill type="solid"/>
            </v:rect>
          </v:group>
        </w:pict>
      </w:r>
      <w:r>
        <w:rPr>
          <w:sz w:val="20"/>
        </w:rPr>
      </w:r>
      <w:r>
        <w:rPr>
          <w:spacing w:val="100"/>
          <w:sz w:val="6"/>
        </w:rPr>
        <w:t> </w:t>
      </w:r>
      <w:r>
        <w:rPr>
          <w:spacing w:val="100"/>
          <w:position w:val="20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100"/>
          <w:position w:val="20"/>
          <w:sz w:val="20"/>
        </w:rPr>
      </w:r>
      <w:r>
        <w:rPr>
          <w:spacing w:val="120"/>
          <w:position w:val="20"/>
          <w:sz w:val="2"/>
        </w:rPr>
        <w:t> </w:t>
      </w:r>
      <w:r>
        <w:rPr>
          <w:spacing w:val="120"/>
          <w:position w:val="22"/>
          <w:sz w:val="20"/>
        </w:rPr>
        <w:pict>
          <v:group style="width:7.7pt;height:.85pt;mso-position-horizontal-relative:char;mso-position-vertical-relative:line" coordorigin="0,0" coordsize="154,17">
            <v:rect style="position:absolute;left:0;top:0;width:154;height:17" filled="true" fillcolor="#000000" stroked="false">
              <v:fill type="solid"/>
            </v:rect>
          </v:group>
        </w:pict>
      </w:r>
      <w:r>
        <w:rPr>
          <w:spacing w:val="120"/>
          <w:position w:val="22"/>
          <w:sz w:val="20"/>
        </w:rPr>
      </w:r>
      <w:r>
        <w:rPr>
          <w:spacing w:val="66"/>
          <w:position w:val="22"/>
          <w:sz w:val="15"/>
        </w:rPr>
        <w:t> </w:t>
      </w:r>
      <w:r>
        <w:rPr>
          <w:spacing w:val="66"/>
          <w:position w:val="16"/>
          <w:sz w:val="20"/>
        </w:rPr>
        <w:pict>
          <v:group style="width:7.2pt;height:7.6pt;mso-position-horizontal-relative:char;mso-position-vertical-relative:line" coordorigin="0,0" coordsize="144,152">
            <v:shape style="position:absolute;left:0;top:0;width:144;height:152" coordorigin="0,0" coordsize="144,152" path="m144,68l82,68,82,0,65,0,65,68,0,68,0,84,65,84,65,152,82,152,82,84,144,84,144,68xe" filled="true" fillcolor="#000000" stroked="false">
              <v:path arrowok="t"/>
              <v:fill type="solid"/>
            </v:shape>
          </v:group>
        </w:pict>
      </w:r>
      <w:r>
        <w:rPr>
          <w:spacing w:val="66"/>
          <w:position w:val="16"/>
          <w:sz w:val="20"/>
        </w:rPr>
      </w:r>
      <w:r>
        <w:rPr>
          <w:spacing w:val="58"/>
          <w:position w:val="16"/>
          <w:sz w:val="20"/>
        </w:rPr>
        <w:t> </w:t>
      </w:r>
      <w:r>
        <w:rPr>
          <w:spacing w:val="58"/>
          <w:sz w:val="20"/>
        </w:rPr>
        <w:pict>
          <v:group style="width:13.45pt;height:12pt;mso-position-horizontal-relative:char;mso-position-vertical-relative:line" coordorigin="0,0" coordsize="269,240">
            <v:shape style="position:absolute;left:12;top:69;width:240;height:171" type="#_x0000_t75" stroked="false">
              <v:imagedata r:id="rId25" o:title=""/>
            </v:shape>
            <v:rect style="position:absolute;left:0;top:0;width:269;height:17" filled="true" fillcolor="#000000" stroked="false">
              <v:fill type="solid"/>
            </v:rect>
          </v:group>
        </w:pict>
      </w:r>
      <w:r>
        <w:rPr>
          <w:spacing w:val="58"/>
          <w:sz w:val="20"/>
        </w:rPr>
      </w:r>
      <w:r>
        <w:rPr>
          <w:spacing w:val="108"/>
          <w:sz w:val="2"/>
        </w:rPr>
        <w:t> </w:t>
      </w:r>
      <w:r>
        <w:rPr>
          <w:spacing w:val="108"/>
          <w:position w:val="22"/>
          <w:sz w:val="20"/>
        </w:rPr>
        <w:pict>
          <v:group style="width:7.2pt;height:.85pt;mso-position-horizontal-relative:char;mso-position-vertical-relative:line" coordorigin="0,0" coordsize="144,17">
            <v:rect style="position:absolute;left:0;top:0;width:144;height:17" filled="true" fillcolor="#000000" stroked="false">
              <v:fill type="solid"/>
            </v:rect>
          </v:group>
        </w:pict>
      </w:r>
      <w:r>
        <w:rPr>
          <w:spacing w:val="108"/>
          <w:position w:val="22"/>
          <w:sz w:val="20"/>
        </w:rPr>
      </w:r>
      <w:r>
        <w:rPr>
          <w:spacing w:val="70"/>
          <w:position w:val="22"/>
          <w:sz w:val="2"/>
        </w:rPr>
        <w:t> </w:t>
      </w:r>
      <w:r>
        <w:rPr>
          <w:spacing w:val="70"/>
          <w:position w:val="22"/>
          <w:sz w:val="20"/>
        </w:rPr>
        <w:pict>
          <v:group style="width:7.2pt;height:.85pt;mso-position-horizontal-relative:char;mso-position-vertical-relative:line" coordorigin="0,0" coordsize="144,17">
            <v:rect style="position:absolute;left:0;top:0;width:144;height:17" filled="true" fillcolor="#000000" stroked="false">
              <v:fill type="solid"/>
            </v:rect>
          </v:group>
        </w:pict>
      </w:r>
      <w:r>
        <w:rPr>
          <w:spacing w:val="70"/>
          <w:position w:val="22"/>
          <w:sz w:val="20"/>
        </w:rPr>
      </w:r>
      <w:r>
        <w:rPr>
          <w:spacing w:val="67"/>
          <w:position w:val="22"/>
          <w:sz w:val="2"/>
        </w:rPr>
        <w:t> </w:t>
      </w:r>
      <w:r>
        <w:rPr>
          <w:spacing w:val="67"/>
          <w:position w:val="22"/>
          <w:sz w:val="20"/>
        </w:rPr>
        <w:pict>
          <v:group style="width:7.2pt;height:.85pt;mso-position-horizontal-relative:char;mso-position-vertical-relative:line" coordorigin="0,0" coordsize="144,17">
            <v:rect style="position:absolute;left:0;top:0;width:144;height:17" filled="true" fillcolor="#000000" stroked="false">
              <v:fill type="solid"/>
            </v:rect>
          </v:group>
        </w:pict>
      </w:r>
      <w:r>
        <w:rPr>
          <w:spacing w:val="67"/>
          <w:position w:val="22"/>
          <w:sz w:val="20"/>
        </w:rPr>
      </w:r>
      <w:r>
        <w:rPr>
          <w:spacing w:val="70"/>
          <w:position w:val="22"/>
          <w:sz w:val="2"/>
        </w:rPr>
        <w:t> </w:t>
      </w:r>
      <w:r>
        <w:rPr>
          <w:spacing w:val="70"/>
          <w:position w:val="22"/>
          <w:sz w:val="20"/>
        </w:rPr>
        <w:pict>
          <v:group style="width:7.2pt;height:.85pt;mso-position-horizontal-relative:char;mso-position-vertical-relative:line" coordorigin="0,0" coordsize="144,17">
            <v:rect style="position:absolute;left:0;top:0;width:144;height:17" filled="true" fillcolor="#000000" stroked="false">
              <v:fill type="solid"/>
            </v:rect>
          </v:group>
        </w:pict>
      </w:r>
      <w:r>
        <w:rPr>
          <w:spacing w:val="70"/>
          <w:position w:val="22"/>
          <w:sz w:val="20"/>
        </w:rPr>
      </w:r>
      <w:r>
        <w:rPr>
          <w:spacing w:val="70"/>
          <w:position w:val="22"/>
          <w:sz w:val="2"/>
        </w:rPr>
        <w:t> </w:t>
      </w:r>
      <w:r>
        <w:rPr>
          <w:spacing w:val="70"/>
          <w:position w:val="22"/>
          <w:sz w:val="20"/>
        </w:rPr>
        <w:pict>
          <v:group style="width:7.2pt;height:.85pt;mso-position-horizontal-relative:char;mso-position-vertical-relative:line" coordorigin="0,0" coordsize="144,17">
            <v:rect style="position:absolute;left:0;top:0;width:144;height:17" filled="true" fillcolor="#000000" stroked="false">
              <v:fill type="solid"/>
            </v:rect>
          </v:group>
        </w:pict>
      </w:r>
      <w:r>
        <w:rPr>
          <w:spacing w:val="70"/>
          <w:position w:val="22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3015107</wp:posOffset>
            </wp:positionH>
            <wp:positionV relativeFrom="paragraph">
              <wp:posOffset>201243</wp:posOffset>
            </wp:positionV>
            <wp:extent cx="77442" cy="104775"/>
            <wp:effectExtent l="0" t="0" r="0" b="0"/>
            <wp:wrapTopAndBottom/>
            <wp:docPr id="1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0.970016pt;margin-top:18.845966pt;width:7.2pt;height:3.4pt;mso-position-horizontal-relative:page;mso-position-vertical-relative:paragraph;z-index:-15698432;mso-wrap-distance-left:0;mso-wrap-distance-right:0" coordorigin="5019,377" coordsize="144,68" path="m5163,427l5019,427,5019,444,5163,444,5163,427xm5163,377l5019,377,5019,394,5163,394,5163,37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63.450012pt;margin-top:15.845977pt;width:4.8pt;height:8.2pt;mso-position-horizontal-relative:page;mso-position-vertical-relative:paragraph;z-index:-15697920;mso-wrap-distance-left:0;mso-wrap-distance-right:0" coordorigin="5269,317" coordsize="96,164" path="m5331,317l5327,317,5269,351,5274,360,5281,355,5288,353,5293,348,5298,346,5307,346,5307,348,5310,348,5310,459,5307,461,5307,463,5303,468,5295,468,5291,471,5276,471,5276,480,5365,480,5365,471,5346,471,5343,468,5339,468,5334,463,5334,461,5331,459,5331,449,5331,31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275.230011pt;margin-top:20.165947pt;width:7.2pt;height:.84003pt;mso-position-horizontal-relative:page;mso-position-vertical-relative:paragraph;z-index:-1569740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288.670013pt;margin-top:9.125977pt;width:23.05pt;height:11.9pt;mso-position-horizontal-relative:page;mso-position-vertical-relative:paragraph;z-index:-15696896;mso-wrap-distance-left:0;mso-wrap-distance-right:0" coordorigin="5773,183" coordsize="461,238">
            <v:shape style="position:absolute;left:5783;top:182;width:212;height:166" type="#_x0000_t75" stroked="false">
              <v:imagedata r:id="rId26" o:title=""/>
            </v:shape>
            <v:shape style="position:absolute;left:5773;top:403;width:461;height:17" coordorigin="5773,403" coordsize="461,17" path="m6021,403l5773,403,5773,420,6021,420,6021,403xm6234,403l6090,403,6090,420,6234,420,6234,40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rect style="position:absolute;margin-left:316.149994pt;margin-top:20.165947pt;width:7.2pt;height:.84003pt;mso-position-horizontal-relative:page;mso-position-vertical-relative:paragraph;z-index:-1569638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27.790009pt;margin-top:20.165947pt;width:7.2pt;height:.84003pt;mso-position-horizontal-relative:page;mso-position-vertical-relative:paragraph;z-index:-1569587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39.429993pt;margin-top:20.165947pt;width:7.2pt;height:.84003pt;mso-position-horizontal-relative:page;mso-position-vertical-relative:paragraph;z-index:-1569536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51.070007pt;margin-top:20.165947pt;width:7.2pt;height:.84003pt;mso-position-horizontal-relative:page;mso-position-vertical-relative:paragraph;z-index:-15694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465" w:right="1251"/>
        <w:jc w:val="both"/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3667633</wp:posOffset>
            </wp:positionH>
            <wp:positionV relativeFrom="paragraph">
              <wp:posOffset>-297394</wp:posOffset>
            </wp:positionV>
            <wp:extent cx="142736" cy="104775"/>
            <wp:effectExtent l="0" t="0" r="0" b="0"/>
            <wp:wrapNone/>
            <wp:docPr id="2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2.230011pt;margin-top:-33.736870pt;width:24.55pt;height:10.6pt;mso-position-horizontal-relative:page;mso-position-vertical-relative:paragraph;z-index:15764992" coordorigin="7245,-675" coordsize="491,212">
            <v:shape style="position:absolute;left:7244;top:-675;width:260;height:212" type="#_x0000_t75" stroked="false">
              <v:imagedata r:id="rId28" o:title=""/>
            </v:shape>
            <v:rect style="position:absolute;left:7535;top:-541;width:24;height:27" filled="true" fillcolor="#000000" stroked="false">
              <v:fill type="solid"/>
            </v:rect>
            <v:shape style="position:absolute;left:7621;top:-675;width:114;height:161" type="#_x0000_t75" stroked="false">
              <v:imagedata r:id="rId29" o:title=""/>
            </v:shape>
            <w10:wrap type="none"/>
          </v:group>
        </w:pict>
      </w:r>
      <w:r>
        <w:rPr/>
        <w:t>where</w:t>
      </w:r>
      <w:r>
        <w:rPr>
          <w:i/>
        </w:rPr>
        <w:t>P </w:t>
      </w:r>
      <w:r>
        <w:rPr/>
        <w:t>is the applied pressure and </w:t>
      </w:r>
      <w:r>
        <w:rPr>
          <w:i/>
        </w:rPr>
        <w:t>C </w:t>
      </w:r>
      <w:r>
        <w:rPr/>
        <w:t>is the degree of volume reduction, </w:t>
      </w:r>
      <w:r>
        <w:rPr>
          <w:i/>
        </w:rPr>
        <w:t>ρ</w:t>
      </w:r>
      <w:r>
        <w:rPr>
          <w:i/>
          <w:vertAlign w:val="subscript"/>
        </w:rPr>
        <w:t>0</w:t>
      </w:r>
      <w:r>
        <w:rPr>
          <w:i/>
          <w:vertAlign w:val="baseline"/>
        </w:rPr>
        <w:t> </w:t>
      </w:r>
      <w:r>
        <w:rPr>
          <w:vertAlign w:val="baseline"/>
        </w:rPr>
        <w:t>is the bulk</w:t>
      </w:r>
      <w:r>
        <w:rPr>
          <w:spacing w:val="1"/>
          <w:vertAlign w:val="baseline"/>
        </w:rPr>
        <w:t> </w:t>
      </w:r>
      <w:r>
        <w:rPr>
          <w:vertAlign w:val="baseline"/>
        </w:rPr>
        <w:t>density, </w:t>
      </w:r>
      <w:r>
        <w:rPr>
          <w:i/>
          <w:vertAlign w:val="baseline"/>
        </w:rPr>
        <w:t>ρ</w:t>
      </w:r>
      <w:r>
        <w:rPr>
          <w:i/>
          <w:vertAlign w:val="subscript"/>
        </w:rPr>
        <w:t>a</w:t>
      </w:r>
      <w:r>
        <w:rPr>
          <w:i/>
          <w:vertAlign w:val="baseline"/>
        </w:rPr>
        <w:t> </w:t>
      </w:r>
      <w:r>
        <w:rPr>
          <w:vertAlign w:val="baseline"/>
        </w:rPr>
        <w:t>is the compact apparent density, „</w:t>
      </w:r>
      <w:r>
        <w:rPr>
          <w:i/>
          <w:vertAlign w:val="baseline"/>
        </w:rPr>
        <w:t>a</w:t>
      </w:r>
      <w:r>
        <w:rPr>
          <w:vertAlign w:val="baseline"/>
        </w:rPr>
        <w:t>‟ is indicative of powder compressibility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„</w:t>
      </w:r>
      <w:r>
        <w:rPr>
          <w:i/>
          <w:vertAlign w:val="baseline"/>
        </w:rPr>
        <w:t>b</w:t>
      </w:r>
      <w:r>
        <w:rPr>
          <w:vertAlign w:val="baseline"/>
        </w:rPr>
        <w:t>‟</w:t>
      </w:r>
      <w:r>
        <w:rPr>
          <w:spacing w:val="11"/>
          <w:vertAlign w:val="baseline"/>
        </w:rPr>
        <w:t> </w:t>
      </w:r>
      <w:r>
        <w:rPr>
          <w:vertAlign w:val="baseline"/>
        </w:rPr>
        <w:t>is</w:t>
      </w:r>
      <w:r>
        <w:rPr>
          <w:spacing w:val="10"/>
          <w:vertAlign w:val="baseline"/>
        </w:rPr>
        <w:t> </w:t>
      </w:r>
      <w:r>
        <w:rPr>
          <w:vertAlign w:val="baseline"/>
        </w:rPr>
        <w:t>a</w:t>
      </w:r>
      <w:r>
        <w:rPr>
          <w:spacing w:val="12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10"/>
          <w:vertAlign w:val="baseline"/>
        </w:rPr>
        <w:t> </w:t>
      </w:r>
      <w:r>
        <w:rPr>
          <w:vertAlign w:val="baseline"/>
        </w:rPr>
        <w:t>that</w:t>
      </w:r>
      <w:r>
        <w:rPr>
          <w:spacing w:val="10"/>
          <w:vertAlign w:val="baseline"/>
        </w:rPr>
        <w:t> </w:t>
      </w:r>
      <w:r>
        <w:rPr>
          <w:vertAlign w:val="baseline"/>
        </w:rPr>
        <w:t>is</w:t>
      </w:r>
      <w:r>
        <w:rPr>
          <w:spacing w:val="11"/>
          <w:vertAlign w:val="baseline"/>
        </w:rPr>
        <w:t> </w:t>
      </w:r>
      <w:r>
        <w:rPr>
          <w:vertAlign w:val="baseline"/>
        </w:rPr>
        <w:t>inversely</w:t>
      </w:r>
      <w:r>
        <w:rPr>
          <w:spacing w:val="7"/>
          <w:vertAlign w:val="baseline"/>
        </w:rPr>
        <w:t> </w:t>
      </w:r>
      <w:r>
        <w:rPr>
          <w:vertAlign w:val="baseline"/>
        </w:rPr>
        <w:t>related</w:t>
      </w:r>
      <w:r>
        <w:rPr>
          <w:spacing w:val="10"/>
          <w:vertAlign w:val="baseline"/>
        </w:rPr>
        <w:t> </w:t>
      </w:r>
      <w:r>
        <w:rPr>
          <w:vertAlign w:val="baseline"/>
        </w:rPr>
        <w:t>to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yield</w:t>
      </w:r>
      <w:r>
        <w:rPr>
          <w:spacing w:val="10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particles.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9"/>
          <w:vertAlign w:val="baseline"/>
        </w:rPr>
        <w:t> </w:t>
      </w:r>
      <w:r>
        <w:rPr>
          <w:vertAlign w:val="baseline"/>
        </w:rPr>
        <w:t>plot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4"/>
        <w:jc w:val="both"/>
      </w:pPr>
      <w:r>
        <w:rPr/>
        <w:t>of</w:t>
      </w:r>
      <w:r>
        <w:rPr>
          <w:spacing w:val="1"/>
        </w:rPr>
        <w:t> </w:t>
      </w:r>
      <w:r>
        <w:rPr>
          <w:i/>
        </w:rPr>
        <w:t>P</w:t>
      </w:r>
      <w:r>
        <w:rPr/>
        <w:t>/</w:t>
      </w:r>
      <w:r>
        <w:rPr>
          <w:i/>
        </w:rPr>
        <w:t>C </w:t>
      </w:r>
      <w:r>
        <w:rPr/>
        <w:t>vs </w:t>
      </w:r>
      <w:r>
        <w:rPr>
          <w:i/>
        </w:rPr>
        <w:t>P </w:t>
      </w:r>
      <w:r>
        <w:rPr/>
        <w:t>gives a straight line. The constants „</w:t>
      </w:r>
      <w:r>
        <w:rPr>
          <w:i/>
        </w:rPr>
        <w:t>a</w:t>
      </w:r>
      <w:r>
        <w:rPr/>
        <w:t>‟ and „</w:t>
      </w:r>
      <w:r>
        <w:rPr>
          <w:i/>
        </w:rPr>
        <w:t>b</w:t>
      </w:r>
      <w:r>
        <w:rPr/>
        <w:t>‟ can be determined from the</w:t>
      </w:r>
      <w:r>
        <w:rPr>
          <w:spacing w:val="1"/>
        </w:rPr>
        <w:t> </w:t>
      </w:r>
      <w:r>
        <w:rPr/>
        <w:t>slope and intercept, respectively. This equation is applicable for soft fluffy powders, and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best used for</w:t>
      </w:r>
      <w:r>
        <w:rPr>
          <w:spacing w:val="-2"/>
        </w:rPr>
        <w:t> </w:t>
      </w:r>
      <w:r>
        <w:rPr/>
        <w:t>low pressures and</w:t>
      </w:r>
      <w:r>
        <w:rPr>
          <w:spacing w:val="-1"/>
        </w:rPr>
        <w:t> </w:t>
      </w:r>
      <w:r>
        <w:rPr/>
        <w:t>high porosity</w:t>
      </w:r>
      <w:r>
        <w:rPr>
          <w:spacing w:val="-5"/>
        </w:rPr>
        <w:t> </w:t>
      </w:r>
      <w:r>
        <w:rPr/>
        <w:t>situations.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1"/>
          <w:numId w:val="10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bookmarkStart w:name="_TOC_250088" w:id="18"/>
      <w:r>
        <w:rPr/>
        <w:t>Tableting</w:t>
      </w:r>
      <w:r>
        <w:rPr>
          <w:spacing w:val="-2"/>
        </w:rPr>
        <w:t> </w:t>
      </w:r>
      <w:bookmarkEnd w:id="18"/>
      <w:r>
        <w:rPr/>
        <w:t>Methods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2"/>
        <w:jc w:val="both"/>
      </w:pPr>
      <w:r>
        <w:rPr/>
        <w:t>Tablets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granulation,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granulation</w:t>
      </w:r>
      <w:r>
        <w:rPr>
          <w:spacing w:val="-1"/>
        </w:rPr>
        <w:t> </w:t>
      </w:r>
      <w:r>
        <w:rPr/>
        <w:t>and direct compression.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10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bookmarkStart w:name="_TOC_250087" w:id="19"/>
      <w:r>
        <w:rPr/>
        <w:t>Wet</w:t>
      </w:r>
      <w:r>
        <w:rPr>
          <w:spacing w:val="-2"/>
        </w:rPr>
        <w:t> </w:t>
      </w:r>
      <w:bookmarkEnd w:id="19"/>
      <w:r>
        <w:rPr/>
        <w:t>granulation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5" w:right="1250"/>
        <w:jc w:val="both"/>
      </w:pPr>
      <w:r>
        <w:rPr/>
        <w:t>Wet</w:t>
      </w:r>
      <w:r>
        <w:rPr>
          <w:spacing w:val="1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massing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blend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(API)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granulator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screening</w:t>
      </w:r>
      <w:r>
        <w:rPr>
          <w:spacing w:val="30"/>
        </w:rPr>
        <w:t> </w:t>
      </w:r>
      <w:r>
        <w:rPr/>
        <w:t>and</w:t>
      </w:r>
      <w:r>
        <w:rPr>
          <w:spacing w:val="33"/>
        </w:rPr>
        <w:t> </w:t>
      </w:r>
      <w:r>
        <w:rPr/>
        <w:t>finally</w:t>
      </w:r>
      <w:r>
        <w:rPr>
          <w:spacing w:val="25"/>
        </w:rPr>
        <w:t> </w:t>
      </w:r>
      <w:r>
        <w:rPr/>
        <w:t>drying(Martinello</w:t>
      </w:r>
      <w:r>
        <w:rPr>
          <w:i/>
        </w:rPr>
        <w:t>et</w:t>
      </w:r>
      <w:r>
        <w:rPr>
          <w:i/>
          <w:spacing w:val="33"/>
        </w:rPr>
        <w:t> </w:t>
      </w:r>
      <w:r>
        <w:rPr>
          <w:i/>
        </w:rPr>
        <w:t>al.</w:t>
      </w:r>
      <w:r>
        <w:rPr/>
        <w:t>,</w:t>
      </w:r>
      <w:r>
        <w:rPr>
          <w:spacing w:val="32"/>
        </w:rPr>
        <w:t> </w:t>
      </w:r>
      <w:r>
        <w:rPr/>
        <w:t>2006).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most</w:t>
      </w:r>
      <w:r>
        <w:rPr>
          <w:spacing w:val="34"/>
        </w:rPr>
        <w:t> </w:t>
      </w:r>
      <w:r>
        <w:rPr/>
        <w:t>commonly</w:t>
      </w:r>
      <w:r>
        <w:rPr>
          <w:spacing w:val="29"/>
        </w:rPr>
        <w:t> </w:t>
      </w:r>
      <w:r>
        <w:rPr/>
        <w:t>used</w:t>
      </w:r>
      <w:r>
        <w:rPr>
          <w:spacing w:val="32"/>
        </w:rPr>
        <w:t> </w:t>
      </w:r>
      <w:r>
        <w:rPr/>
        <w:t>liquid</w:t>
      </w:r>
      <w:r>
        <w:rPr>
          <w:spacing w:val="-58"/>
        </w:rPr>
        <w:t> </w:t>
      </w:r>
      <w:r>
        <w:rPr/>
        <w:t>for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non-aqueous</w:t>
      </w:r>
      <w:r>
        <w:rPr>
          <w:spacing w:val="1"/>
        </w:rPr>
        <w:t> </w:t>
      </w:r>
      <w:r>
        <w:rPr/>
        <w:t>solvents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isopropyl alcohol may be used when water is unsuitable. While water is extremely</w:t>
      </w:r>
      <w:r>
        <w:rPr>
          <w:spacing w:val="1"/>
        </w:rPr>
        <w:t> </w:t>
      </w:r>
      <w:r>
        <w:rPr/>
        <w:t>economical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environmentally</w:t>
      </w:r>
      <w:r>
        <w:rPr>
          <w:spacing w:val="1"/>
        </w:rPr>
        <w:t> </w:t>
      </w:r>
      <w:r>
        <w:rPr/>
        <w:t>friendly,</w:t>
      </w:r>
      <w:r>
        <w:rPr>
          <w:spacing w:val="1"/>
        </w:rPr>
        <w:t> </w:t>
      </w:r>
      <w:r>
        <w:rPr/>
        <w:t>wet-granulation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intensive</w:t>
      </w:r>
      <w:r>
        <w:rPr>
          <w:spacing w:val="-1"/>
        </w:rPr>
        <w:t> </w:t>
      </w:r>
      <w:r>
        <w:rPr/>
        <w:t>and process times are</w:t>
      </w:r>
      <w:r>
        <w:rPr>
          <w:spacing w:val="-1"/>
        </w:rPr>
        <w:t> </w:t>
      </w:r>
      <w:r>
        <w:rPr/>
        <w:t>inherently</w:t>
      </w:r>
      <w:r>
        <w:rPr>
          <w:spacing w:val="-5"/>
        </w:rPr>
        <w:t> </w:t>
      </w:r>
      <w:r>
        <w:rPr/>
        <w:t>long</w:t>
      </w:r>
      <w:r>
        <w:rPr>
          <w:spacing w:val="-3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wetting and drying</w:t>
      </w:r>
      <w:r>
        <w:rPr>
          <w:spacing w:val="-3"/>
        </w:rPr>
        <w:t> </w:t>
      </w:r>
      <w:r>
        <w:rPr/>
        <w:t>stages.</w:t>
      </w:r>
    </w:p>
    <w:p>
      <w:pPr>
        <w:pStyle w:val="BodyText"/>
        <w:spacing w:line="480" w:lineRule="auto" w:before="121"/>
        <w:ind w:left="465" w:right="1250"/>
        <w:jc w:val="both"/>
      </w:pPr>
      <w:r>
        <w:rPr/>
        <w:t>Wet</w:t>
      </w:r>
      <w:r>
        <w:rPr>
          <w:spacing w:val="1"/>
        </w:rPr>
        <w:t> </w:t>
      </w:r>
      <w:r>
        <w:rPr/>
        <w:t>granulation,</w:t>
      </w:r>
      <w:r>
        <w:rPr>
          <w:spacing w:val="1"/>
        </w:rPr>
        <w:t> </w:t>
      </w:r>
      <w:r>
        <w:rPr/>
        <w:t>encompassing</w:t>
      </w:r>
      <w:r>
        <w:rPr>
          <w:spacing w:val="1"/>
        </w:rPr>
        <w:t> </w:t>
      </w:r>
      <w:r>
        <w:rPr/>
        <w:t>low-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high-shear</w:t>
      </w:r>
      <w:r>
        <w:rPr>
          <w:spacing w:val="1"/>
        </w:rPr>
        <w:t> </w:t>
      </w:r>
      <w:r>
        <w:rPr/>
        <w:t>mixing,</w:t>
      </w:r>
      <w:r>
        <w:rPr>
          <w:spacing w:val="1"/>
        </w:rPr>
        <w:t> </w:t>
      </w:r>
      <w:r>
        <w:rPr/>
        <w:t>fluid-bed</w:t>
      </w:r>
      <w:r>
        <w:rPr>
          <w:spacing w:val="61"/>
        </w:rPr>
        <w:t> </w:t>
      </w:r>
      <w:r>
        <w:rPr/>
        <w:t>mixing</w:t>
      </w:r>
      <w:r>
        <w:rPr>
          <w:spacing w:val="1"/>
        </w:rPr>
        <w:t> </w:t>
      </w:r>
      <w:r>
        <w:rPr/>
        <w:t>(spraying) and wet-mass extrusion, is an extremely versatile technique that has several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uniformity for highly potent drugs (low-dose APIs) and production of granules with</w:t>
      </w:r>
      <w:r>
        <w:rPr>
          <w:spacing w:val="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bulk density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compactibility</w:t>
      </w:r>
      <w:r>
        <w:rPr>
          <w:spacing w:val="-5"/>
        </w:rPr>
        <w:t> </w:t>
      </w:r>
      <w:r>
        <w:rPr/>
        <w:t>(high-</w:t>
      </w:r>
      <w:r>
        <w:rPr>
          <w:spacing w:val="-1"/>
        </w:rPr>
        <w:t> </w:t>
      </w:r>
      <w:r>
        <w:rPr/>
        <w:t>and low-dose</w:t>
      </w:r>
      <w:r>
        <w:rPr>
          <w:spacing w:val="-1"/>
        </w:rPr>
        <w:t> </w:t>
      </w:r>
      <w:r>
        <w:rPr/>
        <w:t>APIs).</w:t>
      </w:r>
    </w:p>
    <w:p>
      <w:pPr>
        <w:pStyle w:val="BodyText"/>
        <w:spacing w:before="1"/>
        <w:rPr>
          <w:sz w:val="21"/>
        </w:rPr>
      </w:pPr>
    </w:p>
    <w:p>
      <w:pPr>
        <w:pStyle w:val="Heading3"/>
        <w:numPr>
          <w:ilvl w:val="2"/>
          <w:numId w:val="10"/>
        </w:numPr>
        <w:tabs>
          <w:tab w:pos="1186" w:val="left" w:leader="none"/>
        </w:tabs>
        <w:spacing w:line="240" w:lineRule="auto" w:before="1" w:after="0"/>
        <w:ind w:left="1185" w:right="0" w:hanging="721"/>
        <w:jc w:val="both"/>
      </w:pPr>
      <w:bookmarkStart w:name="_TOC_250086" w:id="20"/>
      <w:r>
        <w:rPr/>
        <w:t>Dry</w:t>
      </w:r>
      <w:r>
        <w:rPr>
          <w:spacing w:val="-2"/>
        </w:rPr>
        <w:t> </w:t>
      </w:r>
      <w:bookmarkEnd w:id="20"/>
      <w:r>
        <w:rPr/>
        <w:t>granulation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5" w:right="1253"/>
        <w:jc w:val="both"/>
      </w:pPr>
      <w:r>
        <w:rPr/>
        <w:t>Dry</w:t>
      </w:r>
      <w:r>
        <w:rPr>
          <w:spacing w:val="19"/>
        </w:rPr>
        <w:t> </w:t>
      </w:r>
      <w:r>
        <w:rPr/>
        <w:t>granulation</w:t>
      </w:r>
      <w:r>
        <w:rPr>
          <w:spacing w:val="25"/>
        </w:rPr>
        <w:t> </w:t>
      </w:r>
      <w:r>
        <w:rPr/>
        <w:t>typically</w:t>
      </w:r>
      <w:r>
        <w:rPr>
          <w:spacing w:val="20"/>
        </w:rPr>
        <w:t> </w:t>
      </w:r>
      <w:r>
        <w:rPr/>
        <w:t>involves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compaction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powder</w:t>
      </w:r>
      <w:r>
        <w:rPr>
          <w:spacing w:val="24"/>
        </w:rPr>
        <w:t> </w:t>
      </w:r>
      <w:r>
        <w:rPr/>
        <w:t>blends</w:t>
      </w:r>
      <w:r>
        <w:rPr>
          <w:spacing w:val="24"/>
        </w:rPr>
        <w:t> </w:t>
      </w:r>
      <w:r>
        <w:rPr/>
        <w:t>through</w:t>
      </w:r>
      <w:r>
        <w:rPr>
          <w:spacing w:val="25"/>
        </w:rPr>
        <w:t> </w:t>
      </w:r>
      <w:r>
        <w:rPr/>
        <w:t>slugging</w:t>
      </w:r>
      <w:r>
        <w:rPr>
          <w:spacing w:val="-58"/>
        </w:rPr>
        <w:t> </w:t>
      </w:r>
      <w:r>
        <w:rPr/>
        <w:t>or roller compaction. Slugging involves the manufacture of a large compressed tablet</w:t>
      </w:r>
      <w:r>
        <w:rPr>
          <w:spacing w:val="1"/>
        </w:rPr>
        <w:t> </w:t>
      </w:r>
      <w:r>
        <w:rPr/>
        <w:t>whereas</w:t>
      </w:r>
      <w:r>
        <w:rPr>
          <w:spacing w:val="42"/>
        </w:rPr>
        <w:t> </w:t>
      </w:r>
      <w:r>
        <w:rPr/>
        <w:t>roller</w:t>
      </w:r>
      <w:r>
        <w:rPr>
          <w:spacing w:val="44"/>
        </w:rPr>
        <w:t> </w:t>
      </w:r>
      <w:r>
        <w:rPr/>
        <w:t>compaction</w:t>
      </w:r>
      <w:r>
        <w:rPr>
          <w:spacing w:val="42"/>
        </w:rPr>
        <w:t> </w:t>
      </w:r>
      <w:r>
        <w:rPr/>
        <w:t>pushes</w:t>
      </w:r>
      <w:r>
        <w:rPr>
          <w:spacing w:val="46"/>
        </w:rPr>
        <w:t> </w:t>
      </w:r>
      <w:r>
        <w:rPr/>
        <w:t>powder</w:t>
      </w:r>
      <w:r>
        <w:rPr>
          <w:spacing w:val="43"/>
        </w:rPr>
        <w:t> </w:t>
      </w:r>
      <w:r>
        <w:rPr/>
        <w:t>blends</w:t>
      </w:r>
      <w:r>
        <w:rPr>
          <w:spacing w:val="43"/>
        </w:rPr>
        <w:t> </w:t>
      </w:r>
      <w:r>
        <w:rPr/>
        <w:t>through</w:t>
      </w:r>
      <w:r>
        <w:rPr>
          <w:spacing w:val="42"/>
        </w:rPr>
        <w:t> </w:t>
      </w:r>
      <w:r>
        <w:rPr/>
        <w:t>two</w:t>
      </w:r>
      <w:r>
        <w:rPr>
          <w:spacing w:val="45"/>
        </w:rPr>
        <w:t> </w:t>
      </w:r>
      <w:r>
        <w:rPr/>
        <w:t>counter-rotating</w:t>
      </w:r>
      <w:r>
        <w:rPr>
          <w:spacing w:val="41"/>
        </w:rPr>
        <w:t> </w:t>
      </w:r>
      <w:r>
        <w:rPr/>
        <w:t>rolls,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3"/>
        <w:jc w:val="both"/>
      </w:pPr>
      <w:r>
        <w:rPr/>
        <w:t>producing a sheet of agglomerated material. In both cases, the formed solid compact is</w:t>
      </w:r>
      <w:r>
        <w:rPr>
          <w:spacing w:val="1"/>
        </w:rPr>
        <w:t> </w:t>
      </w:r>
      <w:r>
        <w:rPr/>
        <w:t>milled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filling.Dry granulation is a suitable alternative to wet granulation particularly when the</w:t>
      </w:r>
      <w:r>
        <w:rPr>
          <w:spacing w:val="1"/>
        </w:rPr>
        <w:t> </w:t>
      </w:r>
      <w:r>
        <w:rPr/>
        <w:t>API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water/moisture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non-ambient</w:t>
      </w:r>
      <w:r>
        <w:rPr>
          <w:spacing w:val="1"/>
        </w:rPr>
        <w:t> </w:t>
      </w:r>
      <w:r>
        <w:rPr/>
        <w:t>temperatures,</w:t>
      </w:r>
      <w:r>
        <w:rPr>
          <w:spacing w:val="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that are</w:t>
      </w:r>
      <w:r>
        <w:rPr>
          <w:spacing w:val="-1"/>
        </w:rPr>
        <w:t> </w:t>
      </w:r>
      <w:r>
        <w:rPr/>
        <w:t>typical for</w:t>
      </w:r>
      <w:r>
        <w:rPr>
          <w:spacing w:val="-1"/>
        </w:rPr>
        <w:t> </w:t>
      </w:r>
      <w:r>
        <w:rPr/>
        <w:t>wet</w:t>
      </w:r>
      <w:r>
        <w:rPr>
          <w:spacing w:val="2"/>
        </w:rPr>
        <w:t> </w:t>
      </w:r>
      <w:r>
        <w:rPr/>
        <w:t>granulation.</w:t>
      </w:r>
    </w:p>
    <w:p>
      <w:pPr>
        <w:pStyle w:val="BodyText"/>
        <w:spacing w:line="480" w:lineRule="auto" w:before="120"/>
        <w:ind w:left="465" w:right="1253"/>
        <w:jc w:val="both"/>
      </w:pPr>
      <w:r>
        <w:rPr/>
        <w:t>Interestingly, dry granulation processes produce granules with an extremely high bulk</w:t>
      </w:r>
      <w:r>
        <w:rPr>
          <w:spacing w:val="1"/>
        </w:rPr>
        <w:t> </w:t>
      </w:r>
      <w:r>
        <w:rPr/>
        <w:t>density and low intra-granular porosity in comparison with granules produced using</w:t>
      </w:r>
      <w:r>
        <w:rPr>
          <w:spacing w:val="1"/>
        </w:rPr>
        <w:t> </w:t>
      </w:r>
      <w:r>
        <w:rPr/>
        <w:t>alternative techniques(Patel</w:t>
      </w:r>
      <w:r>
        <w:rPr>
          <w:i/>
        </w:rPr>
        <w:t>et al.</w:t>
      </w:r>
      <w:r>
        <w:rPr/>
        <w:t>, 2008). Furthermore, dry-granulated materials exhibit</w:t>
      </w:r>
      <w:r>
        <w:rPr>
          <w:spacing w:val="1"/>
        </w:rPr>
        <w:t> </w:t>
      </w:r>
      <w:r>
        <w:rPr/>
        <w:t>better gravimetric flowability; however, the high-density granules produced using this</w:t>
      </w:r>
      <w:r>
        <w:rPr>
          <w:spacing w:val="1"/>
        </w:rPr>
        <w:t> </w:t>
      </w:r>
      <w:r>
        <w:rPr/>
        <w:t>process have been shown to suffer from loss of tabletability, due to the significant</w:t>
      </w:r>
      <w:r>
        <w:rPr>
          <w:spacing w:val="1"/>
        </w:rPr>
        <w:t> </w:t>
      </w:r>
      <w:r>
        <w:rPr/>
        <w:t>number of particle defects and loss of plasticity introduced during processing. This is</w:t>
      </w:r>
      <w:r>
        <w:rPr>
          <w:spacing w:val="1"/>
        </w:rPr>
        <w:t> </w:t>
      </w:r>
      <w:r>
        <w:rPr/>
        <w:t>extremely</w:t>
      </w:r>
      <w:r>
        <w:rPr>
          <w:spacing w:val="13"/>
        </w:rPr>
        <w:t> </w:t>
      </w:r>
      <w:r>
        <w:rPr/>
        <w:t>important,</w:t>
      </w:r>
      <w:r>
        <w:rPr>
          <w:spacing w:val="19"/>
        </w:rPr>
        <w:t> </w:t>
      </w:r>
      <w:r>
        <w:rPr/>
        <w:t>as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quality</w:t>
      </w:r>
      <w:r>
        <w:rPr>
          <w:spacing w:val="13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final</w:t>
      </w:r>
      <w:r>
        <w:rPr>
          <w:spacing w:val="18"/>
        </w:rPr>
        <w:t> </w:t>
      </w:r>
      <w:r>
        <w:rPr/>
        <w:t>dosage</w:t>
      </w:r>
      <w:r>
        <w:rPr>
          <w:spacing w:val="17"/>
        </w:rPr>
        <w:t> </w:t>
      </w:r>
      <w:r>
        <w:rPr/>
        <w:t>form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significantly</w:t>
      </w:r>
      <w:r>
        <w:rPr>
          <w:spacing w:val="13"/>
        </w:rPr>
        <w:t> </w:t>
      </w:r>
      <w:r>
        <w:rPr/>
        <w:t>influenced</w:t>
      </w:r>
      <w:r>
        <w:rPr>
          <w:spacing w:val="-57"/>
        </w:rPr>
        <w:t> </w:t>
      </w:r>
      <w:r>
        <w:rPr/>
        <w:t>by the compaction properties of the granular material(Joiris</w:t>
      </w:r>
      <w:r>
        <w:rPr>
          <w:i/>
        </w:rPr>
        <w:t>et al</w:t>
      </w:r>
      <w:r>
        <w:rPr/>
        <w:t>., 1998). In addition to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compression,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granulation may alsoresult in high levels of dust (problematic for potent API), poor</w:t>
      </w:r>
      <w:r>
        <w:rPr>
          <w:spacing w:val="1"/>
        </w:rPr>
        <w:t> </w:t>
      </w:r>
      <w:r>
        <w:rPr/>
        <w:t>compaction</w:t>
      </w:r>
      <w:r>
        <w:rPr>
          <w:spacing w:val="-1"/>
        </w:rPr>
        <w:t> </w:t>
      </w:r>
      <w:r>
        <w:rPr/>
        <w:t>homogeneity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high levels</w:t>
      </w:r>
      <w:r>
        <w:rPr>
          <w:spacing w:val="-1"/>
        </w:rPr>
        <w:t> </w:t>
      </w:r>
      <w:r>
        <w:rPr/>
        <w:t>of adhesion to</w:t>
      </w:r>
      <w:r>
        <w:rPr>
          <w:spacing w:val="-1"/>
        </w:rPr>
        <w:t> </w:t>
      </w:r>
      <w:r>
        <w:rPr/>
        <w:t>the production</w:t>
      </w:r>
      <w:r>
        <w:rPr>
          <w:spacing w:val="-1"/>
        </w:rPr>
        <w:t> </w:t>
      </w:r>
      <w:r>
        <w:rPr/>
        <w:t>equipment.</w:t>
      </w:r>
    </w:p>
    <w:p>
      <w:pPr>
        <w:pStyle w:val="BodyText"/>
        <w:spacing w:line="480" w:lineRule="auto" w:before="122"/>
        <w:ind w:left="465" w:right="1255"/>
        <w:jc w:val="both"/>
      </w:pPr>
      <w:r>
        <w:rPr/>
        <w:t>The significant lack of process understanding of dry granulation has limited its use in</w:t>
      </w:r>
      <w:r>
        <w:rPr>
          <w:spacing w:val="1"/>
        </w:rPr>
        <w:t> </w:t>
      </w:r>
      <w:r>
        <w:rPr/>
        <w:t>tableting though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conceptually very simple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relatively cost</w:t>
      </w:r>
      <w:r>
        <w:rPr>
          <w:spacing w:val="1"/>
        </w:rPr>
        <w:t> </w:t>
      </w:r>
      <w:r>
        <w:rPr/>
        <w:t>effective.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disadvantages combined with a willingness to accept static agglomeration processes</w:t>
      </w:r>
      <w:r>
        <w:rPr>
          <w:spacing w:val="1"/>
        </w:rPr>
        <w:t> </w:t>
      </w:r>
      <w:r>
        <w:rPr/>
        <w:t>have led to wet granulation remaining the preferred and most widely accepted method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size</w:t>
      </w:r>
      <w:r>
        <w:rPr>
          <w:spacing w:val="-1"/>
        </w:rPr>
        <w:t> </w:t>
      </w:r>
      <w:r>
        <w:rPr/>
        <w:t>enlargement within the</w:t>
      </w:r>
      <w:r>
        <w:rPr>
          <w:spacing w:val="-1"/>
        </w:rPr>
        <w:t> </w:t>
      </w:r>
      <w:r>
        <w:rPr/>
        <w:t>pharmaceutical industry.</w:t>
      </w:r>
    </w:p>
    <w:p>
      <w:pPr>
        <w:pStyle w:val="BodyText"/>
        <w:spacing w:before="1"/>
        <w:rPr>
          <w:sz w:val="21"/>
        </w:rPr>
      </w:pPr>
    </w:p>
    <w:p>
      <w:pPr>
        <w:pStyle w:val="Heading3"/>
        <w:numPr>
          <w:ilvl w:val="2"/>
          <w:numId w:val="10"/>
        </w:numPr>
        <w:tabs>
          <w:tab w:pos="1186" w:val="left" w:leader="none"/>
        </w:tabs>
        <w:spacing w:line="240" w:lineRule="auto" w:before="1" w:after="0"/>
        <w:ind w:left="1185" w:right="0" w:hanging="721"/>
        <w:jc w:val="both"/>
      </w:pPr>
      <w:bookmarkStart w:name="_TOC_250085" w:id="21"/>
      <w:r>
        <w:rPr/>
        <w:t>Direct</w:t>
      </w:r>
      <w:r>
        <w:rPr>
          <w:spacing w:val="-2"/>
        </w:rPr>
        <w:t> </w:t>
      </w:r>
      <w:bookmarkEnd w:id="21"/>
      <w:r>
        <w:rPr/>
        <w:t>compression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5" w:right="1260"/>
        <w:jc w:val="both"/>
      </w:pPr>
      <w:r>
        <w:rPr/>
        <w:t>Direct compression is by far the simplest means of production of tablet dosage forms. It</w:t>
      </w:r>
      <w:r>
        <w:rPr>
          <w:spacing w:val="1"/>
        </w:rPr>
        <w:t> </w:t>
      </w:r>
      <w:r>
        <w:rPr/>
        <w:t>only</w:t>
      </w:r>
      <w:r>
        <w:rPr>
          <w:spacing w:val="58"/>
        </w:rPr>
        <w:t> </w:t>
      </w:r>
      <w:r>
        <w:rPr/>
        <w:t>requires</w:t>
      </w:r>
      <w:r>
        <w:rPr>
          <w:spacing w:val="5"/>
        </w:rPr>
        <w:t> </w:t>
      </w:r>
      <w:r>
        <w:rPr/>
        <w:t>that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drug</w:t>
      </w:r>
      <w:r>
        <w:rPr>
          <w:spacing w:val="2"/>
        </w:rPr>
        <w:t> </w:t>
      </w:r>
      <w:r>
        <w:rPr/>
        <w:t>is</w:t>
      </w:r>
      <w:r>
        <w:rPr>
          <w:spacing w:val="5"/>
        </w:rPr>
        <w:t> </w:t>
      </w:r>
      <w:r>
        <w:rPr/>
        <w:t>properly</w:t>
      </w:r>
      <w:r>
        <w:rPr>
          <w:spacing w:val="58"/>
        </w:rPr>
        <w:t> </w:t>
      </w:r>
      <w:r>
        <w:rPr/>
        <w:t>blended</w:t>
      </w:r>
      <w:r>
        <w:rPr>
          <w:spacing w:val="4"/>
        </w:rPr>
        <w:t> </w:t>
      </w:r>
      <w:r>
        <w:rPr/>
        <w:t>with</w:t>
      </w:r>
      <w:r>
        <w:rPr>
          <w:spacing w:val="5"/>
        </w:rPr>
        <w:t> </w:t>
      </w:r>
      <w:r>
        <w:rPr/>
        <w:t>appropriate</w:t>
      </w:r>
      <w:r>
        <w:rPr>
          <w:spacing w:val="6"/>
        </w:rPr>
        <w:t> </w:t>
      </w:r>
      <w:r>
        <w:rPr/>
        <w:t>excipients</w:t>
      </w:r>
      <w:r>
        <w:rPr>
          <w:spacing w:val="5"/>
        </w:rPr>
        <w:t> </w:t>
      </w:r>
      <w:r>
        <w:rPr/>
        <w:t>before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2"/>
        <w:jc w:val="both"/>
      </w:pPr>
      <w:r>
        <w:rPr/>
        <w:t>compression (Rashid </w:t>
      </w:r>
      <w:r>
        <w:rPr>
          <w:i/>
        </w:rPr>
        <w:t>et al.</w:t>
      </w:r>
      <w:r>
        <w:rPr/>
        <w:t>, 2013). This procedure involves fewer processing steps, less</w:t>
      </w:r>
      <w:r>
        <w:rPr>
          <w:spacing w:val="1"/>
        </w:rPr>
        <w:t> </w:t>
      </w:r>
      <w:r>
        <w:rPr/>
        <w:t>time and energy thereby reducing cost of production. It is also suitable to formulate heat</w:t>
      </w:r>
      <w:r>
        <w:rPr>
          <w:spacing w:val="-57"/>
        </w:rPr>
        <w:t> </w:t>
      </w:r>
      <w:r>
        <w:rPr/>
        <w:t>and/or moisture sensitive drugs (Avachat and</w:t>
      </w:r>
      <w:r>
        <w:rPr>
          <w:spacing w:val="1"/>
        </w:rPr>
        <w:t> </w:t>
      </w:r>
      <w:r>
        <w:rPr/>
        <w:t>Ahire, 2007). Changes in dissolution</w:t>
      </w:r>
      <w:r>
        <w:rPr>
          <w:spacing w:val="1"/>
        </w:rPr>
        <w:t> </w:t>
      </w:r>
      <w:r>
        <w:rPr/>
        <w:t>profiles and the possibility of microbial growth on storage are also less likely to occur in</w:t>
      </w:r>
      <w:r>
        <w:rPr>
          <w:spacing w:val="-57"/>
        </w:rPr>
        <w:t> </w:t>
      </w:r>
      <w:r>
        <w:rPr/>
        <w:t>tablets made by DC compared to those prepared by wet granulation</w:t>
      </w:r>
      <w:r>
        <w:rPr>
          <w:spacing w:val="60"/>
        </w:rPr>
        <w:t> </w:t>
      </w:r>
      <w:r>
        <w:rPr/>
        <w:t>due to the 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processing.</w:t>
      </w:r>
      <w:r>
        <w:rPr>
          <w:spacing w:val="1"/>
        </w:rPr>
        <w:t> </w:t>
      </w:r>
      <w:r>
        <w:rPr/>
        <w:t>Compacts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DC</w:t>
      </w:r>
      <w:r>
        <w:rPr>
          <w:spacing w:val="1"/>
        </w:rPr>
        <w:t> </w:t>
      </w:r>
      <w:r>
        <w:rPr/>
        <w:t>disintegrate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particles, rather than granules, and hence, can provide faster API release (Saha and</w:t>
      </w:r>
      <w:r>
        <w:rPr>
          <w:spacing w:val="1"/>
        </w:rPr>
        <w:t> </w:t>
      </w:r>
      <w:r>
        <w:rPr/>
        <w:t>Shahiwala,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spacing w:line="480" w:lineRule="auto" w:before="121"/>
        <w:ind w:left="465" w:right="1254"/>
        <w:jc w:val="both"/>
      </w:pPr>
      <w:r>
        <w:rPr/>
        <w:t>A recent report states that around 80 % of new drug application (NDA) projects utilize</w:t>
      </w:r>
      <w:r>
        <w:rPr>
          <w:spacing w:val="1"/>
        </w:rPr>
        <w:t> </w:t>
      </w:r>
      <w:r>
        <w:rPr/>
        <w:t>wet granulation. The decision is driven by timelines rather than costs, since this is the</w:t>
      </w:r>
      <w:r>
        <w:rPr>
          <w:spacing w:val="1"/>
        </w:rPr>
        <w:t> </w:t>
      </w:r>
      <w:r>
        <w:rPr/>
        <w:t>most likely process to succeed. Employing direct compression which might appear as a</w:t>
      </w:r>
      <w:r>
        <w:rPr>
          <w:spacing w:val="1"/>
        </w:rPr>
        <w:t> </w:t>
      </w:r>
      <w:r>
        <w:rPr/>
        <w:t>rapid formulation procedure may have a higher chance of failure since it might not work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poorly</w:t>
      </w:r>
      <w:r>
        <w:rPr>
          <w:spacing w:val="1"/>
        </w:rPr>
        <w:t> </w:t>
      </w:r>
      <w:r>
        <w:rPr/>
        <w:t>compressible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(McCormick, 2005). Less than 20 % of actives can be compressed directly into tablets</w:t>
      </w:r>
      <w:r>
        <w:rPr>
          <w:spacing w:val="1"/>
        </w:rPr>
        <w:t> </w:t>
      </w:r>
      <w:r>
        <w:rPr/>
        <w:t>(Harden </w:t>
      </w:r>
      <w:r>
        <w:rPr>
          <w:i/>
        </w:rPr>
        <w:t>et al., </w:t>
      </w:r>
      <w:r>
        <w:rPr/>
        <w:t>2004). For some APIs, the doses are too small to be compressed into a</w:t>
      </w:r>
      <w:r>
        <w:rPr>
          <w:spacing w:val="1"/>
        </w:rPr>
        <w:t> </w:t>
      </w:r>
      <w:r>
        <w:rPr/>
        <w:t>tablet</w:t>
      </w:r>
      <w:r>
        <w:rPr>
          <w:spacing w:val="-1"/>
        </w:rPr>
        <w:t> </w:t>
      </w:r>
      <w:r>
        <w:rPr/>
        <w:t>directly</w:t>
      </w:r>
      <w:r>
        <w:rPr>
          <w:spacing w:val="-5"/>
        </w:rPr>
        <w:t> </w:t>
      </w:r>
      <w:r>
        <w:rPr/>
        <w:t>without needing a</w:t>
      </w:r>
      <w:r>
        <w:rPr>
          <w:spacing w:val="-1"/>
        </w:rPr>
        <w:t> </w:t>
      </w:r>
      <w:r>
        <w:rPr/>
        <w:t>bulking</w:t>
      </w:r>
      <w:r>
        <w:rPr>
          <w:spacing w:val="2"/>
        </w:rPr>
        <w:t> </w:t>
      </w:r>
      <w:r>
        <w:rPr/>
        <w:t>agent, i.e. folic</w:t>
      </w:r>
      <w:r>
        <w:rPr>
          <w:spacing w:val="-2"/>
        </w:rPr>
        <w:t> </w:t>
      </w:r>
      <w:r>
        <w:rPr/>
        <w:t>acid (5 mg).</w:t>
      </w:r>
    </w:p>
    <w:p>
      <w:pPr>
        <w:pStyle w:val="BodyText"/>
        <w:spacing w:line="480" w:lineRule="auto" w:before="121"/>
        <w:ind w:left="465" w:right="1254"/>
        <w:jc w:val="both"/>
      </w:pPr>
      <w:r>
        <w:rPr/>
        <w:t>Although simple in terms of unit processes involved, the direct compression process is</w:t>
      </w:r>
      <w:r>
        <w:rPr>
          <w:spacing w:val="1"/>
        </w:rPr>
        <w:t> </w:t>
      </w:r>
      <w:r>
        <w:rPr/>
        <w:t>greatly influenced by the characteristics of the powder blend (Rojas</w:t>
      </w:r>
      <w:r>
        <w:rPr>
          <w:i/>
        </w:rPr>
        <w:t>et al.</w:t>
      </w:r>
      <w:r>
        <w:rPr/>
        <w:t>, 2013). The</w:t>
      </w:r>
      <w:r>
        <w:rPr>
          <w:spacing w:val="1"/>
        </w:rPr>
        <w:t> </w:t>
      </w:r>
      <w:r>
        <w:rPr/>
        <w:t>physico-mechanical properties of excipients required for a smooth DC process include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flowability,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sensitivity,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lubricant</w:t>
      </w:r>
      <w:r>
        <w:rPr>
          <w:spacing w:val="1"/>
        </w:rPr>
        <w:t> </w:t>
      </w:r>
      <w:r>
        <w:rPr/>
        <w:t>sensitivity,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compressibility,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dilution</w:t>
      </w:r>
      <w:r>
        <w:rPr>
          <w:spacing w:val="1"/>
        </w:rPr>
        <w:t> </w:t>
      </w:r>
      <w:r>
        <w:rPr/>
        <w:t>potential,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adaptability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high-speed</w:t>
      </w:r>
      <w:r>
        <w:rPr>
          <w:spacing w:val="1"/>
        </w:rPr>
        <w:t> </w:t>
      </w:r>
      <w:r>
        <w:rPr/>
        <w:t>tableting</w:t>
      </w:r>
      <w:r>
        <w:rPr>
          <w:spacing w:val="-4"/>
        </w:rPr>
        <w:t> </w:t>
      </w:r>
      <w:r>
        <w:rPr/>
        <w:t>machines (</w:t>
      </w:r>
      <w:r>
        <w:rPr>
          <w:spacing w:val="-1"/>
        </w:rPr>
        <w:t> </w:t>
      </w:r>
      <w:r>
        <w:rPr/>
        <w:t>Saha</w:t>
      </w:r>
      <w:r>
        <w:rPr>
          <w:spacing w:val="-1"/>
        </w:rPr>
        <w:t> </w:t>
      </w:r>
      <w:r>
        <w:rPr/>
        <w:t>and Shahiwala, 2009).</w:t>
      </w:r>
    </w:p>
    <w:p>
      <w:pPr>
        <w:pStyle w:val="BodyText"/>
        <w:spacing w:line="480" w:lineRule="auto" w:before="118"/>
        <w:ind w:left="465" w:right="1252"/>
        <w:jc w:val="both"/>
      </w:pPr>
      <w:r>
        <w:rPr/>
        <w:t>The choice of the excipient grade can be a challenge in DC. Selecting an improper grade</w:t>
      </w:r>
      <w:r>
        <w:rPr>
          <w:spacing w:val="-57"/>
        </w:rPr>
        <w:t> </w:t>
      </w:r>
      <w:r>
        <w:rPr/>
        <w:t>of an excipient could lead to segregation and greater lubricant sensitivity (Almaya and</w:t>
      </w:r>
      <w:r>
        <w:rPr>
          <w:spacing w:val="1"/>
        </w:rPr>
        <w:t> </w:t>
      </w:r>
      <w:r>
        <w:rPr/>
        <w:t>Aburub,</w:t>
      </w:r>
      <w:r>
        <w:rPr>
          <w:spacing w:val="9"/>
        </w:rPr>
        <w:t> </w:t>
      </w:r>
      <w:r>
        <w:rPr/>
        <w:t>2008).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example,</w:t>
      </w:r>
      <w:r>
        <w:rPr>
          <w:spacing w:val="9"/>
        </w:rPr>
        <w:t> </w:t>
      </w:r>
      <w:r>
        <w:rPr/>
        <w:t>Avicel</w:t>
      </w:r>
      <w:r>
        <w:rPr>
          <w:vertAlign w:val="superscript"/>
        </w:rPr>
        <w:t>®</w:t>
      </w:r>
      <w:r>
        <w:rPr>
          <w:spacing w:val="7"/>
          <w:vertAlign w:val="baseline"/>
        </w:rPr>
        <w:t> </w:t>
      </w:r>
      <w:r>
        <w:rPr>
          <w:vertAlign w:val="baseline"/>
        </w:rPr>
        <w:t>PH-200</w:t>
      </w:r>
      <w:r>
        <w:rPr>
          <w:spacing w:val="11"/>
          <w:vertAlign w:val="baseline"/>
        </w:rPr>
        <w:t> </w:t>
      </w:r>
      <w:r>
        <w:rPr>
          <w:vertAlign w:val="baseline"/>
        </w:rPr>
        <w:t>(180</w:t>
      </w:r>
      <w:r>
        <w:rPr>
          <w:spacing w:val="8"/>
          <w:vertAlign w:val="baseline"/>
        </w:rPr>
        <w:t> </w:t>
      </w:r>
      <w:r>
        <w:rPr>
          <w:vertAlign w:val="baseline"/>
        </w:rPr>
        <w:t>µm)</w:t>
      </w:r>
      <w:r>
        <w:rPr>
          <w:spacing w:val="9"/>
          <w:vertAlign w:val="baseline"/>
        </w:rPr>
        <w:t> </w:t>
      </w:r>
      <w:r>
        <w:rPr>
          <w:vertAlign w:val="baseline"/>
        </w:rPr>
        <w:t>is</w:t>
      </w:r>
      <w:r>
        <w:rPr>
          <w:spacing w:val="10"/>
          <w:vertAlign w:val="baseline"/>
        </w:rPr>
        <w:t> </w:t>
      </w:r>
      <w:r>
        <w:rPr>
          <w:vertAlign w:val="baseline"/>
        </w:rPr>
        <w:t>more</w:t>
      </w:r>
      <w:r>
        <w:rPr>
          <w:spacing w:val="8"/>
          <w:vertAlign w:val="baseline"/>
        </w:rPr>
        <w:t> </w:t>
      </w:r>
      <w:r>
        <w:rPr>
          <w:vertAlign w:val="baseline"/>
        </w:rPr>
        <w:t>sensitive</w:t>
      </w:r>
      <w:r>
        <w:rPr>
          <w:spacing w:val="8"/>
          <w:vertAlign w:val="baseline"/>
        </w:rPr>
        <w:t> </w:t>
      </w:r>
      <w:r>
        <w:rPr>
          <w:vertAlign w:val="baseline"/>
        </w:rPr>
        <w:t>to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112"/>
        <w:ind w:left="465" w:right="1251"/>
        <w:jc w:val="both"/>
      </w:pPr>
      <w:r>
        <w:rPr/>
        <w:t>addition of magnesium stearate than Avicel</w:t>
      </w:r>
      <w:r>
        <w:rPr>
          <w:vertAlign w:val="superscript"/>
        </w:rPr>
        <w:t>®</w:t>
      </w:r>
      <w:r>
        <w:rPr>
          <w:vertAlign w:val="baseline"/>
        </w:rPr>
        <w:t> PH-101 (50 µm) and Avicel</w:t>
      </w:r>
      <w:r>
        <w:rPr>
          <w:vertAlign w:val="superscript"/>
        </w:rPr>
        <w:t>®</w:t>
      </w:r>
      <w:r>
        <w:rPr>
          <w:vertAlign w:val="baseline"/>
        </w:rPr>
        <w:t> PH-102 (100</w:t>
      </w:r>
      <w:r>
        <w:rPr>
          <w:spacing w:val="-57"/>
          <w:vertAlign w:val="baseline"/>
        </w:rPr>
        <w:t> </w:t>
      </w:r>
      <w:r>
        <w:rPr>
          <w:vertAlign w:val="baseline"/>
        </w:rPr>
        <w:t>µm)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regularly-shaped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particles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easily</w:t>
      </w:r>
      <w:r>
        <w:rPr>
          <w:spacing w:val="1"/>
          <w:vertAlign w:val="baseline"/>
        </w:rPr>
        <w:t> </w:t>
      </w:r>
      <w:r>
        <w:rPr>
          <w:vertAlign w:val="baseline"/>
        </w:rPr>
        <w:t>covered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magnesium stearate leading to less particle bonding (Camargo, 2011). In addition, wide</w:t>
      </w:r>
      <w:r>
        <w:rPr>
          <w:spacing w:val="1"/>
          <w:vertAlign w:val="baseline"/>
        </w:rPr>
        <w:t> </w:t>
      </w:r>
      <w:r>
        <w:rPr>
          <w:vertAlign w:val="baseline"/>
        </w:rPr>
        <w:t>variations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excipients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APIs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</w:t>
      </w:r>
      <w:r>
        <w:rPr>
          <w:spacing w:val="1"/>
          <w:vertAlign w:val="baseline"/>
        </w:rPr>
        <w:t> </w:t>
      </w:r>
      <w:r>
        <w:rPr>
          <w:vertAlign w:val="baseline"/>
        </w:rPr>
        <w:t>shape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size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1"/>
          <w:vertAlign w:val="baseline"/>
        </w:rPr>
        <w:t> </w:t>
      </w:r>
      <w:r>
        <w:rPr>
          <w:vertAlign w:val="baseline"/>
        </w:rPr>
        <w:t>lead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inconsistent die filling, preferred orientations in particle bonding, non-homogeneous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 slippage and differences in pressure transmission within the powder bed, all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resulting</w:t>
      </w:r>
      <w:r>
        <w:rPr>
          <w:spacing w:val="15"/>
          <w:vertAlign w:val="baseline"/>
        </w:rPr>
        <w:t> </w:t>
      </w:r>
      <w:r>
        <w:rPr>
          <w:vertAlign w:val="baseline"/>
        </w:rPr>
        <w:t>in</w:t>
      </w:r>
      <w:r>
        <w:rPr>
          <w:spacing w:val="18"/>
          <w:vertAlign w:val="baseline"/>
        </w:rPr>
        <w:t> </w:t>
      </w:r>
      <w:r>
        <w:rPr>
          <w:vertAlign w:val="baseline"/>
        </w:rPr>
        <w:t>tablet</w:t>
      </w:r>
      <w:r>
        <w:rPr>
          <w:spacing w:val="17"/>
          <w:vertAlign w:val="baseline"/>
        </w:rPr>
        <w:t> </w:t>
      </w:r>
      <w:r>
        <w:rPr>
          <w:vertAlign w:val="baseline"/>
        </w:rPr>
        <w:t>lamination</w:t>
      </w:r>
      <w:r>
        <w:rPr>
          <w:spacing w:val="17"/>
          <w:vertAlign w:val="baseline"/>
        </w:rPr>
        <w:t> </w:t>
      </w:r>
      <w:r>
        <w:rPr>
          <w:vertAlign w:val="baseline"/>
        </w:rPr>
        <w:t>and</w:t>
      </w:r>
      <w:r>
        <w:rPr>
          <w:spacing w:val="16"/>
          <w:vertAlign w:val="baseline"/>
        </w:rPr>
        <w:t> </w:t>
      </w:r>
      <w:r>
        <w:rPr>
          <w:vertAlign w:val="baseline"/>
        </w:rPr>
        <w:t>capping.</w:t>
      </w:r>
      <w:r>
        <w:rPr>
          <w:spacing w:val="20"/>
          <w:vertAlign w:val="baseline"/>
        </w:rPr>
        <w:t> </w:t>
      </w:r>
      <w:r>
        <w:rPr>
          <w:vertAlign w:val="baseline"/>
        </w:rPr>
        <w:t>Lamination</w:t>
      </w:r>
      <w:r>
        <w:rPr>
          <w:spacing w:val="22"/>
          <w:vertAlign w:val="baseline"/>
        </w:rPr>
        <w:t> </w:t>
      </w:r>
      <w:r>
        <w:rPr>
          <w:vertAlign w:val="baseline"/>
        </w:rPr>
        <w:t>occurs</w:t>
      </w:r>
      <w:r>
        <w:rPr>
          <w:spacing w:val="17"/>
          <w:vertAlign w:val="baseline"/>
        </w:rPr>
        <w:t> </w:t>
      </w:r>
      <w:r>
        <w:rPr>
          <w:vertAlign w:val="baseline"/>
        </w:rPr>
        <w:t>when</w:t>
      </w:r>
      <w:r>
        <w:rPr>
          <w:spacing w:val="17"/>
          <w:vertAlign w:val="baseline"/>
        </w:rPr>
        <w:t> </w:t>
      </w:r>
      <w:r>
        <w:rPr>
          <w:vertAlign w:val="baseline"/>
        </w:rPr>
        <w:t>there</w:t>
      </w:r>
      <w:r>
        <w:rPr>
          <w:spacing w:val="18"/>
          <w:vertAlign w:val="baseline"/>
        </w:rPr>
        <w:t> </w:t>
      </w:r>
      <w:r>
        <w:rPr>
          <w:vertAlign w:val="baseline"/>
        </w:rPr>
        <w:t>is</w:t>
      </w:r>
      <w:r>
        <w:rPr>
          <w:spacing w:val="20"/>
          <w:vertAlign w:val="baseline"/>
        </w:rPr>
        <w:t> </w:t>
      </w:r>
      <w:r>
        <w:rPr>
          <w:vertAlign w:val="baseline"/>
        </w:rPr>
        <w:t>separation</w:t>
      </w:r>
      <w:r>
        <w:rPr>
          <w:spacing w:val="-58"/>
          <w:vertAlign w:val="baseline"/>
        </w:rPr>
        <w:t> </w:t>
      </w:r>
      <w:r>
        <w:rPr>
          <w:vertAlign w:val="baseline"/>
        </w:rPr>
        <w:t>of a compact into two or more distinct horizontal layers, whereas capping occurs when</w:t>
      </w:r>
      <w:r>
        <w:rPr>
          <w:spacing w:val="1"/>
          <w:vertAlign w:val="baseline"/>
        </w:rPr>
        <w:t> </w:t>
      </w:r>
      <w:r>
        <w:rPr>
          <w:vertAlign w:val="baseline"/>
        </w:rPr>
        <w:t>the upper or lower segment of the compact separates horizontally from the main body</w:t>
      </w:r>
      <w:r>
        <w:rPr>
          <w:spacing w:val="1"/>
          <w:vertAlign w:val="baseline"/>
        </w:rPr>
        <w:t> </w:t>
      </w:r>
      <w:r>
        <w:rPr>
          <w:vertAlign w:val="baseline"/>
        </w:rPr>
        <w:t>(Chow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et al.</w:t>
      </w:r>
      <w:r>
        <w:rPr>
          <w:vertAlign w:val="baseline"/>
        </w:rPr>
        <w:t>, 2008).</w:t>
      </w:r>
    </w:p>
    <w:p>
      <w:pPr>
        <w:pStyle w:val="ListParagraph"/>
        <w:numPr>
          <w:ilvl w:val="3"/>
          <w:numId w:val="10"/>
        </w:numPr>
        <w:tabs>
          <w:tab w:pos="1186" w:val="left" w:leader="none"/>
        </w:tabs>
        <w:spacing w:line="240" w:lineRule="auto" w:before="121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Characteristics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ideal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direct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compression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excipient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465" w:right="1252"/>
        <w:jc w:val="both"/>
      </w:pPr>
      <w:r>
        <w:rPr/>
        <w:t>The manufacture of a tablet dosage form usually involves a diluent, disintegrant, binder,</w:t>
      </w:r>
      <w:r>
        <w:rPr>
          <w:spacing w:val="-57"/>
        </w:rPr>
        <w:t> </w:t>
      </w:r>
      <w:r>
        <w:rPr/>
        <w:t>lubricant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glidant</w:t>
      </w:r>
      <w:r>
        <w:rPr>
          <w:spacing w:val="1"/>
        </w:rPr>
        <w:t> </w:t>
      </w:r>
      <w:r>
        <w:rPr/>
        <w:t>(flow</w:t>
      </w:r>
      <w:r>
        <w:rPr>
          <w:spacing w:val="1"/>
        </w:rPr>
        <w:t> </w:t>
      </w:r>
      <w:r>
        <w:rPr/>
        <w:t>enhancer).</w:t>
      </w:r>
      <w:r>
        <w:rPr>
          <w:spacing w:val="1"/>
        </w:rPr>
        <w:t> </w:t>
      </w:r>
      <w:r>
        <w:rPr/>
        <w:t>Functionality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excipient. A multifunctional excipient is defined as a material that has more than one</w:t>
      </w:r>
      <w:r>
        <w:rPr>
          <w:spacing w:val="1"/>
        </w:rPr>
        <w:t> </w:t>
      </w:r>
      <w:r>
        <w:rPr/>
        <w:t>functional property (Camargo, 2011). A glidant improves flowability of the powder</w:t>
      </w:r>
      <w:r>
        <w:rPr>
          <w:spacing w:val="1"/>
        </w:rPr>
        <w:t> </w:t>
      </w:r>
      <w:r>
        <w:rPr/>
        <w:t>mixture; while a lubricant is added to reduce the friction between the powder and tablet</w:t>
      </w:r>
      <w:r>
        <w:rPr>
          <w:spacing w:val="1"/>
        </w:rPr>
        <w:t> </w:t>
      </w:r>
      <w:r>
        <w:rPr/>
        <w:t>tooling. The latter also enhances tablet efficiency and reduces punch - and – die wear.</w:t>
      </w:r>
      <w:r>
        <w:rPr>
          <w:spacing w:val="1"/>
        </w:rPr>
        <w:t> </w:t>
      </w:r>
      <w:r>
        <w:rPr/>
        <w:t>The filler (diluent) is used to increase the bulk of the tablet or capsule to the desired</w:t>
      </w:r>
      <w:r>
        <w:rPr>
          <w:spacing w:val="1"/>
        </w:rPr>
        <w:t> </w:t>
      </w:r>
      <w:r>
        <w:rPr/>
        <w:t>size/volume, easy compact handling and administration. A binder allows the formation</w:t>
      </w:r>
      <w:r>
        <w:rPr>
          <w:spacing w:val="1"/>
        </w:rPr>
        <w:t> </w:t>
      </w:r>
      <w:r>
        <w:rPr/>
        <w:t>of granules or tablets of adequate tensile strength, whereas the use of a disintegrant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break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water.</w:t>
      </w:r>
      <w:r>
        <w:rPr>
          <w:spacing w:val="-57"/>
        </w:rPr>
        <w:t> </w:t>
      </w:r>
      <w:r>
        <w:rPr/>
        <w:t>Compressibility is expressed as the relative volume reduction of the powder bed in</w:t>
      </w:r>
      <w:r>
        <w:rPr>
          <w:spacing w:val="1"/>
        </w:rPr>
        <w:t> </w:t>
      </w:r>
      <w:r>
        <w:rPr/>
        <w:t>response to</w:t>
      </w:r>
      <w:r>
        <w:rPr>
          <w:spacing w:val="1"/>
        </w:rPr>
        <w:t> </w:t>
      </w:r>
      <w:r>
        <w:rPr/>
        <w:t>the applied</w:t>
      </w:r>
      <w:r>
        <w:rPr>
          <w:spacing w:val="1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and compactibility is</w:t>
      </w:r>
      <w:r>
        <w:rPr>
          <w:spacing w:val="1"/>
        </w:rPr>
        <w:t> </w:t>
      </w:r>
      <w:r>
        <w:rPr/>
        <w:t>the ability to</w:t>
      </w:r>
      <w:r>
        <w:rPr>
          <w:spacing w:val="1"/>
        </w:rPr>
        <w:t> </w:t>
      </w:r>
      <w:r>
        <w:rPr/>
        <w:t>form</w:t>
      </w:r>
      <w:r>
        <w:rPr>
          <w:spacing w:val="60"/>
        </w:rPr>
        <w:t> </w:t>
      </w:r>
      <w:r>
        <w:rPr/>
        <w:t>a compact</w:t>
      </w:r>
      <w:r>
        <w:rPr>
          <w:spacing w:val="1"/>
        </w:rPr>
        <w:t> </w:t>
      </w:r>
      <w:r>
        <w:rPr/>
        <w:t>with sufficient strength when a compression force is applied (Khomane</w:t>
      </w:r>
      <w:r>
        <w:rPr>
          <w:i/>
        </w:rPr>
        <w:t>et al.</w:t>
      </w:r>
      <w:r>
        <w:rPr/>
        <w:t>, 2013;</w:t>
      </w:r>
      <w:r>
        <w:rPr>
          <w:spacing w:val="1"/>
        </w:rPr>
        <w:t> </w:t>
      </w:r>
      <w:r>
        <w:rPr/>
        <w:t>Upadhyay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,2013).</w:t>
      </w:r>
    </w:p>
    <w:p>
      <w:pPr>
        <w:spacing w:after="0" w:line="480" w:lineRule="auto"/>
        <w:jc w:val="both"/>
        <w:sectPr>
          <w:pgSz w:w="11910" w:h="16840"/>
          <w:pgMar w:header="0" w:footer="987" w:top="1280" w:bottom="1260" w:left="1520" w:right="160"/>
        </w:sectPr>
      </w:pPr>
    </w:p>
    <w:p>
      <w:pPr>
        <w:pStyle w:val="BodyText"/>
        <w:spacing w:line="480" w:lineRule="auto" w:before="72"/>
        <w:ind w:left="465" w:right="1254"/>
        <w:jc w:val="both"/>
      </w:pP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dilution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excipient that when mixed with a drug shows no change in its compressibility, flow rate</w:t>
      </w:r>
      <w:r>
        <w:rPr>
          <w:spacing w:val="1"/>
        </w:rPr>
        <w:t> </w:t>
      </w:r>
      <w:r>
        <w:rPr/>
        <w:t>and ability to form hard compacts at low pressures (Flores </w:t>
      </w:r>
      <w:r>
        <w:rPr>
          <w:i/>
        </w:rPr>
        <w:t>et al.</w:t>
      </w:r>
      <w:r>
        <w:rPr/>
        <w:t>, 2000; Camargo, 2011;</w:t>
      </w:r>
      <w:r>
        <w:rPr>
          <w:spacing w:val="1"/>
        </w:rPr>
        <w:t> </w:t>
      </w:r>
      <w:r>
        <w:rPr/>
        <w:t>Rojas </w:t>
      </w:r>
      <w:r>
        <w:rPr>
          <w:i/>
        </w:rPr>
        <w:t>et al.</w:t>
      </w:r>
      <w:r>
        <w:rPr/>
        <w:t>, 2013)</w:t>
      </w:r>
    </w:p>
    <w:p>
      <w:pPr>
        <w:pStyle w:val="BodyText"/>
        <w:spacing w:line="480" w:lineRule="auto" w:before="120"/>
        <w:ind w:left="465" w:right="1258"/>
        <w:jc w:val="both"/>
      </w:pP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robust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manufacture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tablets,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(DC)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characteristics: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compressibility, adequate powder flow, resistance to segregation during handling and</w:t>
      </w:r>
      <w:r>
        <w:rPr>
          <w:spacing w:val="1"/>
        </w:rPr>
        <w:t> </w:t>
      </w:r>
      <w:r>
        <w:rPr/>
        <w:t>storage, fast compact disintegration, a broad range of</w:t>
      </w:r>
      <w:r>
        <w:rPr>
          <w:spacing w:val="1"/>
        </w:rPr>
        <w:t> </w:t>
      </w:r>
      <w:r>
        <w:rPr/>
        <w:t>bulk densities, low sensitivity to</w:t>
      </w:r>
      <w:r>
        <w:rPr>
          <w:spacing w:val="1"/>
        </w:rPr>
        <w:t> </w:t>
      </w:r>
      <w:r>
        <w:rPr/>
        <w:t>lubricants, should be easily scaled up and allow higher drug loading even at low usage</w:t>
      </w:r>
      <w:r>
        <w:rPr>
          <w:spacing w:val="1"/>
        </w:rPr>
        <w:t> </w:t>
      </w:r>
      <w:r>
        <w:rPr/>
        <w:t>levels</w:t>
      </w:r>
      <w:r>
        <w:rPr>
          <w:spacing w:val="-1"/>
        </w:rPr>
        <w:t> </w:t>
      </w:r>
      <w:r>
        <w:rPr/>
        <w:t>and should</w:t>
      </w:r>
      <w:r>
        <w:rPr>
          <w:spacing w:val="-1"/>
        </w:rPr>
        <w:t> </w:t>
      </w:r>
      <w:r>
        <w:rPr/>
        <w:t>be easily</w:t>
      </w:r>
      <w:r>
        <w:rPr>
          <w:spacing w:val="-3"/>
        </w:rPr>
        <w:t> </w:t>
      </w:r>
      <w:r>
        <w:rPr/>
        <w:t>prepared</w:t>
      </w:r>
      <w:r>
        <w:rPr>
          <w:spacing w:val="-1"/>
        </w:rPr>
        <w:t> </w:t>
      </w:r>
      <w:r>
        <w:rPr/>
        <w:t>(Zeleznik and Renak,</w:t>
      </w:r>
      <w:r>
        <w:rPr>
          <w:spacing w:val="-1"/>
        </w:rPr>
        <w:t> </w:t>
      </w:r>
      <w:r>
        <w:rPr/>
        <w:t>2005;  Jacob</w:t>
      </w:r>
      <w:r>
        <w:rPr>
          <w:spacing w:val="-1"/>
        </w:rPr>
        <w:t> </w:t>
      </w:r>
      <w:r>
        <w:rPr>
          <w:i/>
        </w:rPr>
        <w:t>et al.</w:t>
      </w:r>
      <w:r>
        <w:rPr/>
        <w:t>, 2007).</w:t>
      </w:r>
    </w:p>
    <w:p>
      <w:pPr>
        <w:pStyle w:val="BodyText"/>
        <w:spacing w:line="480" w:lineRule="auto" w:before="121"/>
        <w:ind w:left="465" w:right="1251"/>
        <w:jc w:val="both"/>
      </w:pP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requirements,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DC</w:t>
      </w:r>
      <w:r>
        <w:rPr>
          <w:spacing w:val="1"/>
        </w:rPr>
        <w:t> </w:t>
      </w:r>
      <w:r>
        <w:rPr/>
        <w:t>multifunctional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characterized by the following properties (Chang and Chang, 2007; Thoorens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2008):</w:t>
      </w:r>
    </w:p>
    <w:p>
      <w:pPr>
        <w:pStyle w:val="ListParagraph"/>
        <w:numPr>
          <w:ilvl w:val="4"/>
          <w:numId w:val="10"/>
        </w:numPr>
        <w:tabs>
          <w:tab w:pos="1186" w:val="left" w:leader="none"/>
        </w:tabs>
        <w:spacing w:line="240" w:lineRule="auto" w:before="121" w:after="0"/>
        <w:ind w:left="1185" w:right="0" w:hanging="488"/>
        <w:jc w:val="both"/>
        <w:rPr>
          <w:sz w:val="24"/>
        </w:rPr>
      </w:pPr>
      <w:r>
        <w:rPr>
          <w:sz w:val="24"/>
        </w:rPr>
        <w:t>Physiologically</w:t>
      </w:r>
      <w:r>
        <w:rPr>
          <w:spacing w:val="-7"/>
          <w:sz w:val="24"/>
        </w:rPr>
        <w:t> </w:t>
      </w:r>
      <w:r>
        <w:rPr>
          <w:sz w:val="24"/>
        </w:rPr>
        <w:t>safe</w:t>
      </w:r>
      <w:r>
        <w:rPr>
          <w:spacing w:val="-1"/>
          <w:sz w:val="24"/>
        </w:rPr>
        <w:t> </w:t>
      </w:r>
      <w:r>
        <w:rPr>
          <w:sz w:val="24"/>
        </w:rPr>
        <w:t>and not</w:t>
      </w:r>
      <w:r>
        <w:rPr>
          <w:spacing w:val="-2"/>
          <w:sz w:val="24"/>
        </w:rPr>
        <w:t> </w:t>
      </w:r>
      <w:r>
        <w:rPr>
          <w:sz w:val="24"/>
        </w:rPr>
        <w:t>affect</w:t>
      </w:r>
      <w:r>
        <w:rPr>
          <w:spacing w:val="-1"/>
          <w:sz w:val="24"/>
        </w:rPr>
        <w:t> </w:t>
      </w:r>
      <w:r>
        <w:rPr>
          <w:sz w:val="24"/>
        </w:rPr>
        <w:t>drug</w:t>
      </w:r>
      <w:r>
        <w:rPr>
          <w:spacing w:val="-5"/>
          <w:sz w:val="24"/>
        </w:rPr>
        <w:t> </w:t>
      </w:r>
      <w:r>
        <w:rPr>
          <w:sz w:val="24"/>
        </w:rPr>
        <w:t>bioavailability.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4"/>
          <w:numId w:val="10"/>
        </w:numPr>
        <w:tabs>
          <w:tab w:pos="1186" w:val="left" w:leader="none"/>
        </w:tabs>
        <w:spacing w:line="240" w:lineRule="auto" w:before="0" w:after="0"/>
        <w:ind w:left="1185" w:right="0" w:hanging="556"/>
        <w:jc w:val="both"/>
        <w:rPr>
          <w:sz w:val="24"/>
        </w:rPr>
      </w:pP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physically</w:t>
      </w:r>
      <w:r>
        <w:rPr>
          <w:spacing w:val="-4"/>
          <w:sz w:val="24"/>
        </w:rPr>
        <w:t> </w:t>
      </w:r>
      <w:r>
        <w:rPr>
          <w:sz w:val="24"/>
        </w:rPr>
        <w:t>and chemically</w:t>
      </w:r>
      <w:r>
        <w:rPr>
          <w:spacing w:val="-5"/>
          <w:sz w:val="24"/>
        </w:rPr>
        <w:t> </w:t>
      </w:r>
      <w:r>
        <w:rPr>
          <w:sz w:val="24"/>
        </w:rPr>
        <w:t>stable</w:t>
      </w:r>
      <w:r>
        <w:rPr>
          <w:spacing w:val="-1"/>
          <w:sz w:val="24"/>
        </w:rPr>
        <w:t> </w:t>
      </w:r>
      <w:r>
        <w:rPr>
          <w:sz w:val="24"/>
        </w:rPr>
        <w:t>to heat, moisture</w:t>
      </w:r>
      <w:r>
        <w:rPr>
          <w:spacing w:val="-1"/>
          <w:sz w:val="24"/>
        </w:rPr>
        <w:t> </w:t>
      </w:r>
      <w:r>
        <w:rPr>
          <w:sz w:val="24"/>
        </w:rPr>
        <w:t>and air.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4"/>
          <w:numId w:val="10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5" w:right="0" w:hanging="6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interfere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functional</w:t>
      </w:r>
      <w:r>
        <w:rPr>
          <w:spacing w:val="-1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excipients</w:t>
      </w:r>
      <w:r>
        <w:rPr>
          <w:spacing w:val="-1"/>
          <w:sz w:val="24"/>
        </w:rPr>
        <w:t> </w:t>
      </w:r>
      <w:r>
        <w:rPr>
          <w:sz w:val="24"/>
        </w:rPr>
        <w:t>and API.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4"/>
          <w:numId w:val="10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5" w:right="0" w:hanging="608"/>
        <w:jc w:val="left"/>
        <w:rPr>
          <w:sz w:val="24"/>
        </w:rPr>
      </w:pP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compatible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packaging</w:t>
      </w:r>
      <w:r>
        <w:rPr>
          <w:spacing w:val="-4"/>
          <w:sz w:val="24"/>
        </w:rPr>
        <w:t> </w:t>
      </w:r>
      <w:r>
        <w:rPr>
          <w:sz w:val="24"/>
        </w:rPr>
        <w:t>material.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4"/>
          <w:numId w:val="10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5" w:right="0" w:hanging="54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comparable</w:t>
      </w:r>
      <w:r>
        <w:rPr>
          <w:spacing w:val="-1"/>
          <w:sz w:val="24"/>
        </w:rPr>
        <w:t> </w:t>
      </w:r>
      <w:r>
        <w:rPr>
          <w:sz w:val="24"/>
        </w:rPr>
        <w:t>particle size</w:t>
      </w:r>
      <w:r>
        <w:rPr>
          <w:spacing w:val="-2"/>
          <w:sz w:val="24"/>
        </w:rPr>
        <w:t> </w:t>
      </w:r>
      <w:r>
        <w:rPr>
          <w:sz w:val="24"/>
        </w:rPr>
        <w:t>distribution 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API.</w:t>
      </w: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4"/>
          <w:numId w:val="10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5" w:right="0" w:hanging="608"/>
        <w:jc w:val="left"/>
        <w:rPr>
          <w:sz w:val="24"/>
        </w:rPr>
      </w:pP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compactibility</w:t>
      </w:r>
      <w:r>
        <w:rPr>
          <w:spacing w:val="-6"/>
          <w:sz w:val="24"/>
        </w:rPr>
        <w:t> </w:t>
      </w:r>
      <w:r>
        <w:rPr>
          <w:sz w:val="24"/>
        </w:rPr>
        <w:t>even in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speed tableting</w:t>
      </w:r>
      <w:r>
        <w:rPr>
          <w:spacing w:val="-2"/>
          <w:sz w:val="24"/>
        </w:rPr>
        <w:t> </w:t>
      </w:r>
      <w:r>
        <w:rPr>
          <w:sz w:val="24"/>
        </w:rPr>
        <w:t>machines (low</w:t>
      </w:r>
      <w:r>
        <w:rPr>
          <w:spacing w:val="-1"/>
          <w:sz w:val="24"/>
        </w:rPr>
        <w:t> </w:t>
      </w:r>
      <w:r>
        <w:rPr>
          <w:sz w:val="24"/>
        </w:rPr>
        <w:t>dwell</w:t>
      </w:r>
      <w:r>
        <w:rPr>
          <w:spacing w:val="-1"/>
          <w:sz w:val="24"/>
        </w:rPr>
        <w:t> </w:t>
      </w:r>
      <w:r>
        <w:rPr>
          <w:sz w:val="24"/>
        </w:rPr>
        <w:t>times).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4"/>
          <w:numId w:val="10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5" w:right="0" w:hanging="676"/>
        <w:jc w:val="left"/>
        <w:rPr>
          <w:sz w:val="24"/>
        </w:rPr>
      </w:pPr>
      <w:r>
        <w:rPr>
          <w:sz w:val="24"/>
        </w:rPr>
        <w:t>Ability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reworked without</w:t>
      </w:r>
      <w:r>
        <w:rPr>
          <w:spacing w:val="-1"/>
          <w:sz w:val="24"/>
        </w:rPr>
        <w:t> </w:t>
      </w:r>
      <w:r>
        <w:rPr>
          <w:sz w:val="24"/>
        </w:rPr>
        <w:t>loss</w:t>
      </w:r>
      <w:r>
        <w:rPr>
          <w:spacing w:val="-1"/>
          <w:sz w:val="24"/>
        </w:rPr>
        <w:t> </w:t>
      </w:r>
      <w:r>
        <w:rPr>
          <w:sz w:val="24"/>
        </w:rPr>
        <w:t>of flow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compactibility.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4"/>
          <w:numId w:val="10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5" w:right="0" w:hanging="740"/>
        <w:jc w:val="left"/>
        <w:rPr>
          <w:sz w:val="24"/>
        </w:rPr>
      </w:pP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-1"/>
          <w:sz w:val="24"/>
        </w:rPr>
        <w:t> </w:t>
      </w:r>
      <w:r>
        <w:rPr>
          <w:sz w:val="24"/>
        </w:rPr>
        <w:t>preferably</w:t>
      </w:r>
      <w:r>
        <w:rPr>
          <w:spacing w:val="-6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multiple suppliers.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4"/>
          <w:numId w:val="10"/>
        </w:numPr>
        <w:tabs>
          <w:tab w:pos="1185" w:val="left" w:leader="none"/>
          <w:tab w:pos="1186" w:val="left" w:leader="none"/>
        </w:tabs>
        <w:spacing w:line="480" w:lineRule="auto" w:before="0" w:after="0"/>
        <w:ind w:left="1185" w:right="1261" w:hanging="608"/>
        <w:jc w:val="left"/>
        <w:rPr>
          <w:sz w:val="24"/>
        </w:rPr>
      </w:pPr>
      <w:r>
        <w:rPr>
          <w:sz w:val="24"/>
        </w:rPr>
        <w:t>Have pleasant</w:t>
      </w:r>
      <w:r>
        <w:rPr>
          <w:spacing w:val="3"/>
          <w:sz w:val="24"/>
        </w:rPr>
        <w:t> </w:t>
      </w:r>
      <w:r>
        <w:rPr>
          <w:sz w:val="24"/>
        </w:rPr>
        <w:t>organoleptic properties, be</w:t>
      </w:r>
      <w:r>
        <w:rPr>
          <w:spacing w:val="3"/>
          <w:sz w:val="24"/>
        </w:rPr>
        <w:t> </w:t>
      </w:r>
      <w:r>
        <w:rPr>
          <w:sz w:val="24"/>
        </w:rPr>
        <w:t>well</w:t>
      </w:r>
      <w:r>
        <w:rPr>
          <w:spacing w:val="4"/>
          <w:sz w:val="24"/>
        </w:rPr>
        <w:t> </w:t>
      </w:r>
      <w:r>
        <w:rPr>
          <w:sz w:val="24"/>
        </w:rPr>
        <w:t>characterized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accepted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industry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regulatory</w:t>
      </w:r>
      <w:r>
        <w:rPr>
          <w:spacing w:val="-3"/>
          <w:sz w:val="24"/>
        </w:rPr>
        <w:t> </w:t>
      </w:r>
      <w:r>
        <w:rPr>
          <w:sz w:val="24"/>
        </w:rPr>
        <w:t>agencies.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87" w:top="1320" w:bottom="1260" w:left="1520" w:right="160"/>
        </w:sectPr>
      </w:pPr>
    </w:p>
    <w:p>
      <w:pPr>
        <w:pStyle w:val="ListParagraph"/>
        <w:numPr>
          <w:ilvl w:val="4"/>
          <w:numId w:val="10"/>
        </w:numPr>
        <w:tabs>
          <w:tab w:pos="1185" w:val="left" w:leader="none"/>
          <w:tab w:pos="1186" w:val="left" w:leader="none"/>
        </w:tabs>
        <w:spacing w:line="240" w:lineRule="auto" w:before="72" w:after="0"/>
        <w:ind w:left="1185" w:right="0" w:hanging="541"/>
        <w:jc w:val="left"/>
        <w:rPr>
          <w:sz w:val="24"/>
        </w:rPr>
      </w:pP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contribute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microbiological</w:t>
      </w:r>
      <w:r>
        <w:rPr>
          <w:spacing w:val="-1"/>
          <w:sz w:val="24"/>
        </w:rPr>
        <w:t> </w:t>
      </w:r>
      <w:r>
        <w:rPr>
          <w:sz w:val="24"/>
        </w:rPr>
        <w:t>load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formulation.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4"/>
          <w:numId w:val="10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5" w:right="0" w:hanging="608"/>
        <w:jc w:val="left"/>
        <w:rPr>
          <w:sz w:val="24"/>
        </w:rPr>
      </w:pPr>
      <w:r>
        <w:rPr>
          <w:sz w:val="24"/>
        </w:rPr>
        <w:t>Preferably</w:t>
      </w:r>
      <w:r>
        <w:rPr>
          <w:spacing w:val="-4"/>
          <w:sz w:val="24"/>
        </w:rPr>
        <w:t> </w:t>
      </w:r>
      <w:r>
        <w:rPr>
          <w:sz w:val="24"/>
        </w:rPr>
        <w:t>white.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465" w:right="1254"/>
        <w:jc w:val="both"/>
      </w:pPr>
      <w:r>
        <w:rPr/>
        <w:t>There is no single excipient currently available that meets all the requirements listed for</w:t>
      </w:r>
      <w:r>
        <w:rPr>
          <w:spacing w:val="1"/>
        </w:rPr>
        <w:t> </w:t>
      </w:r>
      <w:r>
        <w:rPr/>
        <w:t>an ideal direct compression excipient (Patel and Patel, 2007). Hence, it has become</w:t>
      </w:r>
      <w:r>
        <w:rPr>
          <w:spacing w:val="1"/>
        </w:rPr>
        <w:t> </w:t>
      </w:r>
      <w:r>
        <w:rPr/>
        <w:t>necessary to develop novel excipients with a wider spectrum of functionality via co-</w:t>
      </w:r>
      <w:r>
        <w:rPr>
          <w:spacing w:val="1"/>
        </w:rPr>
        <w:t> </w:t>
      </w:r>
      <w:r>
        <w:rPr/>
        <w:t>processing.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1"/>
          <w:numId w:val="10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bookmarkStart w:name="_TOC_250084" w:id="22"/>
      <w:bookmarkEnd w:id="22"/>
      <w:r>
        <w:rPr/>
        <w:t>Co-processing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1"/>
        <w:ind w:left="465" w:right="1254"/>
        <w:jc w:val="both"/>
      </w:pPr>
      <w:r>
        <w:rPr/>
        <w:t>Co-processing was introduced as an intervention strategy to develop excipients that will</w:t>
      </w:r>
      <w:r>
        <w:rPr>
          <w:spacing w:val="1"/>
        </w:rPr>
        <w:t> </w:t>
      </w:r>
      <w:r>
        <w:rPr/>
        <w:t>supply the functionality required</w:t>
      </w:r>
      <w:r>
        <w:rPr>
          <w:spacing w:val="1"/>
        </w:rPr>
        <w:t> </w:t>
      </w:r>
      <w:r>
        <w:rPr/>
        <w:t>in direct compression.</w:t>
      </w:r>
      <w:r>
        <w:rPr>
          <w:spacing w:val="1"/>
        </w:rPr>
        <w:t> </w:t>
      </w:r>
      <w:r>
        <w:rPr/>
        <w:t>It is a particle engineering</w:t>
      </w:r>
      <w:r>
        <w:rPr>
          <w:spacing w:val="1"/>
        </w:rPr>
        <w:t> </w:t>
      </w:r>
      <w:r>
        <w:rPr/>
        <w:t>technique that combines two or more excipients at the sub-particle level with the aim of</w:t>
      </w:r>
      <w:r>
        <w:rPr>
          <w:spacing w:val="1"/>
        </w:rPr>
        <w:t> </w:t>
      </w:r>
      <w:r>
        <w:rPr/>
        <w:t>improving the functionality of the final product while minimising the short-comings of</w:t>
      </w:r>
      <w:r>
        <w:rPr>
          <w:spacing w:val="1"/>
        </w:rPr>
        <w:t> </w:t>
      </w:r>
      <w:r>
        <w:rPr/>
        <w:t>the individual excipients (Nachaegari and Bansal, 2004). This procedure has shown</w:t>
      </w:r>
      <w:r>
        <w:rPr>
          <w:spacing w:val="1"/>
        </w:rPr>
        <w:t> </w:t>
      </w:r>
      <w:r>
        <w:rPr/>
        <w:t>promise in providing improved performance of the co-processed excipient over and</w:t>
      </w:r>
      <w:r>
        <w:rPr>
          <w:spacing w:val="1"/>
        </w:rPr>
        <w:t> </w:t>
      </w:r>
      <w:r>
        <w:rPr/>
        <w:t>above</w:t>
      </w:r>
      <w:r>
        <w:rPr>
          <w:spacing w:val="-2"/>
        </w:rPr>
        <w:t> </w:t>
      </w:r>
      <w:r>
        <w:rPr/>
        <w:t>its physical</w:t>
      </w:r>
      <w:r>
        <w:rPr>
          <w:spacing w:val="-1"/>
        </w:rPr>
        <w:t> </w:t>
      </w:r>
      <w:r>
        <w:rPr/>
        <w:t>mixture(Kittipongpatana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Kittipongpatana,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line="480" w:lineRule="auto" w:before="120"/>
        <w:ind w:left="465" w:right="1252"/>
        <w:jc w:val="both"/>
      </w:pPr>
      <w:r>
        <w:rPr/>
        <w:t>This study aims to develop a co-processed excipient with multifunctional application by</w:t>
      </w:r>
      <w:r>
        <w:rPr>
          <w:spacing w:val="-57"/>
        </w:rPr>
        <w:t> </w:t>
      </w:r>
      <w:r>
        <w:rPr/>
        <w:t>combining</w:t>
      </w:r>
      <w:r>
        <w:rPr>
          <w:spacing w:val="-3"/>
        </w:rPr>
        <w:t> </w:t>
      </w:r>
      <w:r>
        <w:rPr/>
        <w:t>three</w:t>
      </w:r>
      <w:r>
        <w:rPr>
          <w:spacing w:val="-1"/>
        </w:rPr>
        <w:t> </w:t>
      </w:r>
      <w:r>
        <w:rPr/>
        <w:t>excipients in optimum proportions.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1"/>
          <w:numId w:val="10"/>
        </w:numPr>
        <w:tabs>
          <w:tab w:pos="1186" w:val="left" w:leader="none"/>
        </w:tabs>
        <w:spacing w:line="240" w:lineRule="auto" w:before="1" w:after="0"/>
        <w:ind w:left="1185" w:right="0" w:hanging="721"/>
        <w:jc w:val="both"/>
      </w:pPr>
      <w:bookmarkStart w:name="_TOC_250083" w:id="23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bookmarkEnd w:id="23"/>
      <w:r>
        <w:rPr/>
        <w:t>Problem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1"/>
        <w:ind w:left="465" w:right="1256"/>
        <w:jc w:val="both"/>
      </w:pPr>
      <w:r>
        <w:rPr/>
        <w:t>Native starch from a wide variety of sources have been used in tablet production either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filler,</w:t>
      </w:r>
      <w:r>
        <w:rPr>
          <w:spacing w:val="1"/>
        </w:rPr>
        <w:t> </w:t>
      </w:r>
      <w:r>
        <w:rPr/>
        <w:t>disintegrant,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lubricant</w:t>
      </w:r>
      <w:r>
        <w:rPr>
          <w:spacing w:val="1"/>
        </w:rPr>
        <w:t> </w:t>
      </w:r>
      <w:r>
        <w:rPr/>
        <w:t>(Odeku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Itiola,</w:t>
      </w:r>
      <w:r>
        <w:rPr>
          <w:spacing w:val="1"/>
        </w:rPr>
        <w:t> </w:t>
      </w:r>
      <w:r>
        <w:rPr/>
        <w:t>2007;</w:t>
      </w:r>
      <w:r>
        <w:rPr>
          <w:spacing w:val="1"/>
        </w:rPr>
        <w:t> </w:t>
      </w:r>
      <w:r>
        <w:rPr/>
        <w:t>Kadajji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Betageri, 2011). This is associated with the fact that starch, in one hand, can provide</w:t>
      </w:r>
      <w:r>
        <w:rPr>
          <w:spacing w:val="1"/>
        </w:rPr>
        <w:t> </w:t>
      </w:r>
      <w:r>
        <w:rPr/>
        <w:t>essential tablet properties for drug release; on the other hand, the nature of starch has</w:t>
      </w:r>
      <w:r>
        <w:rPr>
          <w:spacing w:val="1"/>
        </w:rPr>
        <w:t> </w:t>
      </w:r>
      <w:r>
        <w:rPr/>
        <w:t>made</w:t>
      </w:r>
      <w:r>
        <w:rPr>
          <w:spacing w:val="-3"/>
        </w:rPr>
        <w:t> </w:t>
      </w:r>
      <w:r>
        <w:rPr/>
        <w:t>it amenable to</w:t>
      </w:r>
      <w:r>
        <w:rPr>
          <w:spacing w:val="-1"/>
        </w:rPr>
        <w:t> </w:t>
      </w:r>
      <w:r>
        <w:rPr/>
        <w:t>modification to serve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functions (Jivraj</w:t>
      </w:r>
      <w:r>
        <w:rPr>
          <w:spacing w:val="4"/>
        </w:rPr>
        <w:t> </w:t>
      </w:r>
      <w:r>
        <w:rPr>
          <w:i/>
        </w:rPr>
        <w:t>et al.</w:t>
      </w:r>
      <w:r>
        <w:rPr/>
        <w:t>,</w:t>
      </w:r>
      <w:r>
        <w:rPr>
          <w:spacing w:val="-4"/>
        </w:rPr>
        <w:t> </w:t>
      </w:r>
      <w:r>
        <w:rPr/>
        <w:t>2000).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2"/>
        <w:jc w:val="both"/>
      </w:pPr>
      <w:r>
        <w:rPr/>
        <w:t>Native starch offers two main benefits to a formulation namely, a rapid disintegrating</w:t>
      </w:r>
      <w:r>
        <w:rPr>
          <w:spacing w:val="1"/>
        </w:rPr>
        <w:t> </w:t>
      </w:r>
      <w:r>
        <w:rPr/>
        <w:t>property and ability to add bulk to the drug formulation (as filler) (Zhang </w:t>
      </w:r>
      <w:r>
        <w:rPr>
          <w:i/>
        </w:rPr>
        <w:t>et al.</w:t>
      </w:r>
      <w:r>
        <w:rPr/>
        <w:t>, 2003;</w:t>
      </w:r>
      <w:r>
        <w:rPr>
          <w:spacing w:val="1"/>
        </w:rPr>
        <w:t> </w:t>
      </w:r>
      <w:r>
        <w:rPr/>
        <w:t>Rashid</w:t>
      </w:r>
      <w:r>
        <w:rPr>
          <w:i/>
        </w:rPr>
        <w:t>et al.</w:t>
      </w:r>
      <w:r>
        <w:rPr/>
        <w:t>, 2013). In spite of these properties, starch possesses limited functionalities</w:t>
      </w:r>
      <w:r>
        <w:rPr>
          <w:spacing w:val="1"/>
        </w:rPr>
        <w:t> </w:t>
      </w:r>
      <w:r>
        <w:rPr/>
        <w:t>with regard to powder compression, tensile strength, and flow properties in solid dosage</w:t>
      </w:r>
      <w:r>
        <w:rPr>
          <w:spacing w:val="-57"/>
        </w:rPr>
        <w:t> </w:t>
      </w:r>
      <w:r>
        <w:rPr/>
        <w:t>form preparations (Alebiowu and Itiola, 2002; Adedokun and Itiola, 2010). These short-</w:t>
      </w:r>
      <w:r>
        <w:rPr>
          <w:spacing w:val="-57"/>
        </w:rPr>
        <w:t> </w:t>
      </w:r>
      <w:r>
        <w:rPr/>
        <w:t>comings have restricted the use of native starch in direct compression formulations and</w:t>
      </w:r>
      <w:r>
        <w:rPr>
          <w:spacing w:val="1"/>
        </w:rPr>
        <w:t> </w:t>
      </w:r>
      <w:r>
        <w:rPr/>
        <w:t>subsequently</w:t>
      </w:r>
      <w:r>
        <w:rPr>
          <w:spacing w:val="-5"/>
        </w:rPr>
        <w:t> </w:t>
      </w:r>
      <w:r>
        <w:rPr/>
        <w:t>in high-speed tableting</w:t>
      </w:r>
      <w:r>
        <w:rPr>
          <w:spacing w:val="-3"/>
        </w:rPr>
        <w:t> </w:t>
      </w:r>
      <w:r>
        <w:rPr/>
        <w:t>machines.</w:t>
      </w:r>
    </w:p>
    <w:p>
      <w:pPr>
        <w:pStyle w:val="BodyText"/>
        <w:spacing w:line="480" w:lineRule="auto" w:before="121"/>
        <w:ind w:left="465" w:right="1253"/>
        <w:jc w:val="both"/>
      </w:pPr>
      <w:r>
        <w:rPr/>
        <w:t>Owing to the limitations above, a number of chemical and physical modifications were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DC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wider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functionalities (Atichokudomchai and Varavinit, 2003; Apeji </w:t>
      </w:r>
      <w:r>
        <w:rPr>
          <w:i/>
        </w:rPr>
        <w:t>et al.</w:t>
      </w:r>
      <w:r>
        <w:rPr/>
        <w:t>, 2011). Again, there</w:t>
      </w:r>
      <w:r>
        <w:rPr>
          <w:spacing w:val="1"/>
        </w:rPr>
        <w:t> </w:t>
      </w:r>
      <w:r>
        <w:rPr/>
        <w:t>was a limit to which modification improved its potential for direct compression coupled</w:t>
      </w:r>
      <w:r>
        <w:rPr>
          <w:spacing w:val="1"/>
        </w:rPr>
        <w:t> </w:t>
      </w:r>
      <w:r>
        <w:rPr/>
        <w:t>with the safety and toxicity issues associated with chemical modification. Hence, it</w:t>
      </w:r>
      <w:r>
        <w:rPr>
          <w:spacing w:val="1"/>
        </w:rPr>
        <w:t> </w:t>
      </w:r>
      <w:r>
        <w:rPr/>
        <w:t>became imperative to seek another route for developing starch-based excipients with</w:t>
      </w:r>
      <w:r>
        <w:rPr>
          <w:spacing w:val="1"/>
        </w:rPr>
        <w:t> </w:t>
      </w:r>
      <w:r>
        <w:rPr/>
        <w:t>improved functionalities. Co-processing is a strategy that has been adopted to improve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functionality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starch for</w:t>
      </w:r>
      <w:r>
        <w:rPr>
          <w:spacing w:val="-2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2"/>
        </w:rPr>
        <w:t> </w:t>
      </w:r>
      <w:r>
        <w:rPr/>
        <w:t>in combination</w:t>
      </w:r>
      <w:r>
        <w:rPr>
          <w:spacing w:val="-1"/>
        </w:rPr>
        <w:t> </w:t>
      </w:r>
      <w:r>
        <w:rPr/>
        <w:t>with other</w:t>
      </w:r>
      <w:r>
        <w:rPr>
          <w:spacing w:val="-3"/>
        </w:rPr>
        <w:t> </w:t>
      </w:r>
      <w:r>
        <w:rPr/>
        <w:t>excipients.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numPr>
          <w:ilvl w:val="1"/>
          <w:numId w:val="10"/>
        </w:numPr>
        <w:tabs>
          <w:tab w:pos="1185" w:val="left" w:leader="none"/>
          <w:tab w:pos="1186" w:val="left" w:leader="none"/>
        </w:tabs>
        <w:spacing w:line="240" w:lineRule="auto" w:before="76" w:after="0"/>
        <w:ind w:left="1185" w:right="0" w:hanging="721"/>
        <w:jc w:val="left"/>
      </w:pPr>
      <w:bookmarkStart w:name="_TOC_250082" w:id="24"/>
      <w:r>
        <w:rPr/>
        <w:t>Justification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24"/>
      <w:r>
        <w:rPr/>
        <w:t>Study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ind w:left="465"/>
      </w:pPr>
      <w:r>
        <w:rPr/>
        <w:t>This study</w:t>
      </w:r>
      <w:r>
        <w:rPr>
          <w:spacing w:val="-5"/>
        </w:rPr>
        <w:t> </w:t>
      </w:r>
      <w:r>
        <w:rPr/>
        <w:t>has become necessary</w:t>
      </w:r>
      <w:r>
        <w:rPr>
          <w:spacing w:val="-5"/>
        </w:rPr>
        <w:t> </w:t>
      </w:r>
      <w:r>
        <w:rPr/>
        <w:t>because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reasons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0"/>
          <w:numId w:val="11"/>
        </w:numPr>
        <w:tabs>
          <w:tab w:pos="1186" w:val="left" w:leader="none"/>
        </w:tabs>
        <w:spacing w:line="480" w:lineRule="auto" w:before="0" w:after="0"/>
        <w:ind w:left="1185" w:right="1263" w:hanging="488"/>
        <w:jc w:val="both"/>
        <w:rPr>
          <w:sz w:val="24"/>
        </w:rPr>
      </w:pPr>
      <w:r>
        <w:rPr>
          <w:sz w:val="24"/>
        </w:rPr>
        <w:t>Starch is readily available in abundant supply from diverse sources. This makes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good candidate</w:t>
      </w:r>
      <w:r>
        <w:rPr>
          <w:spacing w:val="-1"/>
          <w:sz w:val="24"/>
        </w:rPr>
        <w:t> </w:t>
      </w:r>
      <w:r>
        <w:rPr>
          <w:sz w:val="24"/>
        </w:rPr>
        <w:t>for co-processing.</w:t>
      </w:r>
    </w:p>
    <w:p>
      <w:pPr>
        <w:pStyle w:val="ListParagraph"/>
        <w:numPr>
          <w:ilvl w:val="0"/>
          <w:numId w:val="11"/>
        </w:numPr>
        <w:tabs>
          <w:tab w:pos="1186" w:val="left" w:leader="none"/>
        </w:tabs>
        <w:spacing w:line="480" w:lineRule="auto" w:before="120" w:after="0"/>
        <w:ind w:left="1185" w:right="1261" w:hanging="555"/>
        <w:jc w:val="both"/>
        <w:rPr>
          <w:sz w:val="24"/>
        </w:rPr>
      </w:pPr>
      <w:r>
        <w:rPr>
          <w:sz w:val="24"/>
        </w:rPr>
        <w:t>Cassava</w:t>
      </w:r>
      <w:r>
        <w:rPr>
          <w:spacing w:val="14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grown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industrial</w:t>
      </w:r>
      <w:r>
        <w:rPr>
          <w:spacing w:val="15"/>
          <w:sz w:val="24"/>
        </w:rPr>
        <w:t> </w:t>
      </w:r>
      <w:r>
        <w:rPr>
          <w:sz w:val="24"/>
        </w:rPr>
        <w:t>quantities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Nigeria.</w:t>
      </w:r>
      <w:r>
        <w:rPr>
          <w:spacing w:val="15"/>
          <w:sz w:val="24"/>
        </w:rPr>
        <w:t> </w:t>
      </w:r>
      <w:r>
        <w:rPr>
          <w:sz w:val="24"/>
        </w:rPr>
        <w:t>Hence,</w:t>
      </w:r>
      <w:r>
        <w:rPr>
          <w:spacing w:val="15"/>
          <w:sz w:val="24"/>
        </w:rPr>
        <w:t> </w:t>
      </w:r>
      <w:r>
        <w:rPr>
          <w:sz w:val="24"/>
        </w:rPr>
        <w:t>it</w:t>
      </w:r>
      <w:r>
        <w:rPr>
          <w:spacing w:val="16"/>
          <w:sz w:val="24"/>
        </w:rPr>
        <w:t> </w:t>
      </w:r>
      <w:r>
        <w:rPr>
          <w:sz w:val="24"/>
        </w:rPr>
        <w:t>can</w:t>
      </w:r>
      <w:r>
        <w:rPr>
          <w:spacing w:val="15"/>
          <w:sz w:val="24"/>
        </w:rPr>
        <w:t> </w:t>
      </w:r>
      <w:r>
        <w:rPr>
          <w:sz w:val="24"/>
        </w:rPr>
        <w:t>be</w:t>
      </w:r>
      <w:r>
        <w:rPr>
          <w:spacing w:val="14"/>
          <w:sz w:val="24"/>
        </w:rPr>
        <w:t> </w:t>
      </w:r>
      <w:r>
        <w:rPr>
          <w:sz w:val="24"/>
        </w:rPr>
        <w:t>harnessed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home-grown</w:t>
      </w:r>
      <w:r>
        <w:rPr>
          <w:spacing w:val="2"/>
          <w:sz w:val="24"/>
        </w:rPr>
        <w:t> </w:t>
      </w:r>
      <w:r>
        <w:rPr>
          <w:sz w:val="24"/>
        </w:rPr>
        <w:t>excipients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our</w:t>
      </w:r>
      <w:r>
        <w:rPr>
          <w:spacing w:val="-1"/>
          <w:sz w:val="24"/>
        </w:rPr>
        <w:t> </w:t>
      </w:r>
      <w:r>
        <w:rPr>
          <w:sz w:val="24"/>
        </w:rPr>
        <w:t>pharmaceutical industries.</w:t>
      </w:r>
    </w:p>
    <w:p>
      <w:pPr>
        <w:pStyle w:val="ListParagraph"/>
        <w:numPr>
          <w:ilvl w:val="0"/>
          <w:numId w:val="11"/>
        </w:numPr>
        <w:tabs>
          <w:tab w:pos="1186" w:val="left" w:leader="none"/>
        </w:tabs>
        <w:spacing w:line="480" w:lineRule="auto" w:before="121" w:after="0"/>
        <w:ind w:left="1185" w:right="1256" w:hanging="620"/>
        <w:jc w:val="both"/>
        <w:rPr>
          <w:sz w:val="24"/>
        </w:rPr>
      </w:pPr>
      <w:r>
        <w:rPr>
          <w:sz w:val="24"/>
        </w:rPr>
        <w:t>Currently,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sizeable</w:t>
      </w:r>
      <w:r>
        <w:rPr>
          <w:spacing w:val="1"/>
          <w:sz w:val="24"/>
        </w:rPr>
        <w:t> </w:t>
      </w:r>
      <w:r>
        <w:rPr>
          <w:sz w:val="24"/>
        </w:rPr>
        <w:t>proportion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co-processed</w:t>
      </w:r>
      <w:r>
        <w:rPr>
          <w:spacing w:val="1"/>
          <w:sz w:val="24"/>
        </w:rPr>
        <w:t> </w:t>
      </w:r>
      <w:r>
        <w:rPr>
          <w:sz w:val="24"/>
        </w:rPr>
        <w:t>excipients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pharmaceutical</w:t>
      </w:r>
      <w:r>
        <w:rPr>
          <w:spacing w:val="1"/>
          <w:sz w:val="24"/>
        </w:rPr>
        <w:t> </w:t>
      </w:r>
      <w:r>
        <w:rPr>
          <w:sz w:val="24"/>
        </w:rPr>
        <w:t>industry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either</w:t>
      </w:r>
      <w:r>
        <w:rPr>
          <w:spacing w:val="1"/>
          <w:sz w:val="24"/>
        </w:rPr>
        <w:t> </w:t>
      </w:r>
      <w:r>
        <w:rPr>
          <w:sz w:val="24"/>
        </w:rPr>
        <w:t>lactose-based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cellulose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(i.e.</w:t>
      </w:r>
      <w:r>
        <w:rPr>
          <w:spacing w:val="-57"/>
          <w:sz w:val="24"/>
        </w:rPr>
        <w:t> </w:t>
      </w:r>
      <w:r>
        <w:rPr>
          <w:sz w:val="24"/>
        </w:rPr>
        <w:t>StarLac®, Prosolv®, Ludipress® etc.) with a limited number of starch-based</w:t>
      </w:r>
      <w:r>
        <w:rPr>
          <w:spacing w:val="1"/>
          <w:sz w:val="24"/>
        </w:rPr>
        <w:t> </w:t>
      </w:r>
      <w:r>
        <w:rPr>
          <w:sz w:val="24"/>
        </w:rPr>
        <w:t>excipients.</w:t>
      </w:r>
    </w:p>
    <w:p>
      <w:pPr>
        <w:pStyle w:val="ListParagraph"/>
        <w:numPr>
          <w:ilvl w:val="0"/>
          <w:numId w:val="11"/>
        </w:numPr>
        <w:tabs>
          <w:tab w:pos="1186" w:val="left" w:leader="none"/>
        </w:tabs>
        <w:spacing w:line="480" w:lineRule="auto" w:before="120" w:after="0"/>
        <w:ind w:left="1185" w:right="1255" w:hanging="608"/>
        <w:jc w:val="both"/>
        <w:rPr>
          <w:sz w:val="24"/>
        </w:rPr>
      </w:pPr>
      <w:r>
        <w:rPr>
          <w:sz w:val="24"/>
        </w:rPr>
        <w:t>The inclusion of gelatin into the structure of cassava starch during co-processing</w:t>
      </w:r>
      <w:r>
        <w:rPr>
          <w:spacing w:val="-57"/>
          <w:sz w:val="24"/>
        </w:rPr>
        <w:t> </w:t>
      </w:r>
      <w:r>
        <w:rPr>
          <w:sz w:val="24"/>
        </w:rPr>
        <w:t>will fuse the starch particles resulting in an increase in particle size. This will</w:t>
      </w:r>
      <w:r>
        <w:rPr>
          <w:spacing w:val="1"/>
          <w:sz w:val="24"/>
        </w:rPr>
        <w:t> </w:t>
      </w:r>
      <w:r>
        <w:rPr>
          <w:sz w:val="24"/>
        </w:rPr>
        <w:t>enhance</w:t>
      </w:r>
      <w:r>
        <w:rPr>
          <w:spacing w:val="1"/>
          <w:sz w:val="24"/>
        </w:rPr>
        <w:t> </w:t>
      </w:r>
      <w:r>
        <w:rPr>
          <w:sz w:val="24"/>
        </w:rPr>
        <w:t>flow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improve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overall</w:t>
      </w:r>
      <w:r>
        <w:rPr>
          <w:spacing w:val="1"/>
          <w:sz w:val="24"/>
        </w:rPr>
        <w:t> </w:t>
      </w:r>
      <w:r>
        <w:rPr>
          <w:sz w:val="24"/>
        </w:rPr>
        <w:t>compressibility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excipient.</w:t>
      </w:r>
    </w:p>
    <w:p>
      <w:pPr>
        <w:pStyle w:val="ListParagraph"/>
        <w:numPr>
          <w:ilvl w:val="0"/>
          <w:numId w:val="11"/>
        </w:numPr>
        <w:tabs>
          <w:tab w:pos="1186" w:val="left" w:leader="none"/>
        </w:tabs>
        <w:spacing w:line="480" w:lineRule="auto" w:before="121" w:after="0"/>
        <w:ind w:left="1185" w:right="1261" w:hanging="54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single-based</w:t>
      </w:r>
      <w:r>
        <w:rPr>
          <w:spacing w:val="1"/>
          <w:sz w:val="24"/>
        </w:rPr>
        <w:t> </w:t>
      </w:r>
      <w:r>
        <w:rPr>
          <w:sz w:val="24"/>
        </w:rPr>
        <w:t>excipient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deliver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requirements</w:t>
      </w:r>
      <w:r>
        <w:rPr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-2"/>
          <w:sz w:val="24"/>
        </w:rPr>
        <w:t> </w:t>
      </w:r>
      <w:r>
        <w:rPr>
          <w:sz w:val="24"/>
        </w:rPr>
        <w:t>robust</w:t>
      </w:r>
      <w:r>
        <w:rPr>
          <w:spacing w:val="2"/>
          <w:sz w:val="24"/>
        </w:rPr>
        <w:t> </w:t>
      </w:r>
      <w:r>
        <w:rPr>
          <w:sz w:val="24"/>
        </w:rPr>
        <w:t>direct compression process.</w:t>
      </w:r>
    </w:p>
    <w:p>
      <w:pPr>
        <w:pStyle w:val="ListParagraph"/>
        <w:numPr>
          <w:ilvl w:val="0"/>
          <w:numId w:val="11"/>
        </w:numPr>
        <w:tabs>
          <w:tab w:pos="1186" w:val="left" w:leader="none"/>
        </w:tabs>
        <w:spacing w:line="480" w:lineRule="auto" w:before="120" w:after="0"/>
        <w:ind w:left="1185" w:right="1258" w:hanging="608"/>
        <w:jc w:val="both"/>
        <w:rPr>
          <w:sz w:val="24"/>
        </w:rPr>
      </w:pPr>
      <w:r>
        <w:rPr>
          <w:sz w:val="24"/>
        </w:rPr>
        <w:t>Co-processing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limit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excipients</w:t>
      </w:r>
      <w:r>
        <w:rPr>
          <w:spacing w:val="1"/>
          <w:sz w:val="24"/>
        </w:rPr>
        <w:t> </w:t>
      </w:r>
      <w:r>
        <w:rPr>
          <w:sz w:val="24"/>
        </w:rPr>
        <w:t>added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formulation</w:t>
      </w:r>
      <w:r>
        <w:rPr>
          <w:spacing w:val="1"/>
          <w:sz w:val="24"/>
        </w:rPr>
        <w:t> </w:t>
      </w:r>
      <w:r>
        <w:rPr>
          <w:sz w:val="24"/>
        </w:rPr>
        <w:t>thereby</w:t>
      </w:r>
      <w:r>
        <w:rPr>
          <w:spacing w:val="-6"/>
          <w:sz w:val="24"/>
        </w:rPr>
        <w:t> </w:t>
      </w:r>
      <w:r>
        <w:rPr>
          <w:sz w:val="24"/>
        </w:rPr>
        <w:t>reducing</w:t>
      </w:r>
      <w:r>
        <w:rPr>
          <w:spacing w:val="-3"/>
          <w:sz w:val="24"/>
        </w:rPr>
        <w:t> </w:t>
      </w:r>
      <w:r>
        <w:rPr>
          <w:sz w:val="24"/>
        </w:rPr>
        <w:t>the incidence</w:t>
      </w:r>
      <w:r>
        <w:rPr>
          <w:spacing w:val="-1"/>
          <w:sz w:val="24"/>
        </w:rPr>
        <w:t> </w:t>
      </w:r>
      <w:r>
        <w:rPr>
          <w:sz w:val="24"/>
        </w:rPr>
        <w:t>of incompatibility.</w:t>
      </w:r>
    </w:p>
    <w:p>
      <w:pPr>
        <w:pStyle w:val="ListParagraph"/>
        <w:numPr>
          <w:ilvl w:val="0"/>
          <w:numId w:val="11"/>
        </w:numPr>
        <w:tabs>
          <w:tab w:pos="1186" w:val="left" w:leader="none"/>
        </w:tabs>
        <w:spacing w:line="480" w:lineRule="auto" w:before="118" w:after="0"/>
        <w:ind w:left="1185" w:right="1253" w:hanging="675"/>
        <w:jc w:val="both"/>
        <w:rPr>
          <w:sz w:val="24"/>
        </w:rPr>
      </w:pPr>
      <w:r>
        <w:rPr>
          <w:sz w:val="24"/>
        </w:rPr>
        <w:t>Co-processing is a</w:t>
      </w:r>
      <w:r>
        <w:rPr>
          <w:spacing w:val="1"/>
          <w:sz w:val="24"/>
        </w:rPr>
        <w:t> </w:t>
      </w:r>
      <w:r>
        <w:rPr>
          <w:sz w:val="24"/>
        </w:rPr>
        <w:t>cheaper alternative because</w:t>
      </w:r>
      <w:r>
        <w:rPr>
          <w:spacing w:val="60"/>
          <w:sz w:val="24"/>
        </w:rPr>
        <w:t> </w:t>
      </w:r>
      <w:r>
        <w:rPr>
          <w:sz w:val="24"/>
        </w:rPr>
        <w:t>it involves existing excipients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characterised</w:t>
      </w:r>
      <w:r>
        <w:rPr>
          <w:spacing w:val="1"/>
          <w:sz w:val="24"/>
        </w:rPr>
        <w:t> </w:t>
      </w:r>
      <w:r>
        <w:rPr>
          <w:sz w:val="24"/>
        </w:rPr>
        <w:t>since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already</w:t>
      </w:r>
      <w:r>
        <w:rPr>
          <w:spacing w:val="1"/>
          <w:sz w:val="24"/>
        </w:rPr>
        <w:t> </w:t>
      </w:r>
      <w:r>
        <w:rPr>
          <w:sz w:val="24"/>
        </w:rPr>
        <w:t>documented.</w:t>
      </w:r>
    </w:p>
    <w:p>
      <w:pPr>
        <w:pStyle w:val="ListParagraph"/>
        <w:numPr>
          <w:ilvl w:val="0"/>
          <w:numId w:val="11"/>
        </w:numPr>
        <w:tabs>
          <w:tab w:pos="1186" w:val="left" w:leader="none"/>
        </w:tabs>
        <w:spacing w:line="480" w:lineRule="auto" w:before="120" w:after="0"/>
        <w:ind w:left="1185" w:right="1255" w:hanging="740"/>
        <w:jc w:val="both"/>
        <w:rPr>
          <w:sz w:val="24"/>
        </w:rPr>
      </w:pPr>
      <w:r>
        <w:rPr>
          <w:sz w:val="24"/>
        </w:rPr>
        <w:t>Co-processing involves manipulation of the physical properties excluding any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chemical</w:t>
      </w:r>
      <w:r>
        <w:rPr>
          <w:spacing w:val="2"/>
          <w:sz w:val="24"/>
        </w:rPr>
        <w:t> </w:t>
      </w:r>
      <w:r>
        <w:rPr>
          <w:sz w:val="24"/>
        </w:rPr>
        <w:t>nature</w:t>
      </w:r>
      <w:r>
        <w:rPr>
          <w:spacing w:val="-2"/>
          <w:sz w:val="24"/>
        </w:rPr>
        <w:t> </w:t>
      </w:r>
      <w:r>
        <w:rPr>
          <w:sz w:val="24"/>
        </w:rPr>
        <w:t>of the excipients.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numPr>
          <w:ilvl w:val="1"/>
          <w:numId w:val="10"/>
        </w:numPr>
        <w:tabs>
          <w:tab w:pos="1186" w:val="left" w:leader="none"/>
        </w:tabs>
        <w:spacing w:line="240" w:lineRule="auto" w:before="76" w:after="0"/>
        <w:ind w:left="1185" w:right="0" w:hanging="721"/>
        <w:jc w:val="both"/>
      </w:pPr>
      <w:bookmarkStart w:name="_TOC_250081" w:id="25"/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bookmarkEnd w:id="25"/>
      <w:r>
        <w:rPr/>
        <w:t>Objectives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2"/>
          <w:numId w:val="10"/>
        </w:numPr>
        <w:tabs>
          <w:tab w:pos="1186" w:val="left" w:leader="none"/>
        </w:tabs>
        <w:spacing w:line="240" w:lineRule="auto" w:before="218" w:after="0"/>
        <w:ind w:left="1185" w:right="0" w:hanging="721"/>
        <w:jc w:val="both"/>
      </w:pPr>
      <w:bookmarkStart w:name="_TOC_250080" w:id="26"/>
      <w:bookmarkEnd w:id="26"/>
      <w:r>
        <w:rPr/>
        <w:t>Aim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5" w:right="1253"/>
        <w:jc w:val="both"/>
      </w:pPr>
      <w:r>
        <w:rPr/>
        <w:t>The</w:t>
      </w:r>
      <w:r>
        <w:rPr>
          <w:spacing w:val="21"/>
        </w:rPr>
        <w:t> </w:t>
      </w:r>
      <w:r>
        <w:rPr/>
        <w:t>aim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this</w:t>
      </w:r>
      <w:r>
        <w:rPr>
          <w:spacing w:val="25"/>
        </w:rPr>
        <w:t> </w:t>
      </w:r>
      <w:r>
        <w:rPr/>
        <w:t>research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improve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functionality</w:t>
      </w:r>
      <w:r>
        <w:rPr>
          <w:spacing w:val="17"/>
        </w:rPr>
        <w:t> </w:t>
      </w:r>
      <w:r>
        <w:rPr/>
        <w:t>of</w:t>
      </w:r>
      <w:r>
        <w:rPr>
          <w:spacing w:val="27"/>
        </w:rPr>
        <w:t> </w:t>
      </w:r>
      <w:r>
        <w:rPr/>
        <w:t>cassava</w:t>
      </w:r>
      <w:r>
        <w:rPr>
          <w:spacing w:val="21"/>
        </w:rPr>
        <w:t> </w:t>
      </w:r>
      <w:r>
        <w:rPr/>
        <w:t>starch</w:t>
      </w:r>
      <w:r>
        <w:rPr>
          <w:spacing w:val="25"/>
        </w:rPr>
        <w:t> </w:t>
      </w:r>
      <w:r>
        <w:rPr/>
        <w:t>as</w:t>
      </w:r>
      <w:r>
        <w:rPr>
          <w:spacing w:val="23"/>
        </w:rPr>
        <w:t> </w:t>
      </w:r>
      <w:r>
        <w:rPr/>
        <w:t>excipient</w:t>
      </w:r>
      <w:r>
        <w:rPr>
          <w:spacing w:val="-57"/>
        </w:rPr>
        <w:t> </w:t>
      </w:r>
      <w:r>
        <w:rPr/>
        <w:t>for direct compression by co-processing with gelatin and colloidal silicon dioxide in</w:t>
      </w:r>
      <w:r>
        <w:rPr>
          <w:spacing w:val="1"/>
        </w:rPr>
        <w:t> </w:t>
      </w:r>
      <w:r>
        <w:rPr/>
        <w:t>optimum</w:t>
      </w:r>
      <w:r>
        <w:rPr>
          <w:spacing w:val="-1"/>
        </w:rPr>
        <w:t> </w:t>
      </w:r>
      <w:r>
        <w:rPr/>
        <w:t>proportions.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10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bookmarkStart w:name="_TOC_250079" w:id="27"/>
      <w:bookmarkEnd w:id="27"/>
      <w:r>
        <w:rPr/>
        <w:t>Objectives</w:t>
      </w:r>
    </w:p>
    <w:p>
      <w:pPr>
        <w:pStyle w:val="BodyText"/>
        <w:rPr>
          <w:b/>
          <w:sz w:val="34"/>
        </w:rPr>
      </w:pPr>
    </w:p>
    <w:p>
      <w:pPr>
        <w:pStyle w:val="ListParagraph"/>
        <w:numPr>
          <w:ilvl w:val="0"/>
          <w:numId w:val="12"/>
        </w:numPr>
        <w:tabs>
          <w:tab w:pos="1186" w:val="left" w:leader="none"/>
        </w:tabs>
        <w:spacing w:line="480" w:lineRule="auto" w:before="0" w:after="0"/>
        <w:ind w:left="1185" w:right="1256" w:hanging="488"/>
        <w:jc w:val="both"/>
        <w:rPr>
          <w:sz w:val="24"/>
        </w:rPr>
      </w:pPr>
      <w:r>
        <w:rPr>
          <w:sz w:val="24"/>
        </w:rPr>
        <w:t>To optimize the composition of the co-processed excipient using the Design of</w:t>
      </w:r>
      <w:r>
        <w:rPr>
          <w:spacing w:val="1"/>
          <w:sz w:val="24"/>
        </w:rPr>
        <w:t> </w:t>
      </w:r>
      <w:r>
        <w:rPr>
          <w:sz w:val="24"/>
        </w:rPr>
        <w:t>Experiment</w:t>
      </w:r>
      <w:r>
        <w:rPr>
          <w:spacing w:val="-1"/>
          <w:sz w:val="24"/>
        </w:rPr>
        <w:t> </w:t>
      </w:r>
      <w:r>
        <w:rPr>
          <w:sz w:val="24"/>
        </w:rPr>
        <w:t>(DoE)</w:t>
      </w:r>
      <w:r>
        <w:rPr>
          <w:spacing w:val="-1"/>
          <w:sz w:val="24"/>
        </w:rPr>
        <w:t> </w:t>
      </w:r>
      <w:r>
        <w:rPr>
          <w:sz w:val="24"/>
        </w:rPr>
        <w:t>approach.</w:t>
      </w:r>
    </w:p>
    <w:p>
      <w:pPr>
        <w:pStyle w:val="ListParagraph"/>
        <w:numPr>
          <w:ilvl w:val="0"/>
          <w:numId w:val="12"/>
        </w:numPr>
        <w:tabs>
          <w:tab w:pos="1186" w:val="left" w:leader="none"/>
        </w:tabs>
        <w:spacing w:line="240" w:lineRule="auto" w:before="121" w:after="0"/>
        <w:ind w:left="1185" w:right="0" w:hanging="556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prepare</w:t>
      </w:r>
      <w:r>
        <w:rPr>
          <w:spacing w:val="-2"/>
          <w:sz w:val="24"/>
        </w:rPr>
        <w:t> </w:t>
      </w:r>
      <w:r>
        <w:rPr>
          <w:sz w:val="24"/>
        </w:rPr>
        <w:t>the co-processed</w:t>
      </w:r>
      <w:r>
        <w:rPr>
          <w:spacing w:val="-1"/>
          <w:sz w:val="24"/>
        </w:rPr>
        <w:t> </w:t>
      </w:r>
      <w:r>
        <w:rPr>
          <w:sz w:val="24"/>
        </w:rPr>
        <w:t>excipient using</w:t>
      </w:r>
      <w:r>
        <w:rPr>
          <w:spacing w:val="-4"/>
          <w:sz w:val="24"/>
        </w:rPr>
        <w:t> </w:t>
      </w:r>
      <w:r>
        <w:rPr>
          <w:sz w:val="24"/>
        </w:rPr>
        <w:t>the optimized</w:t>
      </w:r>
      <w:r>
        <w:rPr>
          <w:spacing w:val="-1"/>
          <w:sz w:val="24"/>
        </w:rPr>
        <w:t> </w:t>
      </w:r>
      <w:r>
        <w:rPr>
          <w:sz w:val="24"/>
        </w:rPr>
        <w:t>formula.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0"/>
          <w:numId w:val="12"/>
        </w:numPr>
        <w:tabs>
          <w:tab w:pos="1186" w:val="left" w:leader="none"/>
        </w:tabs>
        <w:spacing w:line="480" w:lineRule="auto" w:before="1" w:after="0"/>
        <w:ind w:left="1185" w:right="1253" w:hanging="62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carry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solid-state</w:t>
      </w:r>
      <w:r>
        <w:rPr>
          <w:spacing w:val="1"/>
          <w:sz w:val="24"/>
        </w:rPr>
        <w:t> </w:t>
      </w:r>
      <w:r>
        <w:rPr>
          <w:sz w:val="24"/>
        </w:rPr>
        <w:t>characterisation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analytical</w:t>
      </w:r>
      <w:r>
        <w:rPr>
          <w:spacing w:val="1"/>
          <w:sz w:val="24"/>
        </w:rPr>
        <w:t> </w:t>
      </w:r>
      <w:r>
        <w:rPr>
          <w:sz w:val="24"/>
        </w:rPr>
        <w:t>techniques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Scanning</w:t>
      </w:r>
      <w:r>
        <w:rPr>
          <w:spacing w:val="1"/>
          <w:sz w:val="24"/>
        </w:rPr>
        <w:t> </w:t>
      </w:r>
      <w:r>
        <w:rPr>
          <w:sz w:val="24"/>
        </w:rPr>
        <w:t>electron</w:t>
      </w:r>
      <w:r>
        <w:rPr>
          <w:spacing w:val="1"/>
          <w:sz w:val="24"/>
        </w:rPr>
        <w:t> </w:t>
      </w:r>
      <w:r>
        <w:rPr>
          <w:sz w:val="24"/>
        </w:rPr>
        <w:t>microscopy</w:t>
      </w:r>
      <w:r>
        <w:rPr>
          <w:spacing w:val="1"/>
          <w:sz w:val="24"/>
        </w:rPr>
        <w:t> </w:t>
      </w:r>
      <w:r>
        <w:rPr>
          <w:sz w:val="24"/>
        </w:rPr>
        <w:t>(SEM),</w:t>
      </w:r>
      <w:r>
        <w:rPr>
          <w:spacing w:val="1"/>
          <w:sz w:val="24"/>
        </w:rPr>
        <w:t> </w:t>
      </w:r>
      <w:r>
        <w:rPr>
          <w:sz w:val="24"/>
        </w:rPr>
        <w:t>Confocal</w:t>
      </w:r>
      <w:r>
        <w:rPr>
          <w:spacing w:val="1"/>
          <w:sz w:val="24"/>
        </w:rPr>
        <w:t> </w:t>
      </w:r>
      <w:r>
        <w:rPr>
          <w:sz w:val="24"/>
        </w:rPr>
        <w:t>laser</w:t>
      </w:r>
      <w:r>
        <w:rPr>
          <w:spacing w:val="1"/>
          <w:sz w:val="24"/>
        </w:rPr>
        <w:t> </w:t>
      </w:r>
      <w:r>
        <w:rPr>
          <w:sz w:val="24"/>
        </w:rPr>
        <w:t>scanning</w:t>
      </w:r>
      <w:r>
        <w:rPr>
          <w:spacing w:val="1"/>
          <w:sz w:val="24"/>
        </w:rPr>
        <w:t> </w:t>
      </w:r>
      <w:r>
        <w:rPr>
          <w:sz w:val="24"/>
        </w:rPr>
        <w:t>microscopy</w:t>
      </w:r>
      <w:r>
        <w:rPr>
          <w:spacing w:val="1"/>
          <w:sz w:val="24"/>
        </w:rPr>
        <w:t> </w:t>
      </w:r>
      <w:r>
        <w:rPr>
          <w:sz w:val="24"/>
        </w:rPr>
        <w:t>(CLSM), Differential scanning calorimetry (DSC), Fourier transform infrared</w:t>
      </w:r>
      <w:r>
        <w:rPr>
          <w:spacing w:val="1"/>
          <w:sz w:val="24"/>
        </w:rPr>
        <w:t> </w:t>
      </w:r>
      <w:r>
        <w:rPr>
          <w:sz w:val="24"/>
        </w:rPr>
        <w:t>spectroscopy</w:t>
      </w:r>
      <w:r>
        <w:rPr>
          <w:spacing w:val="-5"/>
          <w:sz w:val="24"/>
        </w:rPr>
        <w:t> </w:t>
      </w:r>
      <w:r>
        <w:rPr>
          <w:sz w:val="24"/>
        </w:rPr>
        <w:t>(FT-IR)</w:t>
      </w:r>
      <w:r>
        <w:rPr>
          <w:spacing w:val="-1"/>
          <w:sz w:val="24"/>
        </w:rPr>
        <w:t> </w:t>
      </w:r>
      <w:r>
        <w:rPr>
          <w:sz w:val="24"/>
        </w:rPr>
        <w:t>and Powder X-ray</w:t>
      </w:r>
      <w:r>
        <w:rPr>
          <w:spacing w:val="-5"/>
          <w:sz w:val="24"/>
        </w:rPr>
        <w:t> </w:t>
      </w:r>
      <w:r>
        <w:rPr>
          <w:sz w:val="24"/>
        </w:rPr>
        <w:t>diffraction (PXRD).</w:t>
      </w:r>
    </w:p>
    <w:p>
      <w:pPr>
        <w:pStyle w:val="ListParagraph"/>
        <w:numPr>
          <w:ilvl w:val="0"/>
          <w:numId w:val="12"/>
        </w:numPr>
        <w:tabs>
          <w:tab w:pos="1186" w:val="left" w:leader="none"/>
        </w:tabs>
        <w:spacing w:line="240" w:lineRule="auto" w:before="120" w:after="0"/>
        <w:ind w:left="1185" w:right="0" w:hanging="608"/>
        <w:jc w:val="both"/>
        <w:rPr>
          <w:sz w:val="24"/>
        </w:rPr>
      </w:pP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determine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physico-mechanical</w:t>
      </w:r>
      <w:r>
        <w:rPr>
          <w:spacing w:val="34"/>
          <w:sz w:val="24"/>
        </w:rPr>
        <w:t> </w:t>
      </w:r>
      <w:r>
        <w:rPr>
          <w:sz w:val="24"/>
        </w:rPr>
        <w:t>properties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co-processed</w:t>
      </w:r>
      <w:r>
        <w:rPr>
          <w:spacing w:val="33"/>
          <w:sz w:val="24"/>
        </w:rPr>
        <w:t> </w:t>
      </w:r>
      <w:r>
        <w:rPr>
          <w:sz w:val="24"/>
        </w:rPr>
        <w:t>excipient</w:t>
      </w:r>
    </w:p>
    <w:p>
      <w:pPr>
        <w:pStyle w:val="BodyText"/>
      </w:pPr>
    </w:p>
    <w:p>
      <w:pPr>
        <w:pStyle w:val="BodyText"/>
        <w:spacing w:line="480" w:lineRule="auto"/>
        <w:ind w:left="1185" w:right="1254"/>
      </w:pPr>
      <w:r>
        <w:rPr/>
        <w:t>i.e.</w:t>
      </w:r>
      <w:r>
        <w:rPr>
          <w:spacing w:val="16"/>
        </w:rPr>
        <w:t> </w:t>
      </w:r>
      <w:r>
        <w:rPr/>
        <w:t>particle</w:t>
      </w:r>
      <w:r>
        <w:rPr>
          <w:spacing w:val="15"/>
        </w:rPr>
        <w:t> </w:t>
      </w:r>
      <w:r>
        <w:rPr/>
        <w:t>size</w:t>
      </w:r>
      <w:r>
        <w:rPr>
          <w:spacing w:val="15"/>
        </w:rPr>
        <w:t> </w:t>
      </w:r>
      <w:r>
        <w:rPr/>
        <w:t>analysis,</w:t>
      </w:r>
      <w:r>
        <w:rPr>
          <w:spacing w:val="17"/>
        </w:rPr>
        <w:t> </w:t>
      </w:r>
      <w:r>
        <w:rPr/>
        <w:t>flow</w:t>
      </w:r>
      <w:r>
        <w:rPr>
          <w:spacing w:val="15"/>
        </w:rPr>
        <w:t> </w:t>
      </w:r>
      <w:r>
        <w:rPr/>
        <w:t>properties,</w:t>
      </w:r>
      <w:r>
        <w:rPr>
          <w:spacing w:val="16"/>
        </w:rPr>
        <w:t> </w:t>
      </w:r>
      <w:r>
        <w:rPr/>
        <w:t>bulk,</w:t>
      </w:r>
      <w:r>
        <w:rPr>
          <w:spacing w:val="17"/>
        </w:rPr>
        <w:t> </w:t>
      </w:r>
      <w:r>
        <w:rPr/>
        <w:t>tapped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true</w:t>
      </w:r>
      <w:r>
        <w:rPr>
          <w:spacing w:val="15"/>
        </w:rPr>
        <w:t> </w:t>
      </w:r>
      <w:r>
        <w:rPr/>
        <w:t>densities,</w:t>
      </w:r>
      <w:r>
        <w:rPr>
          <w:spacing w:val="-57"/>
        </w:rPr>
        <w:t> </w:t>
      </w:r>
      <w:r>
        <w:rPr/>
        <w:t>moisture</w:t>
      </w:r>
      <w:r>
        <w:rPr>
          <w:spacing w:val="-3"/>
        </w:rPr>
        <w:t> </w:t>
      </w:r>
      <w:r>
        <w:rPr/>
        <w:t>content, dilution potential, lubricant</w:t>
      </w:r>
      <w:r>
        <w:rPr>
          <w:spacing w:val="-1"/>
        </w:rPr>
        <w:t> </w:t>
      </w:r>
      <w:r>
        <w:rPr/>
        <w:t>sensitivity.</w:t>
      </w:r>
    </w:p>
    <w:p>
      <w:pPr>
        <w:pStyle w:val="ListParagraph"/>
        <w:numPr>
          <w:ilvl w:val="0"/>
          <w:numId w:val="12"/>
        </w:numPr>
        <w:tabs>
          <w:tab w:pos="1185" w:val="left" w:leader="none"/>
          <w:tab w:pos="1186" w:val="left" w:leader="none"/>
        </w:tabs>
        <w:spacing w:line="480" w:lineRule="auto" w:before="121" w:after="0"/>
        <w:ind w:left="1185" w:right="1252" w:hanging="540"/>
        <w:jc w:val="left"/>
        <w:rPr>
          <w:sz w:val="24"/>
        </w:rPr>
      </w:pPr>
      <w:r>
        <w:rPr>
          <w:sz w:val="24"/>
        </w:rPr>
        <w:t>To</w:t>
      </w:r>
      <w:r>
        <w:rPr>
          <w:spacing w:val="40"/>
          <w:sz w:val="24"/>
        </w:rPr>
        <w:t> </w:t>
      </w:r>
      <w:r>
        <w:rPr>
          <w:sz w:val="24"/>
        </w:rPr>
        <w:t>characterize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deformation</w:t>
      </w:r>
      <w:r>
        <w:rPr>
          <w:spacing w:val="43"/>
          <w:sz w:val="24"/>
        </w:rPr>
        <w:t> </w:t>
      </w:r>
      <w:r>
        <w:rPr>
          <w:sz w:val="24"/>
        </w:rPr>
        <w:t>behaviour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excipient</w:t>
      </w:r>
      <w:r>
        <w:rPr>
          <w:spacing w:val="42"/>
          <w:sz w:val="24"/>
        </w:rPr>
        <w:t> </w:t>
      </w:r>
      <w:r>
        <w:rPr>
          <w:sz w:val="24"/>
        </w:rPr>
        <w:t>using</w:t>
      </w:r>
      <w:r>
        <w:rPr>
          <w:spacing w:val="42"/>
          <w:sz w:val="24"/>
        </w:rPr>
        <w:t> </w:t>
      </w:r>
      <w:r>
        <w:rPr>
          <w:sz w:val="24"/>
        </w:rPr>
        <w:t>compaction</w:t>
      </w:r>
      <w:r>
        <w:rPr>
          <w:spacing w:val="-57"/>
          <w:sz w:val="24"/>
        </w:rPr>
        <w:t> </w:t>
      </w:r>
      <w:r>
        <w:rPr>
          <w:sz w:val="24"/>
        </w:rPr>
        <w:t>models</w:t>
      </w:r>
      <w:r>
        <w:rPr>
          <w:spacing w:val="-1"/>
          <w:sz w:val="24"/>
        </w:rPr>
        <w:t> </w:t>
      </w:r>
      <w:r>
        <w:rPr>
          <w:sz w:val="24"/>
        </w:rPr>
        <w:t>like Heckel and</w:t>
      </w:r>
      <w:r>
        <w:rPr>
          <w:spacing w:val="1"/>
          <w:sz w:val="24"/>
        </w:rPr>
        <w:t> </w:t>
      </w:r>
      <w:r>
        <w:rPr>
          <w:sz w:val="24"/>
        </w:rPr>
        <w:t>Kawakita</w:t>
      </w:r>
      <w:r>
        <w:rPr>
          <w:spacing w:val="3"/>
          <w:sz w:val="24"/>
        </w:rPr>
        <w:t> </w:t>
      </w:r>
      <w:r>
        <w:rPr>
          <w:sz w:val="24"/>
        </w:rPr>
        <w:t>equations.</w:t>
      </w:r>
    </w:p>
    <w:p>
      <w:pPr>
        <w:pStyle w:val="ListParagraph"/>
        <w:numPr>
          <w:ilvl w:val="0"/>
          <w:numId w:val="12"/>
        </w:numPr>
        <w:tabs>
          <w:tab w:pos="1185" w:val="left" w:leader="none"/>
          <w:tab w:pos="1186" w:val="left" w:leader="none"/>
        </w:tabs>
        <w:spacing w:line="480" w:lineRule="auto" w:before="118" w:after="0"/>
        <w:ind w:left="1185" w:right="1255" w:hanging="608"/>
        <w:jc w:val="left"/>
        <w:rPr>
          <w:sz w:val="24"/>
        </w:rPr>
      </w:pPr>
      <w:r>
        <w:rPr>
          <w:sz w:val="24"/>
        </w:rPr>
        <w:t>To</w:t>
      </w:r>
      <w:r>
        <w:rPr>
          <w:spacing w:val="35"/>
          <w:sz w:val="24"/>
        </w:rPr>
        <w:t> </w:t>
      </w:r>
      <w:r>
        <w:rPr>
          <w:sz w:val="24"/>
        </w:rPr>
        <w:t>formulate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evaluate</w:t>
      </w:r>
      <w:r>
        <w:rPr>
          <w:spacing w:val="35"/>
          <w:sz w:val="24"/>
        </w:rPr>
        <w:t> </w:t>
      </w:r>
      <w:r>
        <w:rPr>
          <w:sz w:val="24"/>
        </w:rPr>
        <w:t>tablets</w:t>
      </w:r>
      <w:r>
        <w:rPr>
          <w:spacing w:val="36"/>
          <w:sz w:val="24"/>
        </w:rPr>
        <w:t> </w:t>
      </w:r>
      <w:r>
        <w:rPr>
          <w:sz w:val="24"/>
        </w:rPr>
        <w:t>by</w:t>
      </w:r>
      <w:r>
        <w:rPr>
          <w:spacing w:val="30"/>
          <w:sz w:val="24"/>
        </w:rPr>
        <w:t> </w:t>
      </w:r>
      <w:r>
        <w:rPr>
          <w:sz w:val="24"/>
        </w:rPr>
        <w:t>direct</w:t>
      </w:r>
      <w:r>
        <w:rPr>
          <w:spacing w:val="38"/>
          <w:sz w:val="24"/>
        </w:rPr>
        <w:t> </w:t>
      </w:r>
      <w:r>
        <w:rPr>
          <w:sz w:val="24"/>
        </w:rPr>
        <w:t>compression</w:t>
      </w:r>
      <w:r>
        <w:rPr>
          <w:spacing w:val="35"/>
          <w:sz w:val="24"/>
        </w:rPr>
        <w:t> </w:t>
      </w:r>
      <w:r>
        <w:rPr>
          <w:sz w:val="24"/>
        </w:rPr>
        <w:t>using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34"/>
          <w:sz w:val="24"/>
        </w:rPr>
        <w:t> </w:t>
      </w:r>
      <w:r>
        <w:rPr>
          <w:sz w:val="24"/>
        </w:rPr>
        <w:t>poorly</w:t>
      </w:r>
      <w:r>
        <w:rPr>
          <w:spacing w:val="-57"/>
          <w:sz w:val="24"/>
        </w:rPr>
        <w:t> </w:t>
      </w:r>
      <w:r>
        <w:rPr>
          <w:sz w:val="24"/>
        </w:rPr>
        <w:t>compactible</w:t>
      </w:r>
      <w:r>
        <w:rPr>
          <w:spacing w:val="-1"/>
          <w:sz w:val="24"/>
        </w:rPr>
        <w:t> </w:t>
      </w:r>
      <w:r>
        <w:rPr>
          <w:sz w:val="24"/>
        </w:rPr>
        <w:t>drug</w:t>
      </w:r>
      <w:r>
        <w:rPr>
          <w:spacing w:val="-3"/>
          <w:sz w:val="24"/>
        </w:rPr>
        <w:t> </w:t>
      </w:r>
      <w:r>
        <w:rPr>
          <w:sz w:val="24"/>
        </w:rPr>
        <w:t>model</w:t>
      </w:r>
      <w:r>
        <w:rPr>
          <w:spacing w:val="2"/>
          <w:sz w:val="24"/>
        </w:rPr>
        <w:t> </w:t>
      </w:r>
      <w:r>
        <w:rPr>
          <w:sz w:val="24"/>
        </w:rPr>
        <w:t>i.e.</w:t>
      </w:r>
      <w:r>
        <w:rPr>
          <w:spacing w:val="1"/>
          <w:sz w:val="24"/>
        </w:rPr>
        <w:t> </w:t>
      </w:r>
      <w:r>
        <w:rPr>
          <w:sz w:val="24"/>
        </w:rPr>
        <w:t>Ibuprofen.</w:t>
      </w:r>
    </w:p>
    <w:p>
      <w:pPr>
        <w:pStyle w:val="ListParagraph"/>
        <w:numPr>
          <w:ilvl w:val="0"/>
          <w:numId w:val="12"/>
        </w:numPr>
        <w:tabs>
          <w:tab w:pos="1185" w:val="left" w:leader="none"/>
          <w:tab w:pos="1186" w:val="left" w:leader="none"/>
        </w:tabs>
        <w:spacing w:line="480" w:lineRule="auto" w:before="120" w:after="0"/>
        <w:ind w:left="1185" w:right="1252" w:hanging="675"/>
        <w:jc w:val="left"/>
        <w:rPr>
          <w:sz w:val="24"/>
        </w:rPr>
      </w:pP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evaluate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performance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co-processed</w:t>
      </w:r>
      <w:r>
        <w:rPr>
          <w:spacing w:val="5"/>
          <w:sz w:val="24"/>
        </w:rPr>
        <w:t> </w:t>
      </w:r>
      <w:r>
        <w:rPr>
          <w:sz w:val="24"/>
        </w:rPr>
        <w:t>excipient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comparison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two</w:t>
      </w:r>
      <w:r>
        <w:rPr>
          <w:spacing w:val="-57"/>
          <w:sz w:val="24"/>
        </w:rPr>
        <w:t> </w:t>
      </w:r>
      <w:r>
        <w:rPr>
          <w:sz w:val="24"/>
        </w:rPr>
        <w:t>commercially</w:t>
      </w:r>
      <w:r>
        <w:rPr>
          <w:spacing w:val="-6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co-processed excipient (Prosolv</w:t>
      </w:r>
      <w:r>
        <w:rPr>
          <w:sz w:val="24"/>
          <w:vertAlign w:val="superscript"/>
        </w:rPr>
        <w:t>®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StarLac</w:t>
      </w:r>
      <w:r>
        <w:rPr>
          <w:sz w:val="24"/>
          <w:vertAlign w:val="superscript"/>
        </w:rPr>
        <w:t>®</w:t>
      </w:r>
      <w:r>
        <w:rPr>
          <w:sz w:val="24"/>
          <w:vertAlign w:val="baseline"/>
        </w:rPr>
        <w:t>).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numPr>
          <w:ilvl w:val="1"/>
          <w:numId w:val="10"/>
        </w:numPr>
        <w:tabs>
          <w:tab w:pos="1185" w:val="left" w:leader="none"/>
          <w:tab w:pos="1186" w:val="left" w:leader="none"/>
        </w:tabs>
        <w:spacing w:line="240" w:lineRule="auto" w:before="76" w:after="0"/>
        <w:ind w:left="1185" w:right="0" w:hanging="721"/>
        <w:jc w:val="left"/>
      </w:pPr>
      <w:bookmarkStart w:name="_TOC_250078" w:id="28"/>
      <w:r>
        <w:rPr/>
        <w:t>Research</w:t>
      </w:r>
      <w:r>
        <w:rPr>
          <w:spacing w:val="-5"/>
        </w:rPr>
        <w:t> </w:t>
      </w:r>
      <w:bookmarkEnd w:id="28"/>
      <w:r>
        <w:rPr/>
        <w:t>Hypothesis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2"/>
          <w:numId w:val="10"/>
        </w:numPr>
        <w:tabs>
          <w:tab w:pos="1185" w:val="left" w:leader="none"/>
          <w:tab w:pos="1186" w:val="left" w:leader="none"/>
        </w:tabs>
        <w:spacing w:line="240" w:lineRule="auto" w:before="218" w:after="0"/>
        <w:ind w:left="1185" w:right="0" w:hanging="721"/>
        <w:jc w:val="left"/>
      </w:pPr>
      <w:bookmarkStart w:name="_TOC_250077" w:id="29"/>
      <w:r>
        <w:rPr/>
        <w:t>Null</w:t>
      </w:r>
      <w:r>
        <w:rPr>
          <w:spacing w:val="-2"/>
        </w:rPr>
        <w:t> </w:t>
      </w:r>
      <w:r>
        <w:rPr/>
        <w:t>Hypothesis (H</w:t>
      </w:r>
      <w:r>
        <w:rPr>
          <w:vertAlign w:val="subscript"/>
        </w:rPr>
        <w:t>0</w:t>
      </w:r>
      <w:bookmarkEnd w:id="29"/>
      <w:r>
        <w:rPr>
          <w:vertAlign w:val="baseline"/>
        </w:rPr>
        <w:t>)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5" w:right="1252"/>
        <w:jc w:val="both"/>
      </w:pPr>
      <w:r>
        <w:rPr/>
        <w:t>The</w:t>
      </w:r>
      <w:r>
        <w:rPr>
          <w:spacing w:val="1"/>
        </w:rPr>
        <w:t> </w:t>
      </w:r>
      <w:r>
        <w:rPr/>
        <w:t>co-processing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gelatin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colloidal</w:t>
      </w:r>
      <w:r>
        <w:rPr>
          <w:spacing w:val="1"/>
        </w:rPr>
        <w:t> </w:t>
      </w:r>
      <w:r>
        <w:rPr/>
        <w:t>silicon</w:t>
      </w:r>
      <w:r>
        <w:rPr>
          <w:spacing w:val="1"/>
        </w:rPr>
        <w:t> </w:t>
      </w:r>
      <w:r>
        <w:rPr/>
        <w:t>dioxide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optimized</w:t>
      </w:r>
      <w:r>
        <w:rPr>
          <w:spacing w:val="1"/>
        </w:rPr>
        <w:t> </w:t>
      </w:r>
      <w:r>
        <w:rPr/>
        <w:t>ratios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multifunctional</w:t>
      </w:r>
      <w:r>
        <w:rPr>
          <w:spacing w:val="1"/>
        </w:rPr>
        <w:t> </w:t>
      </w:r>
      <w:r>
        <w:rPr/>
        <w:t>excipient</w:t>
      </w:r>
      <w:r>
        <w:rPr>
          <w:spacing w:val="-1"/>
        </w:rPr>
        <w:t> </w:t>
      </w:r>
      <w:r>
        <w:rPr/>
        <w:t>in tablet formulation by</w:t>
      </w:r>
      <w:r>
        <w:rPr>
          <w:spacing w:val="-5"/>
        </w:rPr>
        <w:t> </w:t>
      </w:r>
      <w:r>
        <w:rPr/>
        <w:t>direct compression.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10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bookmarkStart w:name="_TOC_250076" w:id="30"/>
      <w:r>
        <w:rPr/>
        <w:t>Alternate</w:t>
      </w:r>
      <w:r>
        <w:rPr>
          <w:spacing w:val="-2"/>
        </w:rPr>
        <w:t> </w:t>
      </w:r>
      <w:r>
        <w:rPr/>
        <w:t>Hypothesis (H</w:t>
      </w:r>
      <w:r>
        <w:rPr>
          <w:vertAlign w:val="subscript"/>
        </w:rPr>
        <w:t>a</w:t>
      </w:r>
      <w:bookmarkEnd w:id="30"/>
      <w:r>
        <w:rPr>
          <w:vertAlign w:val="baseline"/>
        </w:rPr>
        <w:t>)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5" w:right="1255"/>
        <w:jc w:val="both"/>
      </w:pPr>
      <w:r>
        <w:rPr/>
        <w:t>The</w:t>
      </w:r>
      <w:r>
        <w:rPr>
          <w:spacing w:val="1"/>
        </w:rPr>
        <w:t> </w:t>
      </w:r>
      <w:r>
        <w:rPr/>
        <w:t>co-processing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gelatin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colloidal</w:t>
      </w:r>
      <w:r>
        <w:rPr>
          <w:spacing w:val="1"/>
        </w:rPr>
        <w:t> </w:t>
      </w:r>
      <w:r>
        <w:rPr/>
        <w:t>silicon</w:t>
      </w:r>
      <w:r>
        <w:rPr>
          <w:spacing w:val="1"/>
        </w:rPr>
        <w:t> </w:t>
      </w:r>
      <w:r>
        <w:rPr/>
        <w:t>dioxide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optimized</w:t>
      </w:r>
      <w:r>
        <w:rPr>
          <w:spacing w:val="17"/>
        </w:rPr>
        <w:t> </w:t>
      </w:r>
      <w:r>
        <w:rPr/>
        <w:t>ratios</w:t>
      </w:r>
      <w:r>
        <w:rPr>
          <w:spacing w:val="19"/>
        </w:rPr>
        <w:t> </w:t>
      </w:r>
      <w:r>
        <w:rPr/>
        <w:t>will</w:t>
      </w:r>
      <w:r>
        <w:rPr>
          <w:spacing w:val="19"/>
        </w:rPr>
        <w:t> </w:t>
      </w:r>
      <w:r>
        <w:rPr/>
        <w:t>improve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functionality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starch</w:t>
      </w:r>
      <w:r>
        <w:rPr>
          <w:spacing w:val="21"/>
        </w:rPr>
        <w:t> </w:t>
      </w:r>
      <w:r>
        <w:rPr/>
        <w:t>as</w:t>
      </w:r>
      <w:r>
        <w:rPr>
          <w:spacing w:val="21"/>
        </w:rPr>
        <w:t> </w:t>
      </w:r>
      <w:r>
        <w:rPr/>
        <w:t>a</w:t>
      </w:r>
      <w:r>
        <w:rPr>
          <w:spacing w:val="18"/>
        </w:rPr>
        <w:t> </w:t>
      </w:r>
      <w:r>
        <w:rPr/>
        <w:t>multifunctional</w:t>
      </w:r>
      <w:r>
        <w:rPr>
          <w:spacing w:val="20"/>
        </w:rPr>
        <w:t> </w:t>
      </w:r>
      <w:r>
        <w:rPr/>
        <w:t>excipient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tablet formulation by</w:t>
      </w:r>
      <w:r>
        <w:rPr>
          <w:spacing w:val="-5"/>
        </w:rPr>
        <w:t> </w:t>
      </w:r>
      <w:r>
        <w:rPr/>
        <w:t>direct compression.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spacing w:before="77"/>
        <w:ind w:left="643" w:right="1436"/>
        <w:jc w:val="center"/>
      </w:pPr>
      <w:bookmarkStart w:name="_TOC_250075" w:id="31"/>
      <w:r>
        <w:rPr/>
        <w:t>CHAPTER</w:t>
      </w:r>
      <w:r>
        <w:rPr>
          <w:spacing w:val="-2"/>
        </w:rPr>
        <w:t> </w:t>
      </w:r>
      <w:bookmarkEnd w:id="31"/>
      <w:r>
        <w:rPr/>
        <w:t>TWO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1"/>
          <w:numId w:val="13"/>
        </w:numPr>
        <w:tabs>
          <w:tab w:pos="3753" w:val="left" w:leader="none"/>
          <w:tab w:pos="3754" w:val="left" w:leader="none"/>
        </w:tabs>
        <w:spacing w:line="240" w:lineRule="auto" w:before="217" w:after="0"/>
        <w:ind w:left="3753" w:right="0" w:hanging="721"/>
        <w:jc w:val="left"/>
      </w:pPr>
      <w:bookmarkStart w:name="_TOC_250074" w:id="32"/>
      <w:r>
        <w:rPr/>
        <w:t>LITERATURE</w:t>
      </w:r>
      <w:r>
        <w:rPr>
          <w:spacing w:val="-2"/>
        </w:rPr>
        <w:t> </w:t>
      </w:r>
      <w:bookmarkEnd w:id="32"/>
      <w:r>
        <w:rPr/>
        <w:t>REVIEW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1"/>
          <w:numId w:val="13"/>
        </w:numPr>
        <w:tabs>
          <w:tab w:pos="1185" w:val="left" w:leader="none"/>
          <w:tab w:pos="1186" w:val="left" w:leader="none"/>
        </w:tabs>
        <w:spacing w:line="240" w:lineRule="auto" w:before="217" w:after="0"/>
        <w:ind w:left="1185" w:right="0" w:hanging="721"/>
        <w:jc w:val="left"/>
      </w:pPr>
      <w:bookmarkStart w:name="_TOC_250073" w:id="33"/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novel</w:t>
      </w:r>
      <w:r>
        <w:rPr>
          <w:spacing w:val="-1"/>
        </w:rPr>
        <w:t> </w:t>
      </w:r>
      <w:bookmarkEnd w:id="33"/>
      <w:r>
        <w:rPr/>
        <w:t>excipients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5" w:right="1255"/>
        <w:jc w:val="both"/>
      </w:pPr>
      <w:r>
        <w:rPr/>
        <w:t>More</w:t>
      </w:r>
      <w:r>
        <w:rPr>
          <w:spacing w:val="1"/>
        </w:rPr>
        <w:t> </w:t>
      </w:r>
      <w:r>
        <w:rPr/>
        <w:t>recently,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novel excipients so far has been market driven (i.e. excipients are</w:t>
      </w:r>
      <w:r>
        <w:rPr>
          <w:spacing w:val="1"/>
        </w:rPr>
        <w:t> </w:t>
      </w:r>
      <w:r>
        <w:rPr/>
        <w:t>developed in response to market demand) rather than marketing driven (i.e. excipients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strategies).</w:t>
      </w:r>
      <w:r>
        <w:rPr>
          <w:spacing w:val="1"/>
        </w:rPr>
        <w:t> </w:t>
      </w:r>
      <w:r>
        <w:rPr/>
        <w:t>One</w:t>
      </w:r>
      <w:r>
        <w:rPr>
          <w:spacing w:val="-57"/>
        </w:rPr>
        <w:t> </w:t>
      </w:r>
      <w:r>
        <w:rPr/>
        <w:t>reason for this lack of new excipients is the relatively high cost involved in excipient</w:t>
      </w:r>
      <w:r>
        <w:rPr>
          <w:spacing w:val="1"/>
        </w:rPr>
        <w:t> </w:t>
      </w:r>
      <w:r>
        <w:rPr/>
        <w:t>development, including the toxicity profile. However, with the increasing number of</w:t>
      </w:r>
      <w:r>
        <w:rPr>
          <w:spacing w:val="1"/>
        </w:rPr>
        <w:t> </w:t>
      </w:r>
      <w:r>
        <w:rPr/>
        <w:t>new drug molecules with varying physicochemical, pharmacokinetic, permeation and</w:t>
      </w:r>
      <w:r>
        <w:rPr>
          <w:spacing w:val="1"/>
        </w:rPr>
        <w:t> </w:t>
      </w:r>
      <w:r>
        <w:rPr/>
        <w:t>stability properties, there is a growing interest among formulators to search for new</w:t>
      </w:r>
      <w:r>
        <w:rPr>
          <w:spacing w:val="1"/>
        </w:rPr>
        <w:t> </w:t>
      </w:r>
      <w:r>
        <w:rPr/>
        <w:t>excipients that have minimal scale-up problems, low manufacturing costs, and little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impact (Marwaha</w:t>
      </w:r>
      <w:r>
        <w:rPr>
          <w:spacing w:val="-1"/>
        </w:rPr>
        <w:t> </w:t>
      </w:r>
      <w:r>
        <w:rPr>
          <w:i/>
        </w:rPr>
        <w:t>et al.</w:t>
      </w:r>
      <w:r>
        <w:rPr/>
        <w:t>, 2010).</w:t>
      </w:r>
    </w:p>
    <w:p>
      <w:pPr>
        <w:pStyle w:val="BodyText"/>
        <w:spacing w:line="480" w:lineRule="auto" w:before="122"/>
        <w:ind w:left="465" w:right="1254"/>
        <w:jc w:val="both"/>
      </w:pPr>
      <w:r>
        <w:rPr/>
        <w:t>Other factors driving the search for new excipients as reported byNachaegari and Bansal</w:t>
      </w:r>
      <w:r>
        <w:rPr>
          <w:spacing w:val="-57"/>
        </w:rPr>
        <w:t> </w:t>
      </w:r>
      <w:r>
        <w:rPr/>
        <w:t>(2004)</w:t>
      </w:r>
      <w:r>
        <w:rPr>
          <w:spacing w:val="-2"/>
        </w:rPr>
        <w:t> </w:t>
      </w:r>
      <w:r>
        <w:rPr/>
        <w:t>include</w:t>
      </w:r>
      <w:r>
        <w:rPr>
          <w:spacing w:val="-1"/>
        </w:rPr>
        <w:t> </w:t>
      </w:r>
      <w:r>
        <w:rPr/>
        <w:t>the following:</w:t>
      </w:r>
    </w:p>
    <w:p>
      <w:pPr>
        <w:pStyle w:val="ListParagraph"/>
        <w:numPr>
          <w:ilvl w:val="0"/>
          <w:numId w:val="14"/>
        </w:numPr>
        <w:tabs>
          <w:tab w:pos="1186" w:val="left" w:leader="none"/>
        </w:tabs>
        <w:spacing w:line="480" w:lineRule="auto" w:before="120" w:after="0"/>
        <w:ind w:left="1185" w:right="1259" w:hanging="360"/>
        <w:jc w:val="both"/>
        <w:rPr>
          <w:sz w:val="24"/>
        </w:rPr>
      </w:pPr>
      <w:r>
        <w:rPr>
          <w:sz w:val="24"/>
        </w:rPr>
        <w:t>The growing popularity of the direct compression process and demands for an</w:t>
      </w:r>
      <w:r>
        <w:rPr>
          <w:spacing w:val="1"/>
          <w:sz w:val="24"/>
        </w:rPr>
        <w:t> </w:t>
      </w:r>
      <w:r>
        <w:rPr>
          <w:sz w:val="24"/>
        </w:rPr>
        <w:t>ideal filler-binder that can replace two or more excipients, avoiding the need for</w:t>
      </w:r>
      <w:r>
        <w:rPr>
          <w:spacing w:val="1"/>
          <w:sz w:val="24"/>
        </w:rPr>
        <w:t> </w:t>
      </w:r>
      <w:r>
        <w:rPr>
          <w:sz w:val="24"/>
        </w:rPr>
        <w:t>multiple</w:t>
      </w:r>
      <w:r>
        <w:rPr>
          <w:spacing w:val="-1"/>
          <w:sz w:val="24"/>
        </w:rPr>
        <w:t> </w:t>
      </w:r>
      <w:r>
        <w:rPr>
          <w:sz w:val="24"/>
        </w:rPr>
        <w:t>excipients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formulation</w:t>
      </w:r>
      <w:r>
        <w:rPr>
          <w:spacing w:val="-1"/>
          <w:sz w:val="24"/>
        </w:rPr>
        <w:t> </w:t>
      </w:r>
      <w:r>
        <w:rPr>
          <w:sz w:val="24"/>
        </w:rPr>
        <w:t>(i.e.</w:t>
      </w:r>
      <w:r>
        <w:rPr>
          <w:spacing w:val="-1"/>
          <w:sz w:val="24"/>
        </w:rPr>
        <w:t> </w:t>
      </w:r>
      <w:r>
        <w:rPr>
          <w:sz w:val="24"/>
        </w:rPr>
        <w:t>disintegrant,</w:t>
      </w:r>
      <w:r>
        <w:rPr>
          <w:spacing w:val="-1"/>
          <w:sz w:val="24"/>
        </w:rPr>
        <w:t> </w:t>
      </w:r>
      <w:r>
        <w:rPr>
          <w:sz w:val="24"/>
        </w:rPr>
        <w:t>binder,</w:t>
      </w:r>
      <w:r>
        <w:rPr>
          <w:spacing w:val="-1"/>
          <w:sz w:val="24"/>
        </w:rPr>
        <w:t> </w:t>
      </w:r>
      <w:r>
        <w:rPr>
          <w:sz w:val="24"/>
        </w:rPr>
        <w:t>lubricant</w:t>
      </w:r>
      <w:r>
        <w:rPr>
          <w:spacing w:val="1"/>
          <w:sz w:val="24"/>
        </w:rPr>
        <w:t> </w:t>
      </w:r>
      <w:r>
        <w:rPr>
          <w:sz w:val="24"/>
        </w:rPr>
        <w:t>etc).</w:t>
      </w:r>
    </w:p>
    <w:p>
      <w:pPr>
        <w:pStyle w:val="ListParagraph"/>
        <w:numPr>
          <w:ilvl w:val="0"/>
          <w:numId w:val="14"/>
        </w:numPr>
        <w:tabs>
          <w:tab w:pos="1186" w:val="left" w:leader="none"/>
        </w:tabs>
        <w:spacing w:line="480" w:lineRule="auto" w:before="118" w:after="0"/>
        <w:ind w:left="1185" w:right="1256" w:hanging="360"/>
        <w:jc w:val="both"/>
        <w:rPr>
          <w:sz w:val="24"/>
        </w:rPr>
      </w:pPr>
      <w:r>
        <w:rPr>
          <w:sz w:val="24"/>
        </w:rPr>
        <w:t>The increasing speed capabilities of tablet presses, which require excipients to</w:t>
      </w:r>
      <w:r>
        <w:rPr>
          <w:spacing w:val="1"/>
          <w:sz w:val="24"/>
        </w:rPr>
        <w:t> </w:t>
      </w:r>
      <w:r>
        <w:rPr>
          <w:sz w:val="24"/>
        </w:rPr>
        <w:t>maintain good compressibility and low weight variation even at short dwell</w:t>
      </w:r>
      <w:r>
        <w:rPr>
          <w:spacing w:val="1"/>
          <w:sz w:val="24"/>
        </w:rPr>
        <w:t> </w:t>
      </w:r>
      <w:r>
        <w:rPr>
          <w:sz w:val="24"/>
        </w:rPr>
        <w:t>times.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7" w:top="1440" w:bottom="1260" w:left="1520" w:right="160"/>
        </w:sectPr>
      </w:pPr>
    </w:p>
    <w:p>
      <w:pPr>
        <w:pStyle w:val="ListParagraph"/>
        <w:numPr>
          <w:ilvl w:val="0"/>
          <w:numId w:val="14"/>
        </w:numPr>
        <w:tabs>
          <w:tab w:pos="1186" w:val="left" w:leader="none"/>
        </w:tabs>
        <w:spacing w:line="480" w:lineRule="auto" w:before="72" w:after="0"/>
        <w:ind w:left="1185" w:right="1253" w:hanging="360"/>
        <w:jc w:val="both"/>
        <w:rPr>
          <w:sz w:val="24"/>
        </w:rPr>
      </w:pPr>
      <w:r>
        <w:rPr>
          <w:sz w:val="24"/>
        </w:rPr>
        <w:t>Shortcomings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existing</w:t>
      </w:r>
      <w:r>
        <w:rPr>
          <w:spacing w:val="1"/>
          <w:sz w:val="24"/>
        </w:rPr>
        <w:t> </w:t>
      </w:r>
      <w:r>
        <w:rPr>
          <w:sz w:val="24"/>
        </w:rPr>
        <w:t>excipients,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loss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compaction</w:t>
      </w:r>
      <w:r>
        <w:rPr>
          <w:spacing w:val="1"/>
          <w:sz w:val="24"/>
        </w:rPr>
        <w:t> </w:t>
      </w:r>
      <w:r>
        <w:rPr>
          <w:sz w:val="24"/>
        </w:rPr>
        <w:t>upon</w:t>
      </w:r>
      <w:r>
        <w:rPr>
          <w:spacing w:val="1"/>
          <w:sz w:val="24"/>
        </w:rPr>
        <w:t> </w:t>
      </w:r>
      <w:r>
        <w:rPr>
          <w:sz w:val="24"/>
        </w:rPr>
        <w:t>wet</w:t>
      </w:r>
      <w:r>
        <w:rPr>
          <w:spacing w:val="1"/>
          <w:sz w:val="24"/>
        </w:rPr>
        <w:t> </w:t>
      </w:r>
      <w:r>
        <w:rPr>
          <w:sz w:val="24"/>
        </w:rPr>
        <w:t>granulation,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moisture</w:t>
      </w:r>
      <w:r>
        <w:rPr>
          <w:spacing w:val="1"/>
          <w:sz w:val="24"/>
        </w:rPr>
        <w:t> </w:t>
      </w:r>
      <w:r>
        <w:rPr>
          <w:sz w:val="24"/>
        </w:rPr>
        <w:t>sensitivity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poor</w:t>
      </w:r>
      <w:r>
        <w:rPr>
          <w:spacing w:val="1"/>
          <w:sz w:val="24"/>
        </w:rPr>
        <w:t> </w:t>
      </w:r>
      <w:r>
        <w:rPr>
          <w:sz w:val="24"/>
        </w:rPr>
        <w:t>die</w:t>
      </w:r>
      <w:r>
        <w:rPr>
          <w:spacing w:val="1"/>
          <w:sz w:val="24"/>
        </w:rPr>
        <w:t> </w:t>
      </w:r>
      <w:r>
        <w:rPr>
          <w:sz w:val="24"/>
        </w:rPr>
        <w:t>filling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agglomeration.</w:t>
      </w:r>
    </w:p>
    <w:p>
      <w:pPr>
        <w:pStyle w:val="ListParagraph"/>
        <w:numPr>
          <w:ilvl w:val="0"/>
          <w:numId w:val="14"/>
        </w:numPr>
        <w:tabs>
          <w:tab w:pos="1186" w:val="left" w:leader="none"/>
        </w:tabs>
        <w:spacing w:line="480" w:lineRule="auto" w:before="120" w:after="0"/>
        <w:ind w:left="1185" w:right="1259" w:hanging="360"/>
        <w:jc w:val="both"/>
        <w:rPr>
          <w:sz w:val="24"/>
        </w:rPr>
      </w:pPr>
      <w:r>
        <w:rPr>
          <w:sz w:val="24"/>
        </w:rPr>
        <w:t>The lack of excipients that addresses the needs of a patient, with a specific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diabetes,</w:t>
      </w:r>
      <w:r>
        <w:rPr>
          <w:spacing w:val="1"/>
          <w:sz w:val="24"/>
        </w:rPr>
        <w:t> </w:t>
      </w:r>
      <w:r>
        <w:rPr>
          <w:sz w:val="24"/>
        </w:rPr>
        <w:t>hypertension,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lactose</w:t>
      </w:r>
      <w:r>
        <w:rPr>
          <w:spacing w:val="1"/>
          <w:sz w:val="24"/>
        </w:rPr>
        <w:t> </w:t>
      </w:r>
      <w:r>
        <w:rPr>
          <w:sz w:val="24"/>
        </w:rPr>
        <w:t>and/or</w:t>
      </w:r>
      <w:r>
        <w:rPr>
          <w:spacing w:val="1"/>
          <w:sz w:val="24"/>
        </w:rPr>
        <w:t> </w:t>
      </w:r>
      <w:r>
        <w:rPr>
          <w:sz w:val="24"/>
        </w:rPr>
        <w:t>sorbitol</w:t>
      </w:r>
      <w:r>
        <w:rPr>
          <w:spacing w:val="-1"/>
          <w:sz w:val="24"/>
        </w:rPr>
        <w:t> </w:t>
      </w:r>
      <w:r>
        <w:rPr>
          <w:sz w:val="24"/>
        </w:rPr>
        <w:t>sensitivity.</w:t>
      </w:r>
    </w:p>
    <w:p>
      <w:pPr>
        <w:pStyle w:val="ListParagraph"/>
        <w:numPr>
          <w:ilvl w:val="0"/>
          <w:numId w:val="14"/>
        </w:numPr>
        <w:tabs>
          <w:tab w:pos="1186" w:val="left" w:leader="none"/>
        </w:tabs>
        <w:spacing w:line="480" w:lineRule="auto" w:before="121" w:after="0"/>
        <w:ind w:left="1185" w:right="1253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ability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modulate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solubility,</w:t>
      </w:r>
      <w:r>
        <w:rPr>
          <w:spacing w:val="1"/>
          <w:sz w:val="24"/>
        </w:rPr>
        <w:t> </w:t>
      </w:r>
      <w:r>
        <w:rPr>
          <w:sz w:val="24"/>
        </w:rPr>
        <w:t>permeability,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stability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molecules.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1"/>
          <w:numId w:val="13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bookmarkStart w:name="_TOC_250072" w:id="34"/>
      <w:r>
        <w:rPr/>
        <w:t>Sources</w:t>
      </w:r>
      <w:r>
        <w:rPr>
          <w:spacing w:val="-2"/>
        </w:rPr>
        <w:t> </w:t>
      </w:r>
      <w:r>
        <w:rPr/>
        <w:t>of novel</w:t>
      </w:r>
      <w:r>
        <w:rPr>
          <w:spacing w:val="-1"/>
        </w:rPr>
        <w:t> </w:t>
      </w:r>
      <w:bookmarkEnd w:id="34"/>
      <w:r>
        <w:rPr/>
        <w:t>excipients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1"/>
        <w:ind w:left="465" w:right="1253"/>
        <w:jc w:val="both"/>
      </w:pPr>
      <w:r>
        <w:rPr/>
        <w:t>Excipients with improved functionality can be obtained by developing a new chemical</w:t>
      </w:r>
      <w:r>
        <w:rPr>
          <w:spacing w:val="1"/>
        </w:rPr>
        <w:t> </w:t>
      </w:r>
      <w:r>
        <w:rPr/>
        <w:t>entity,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grades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combinations(Moreton,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excipient is only considered novel when it is a new chemical entity, a new route of</w:t>
      </w:r>
      <w:r>
        <w:rPr>
          <w:spacing w:val="1"/>
        </w:rPr>
        <w:t> </w:t>
      </w:r>
      <w:r>
        <w:rPr/>
        <w:t>administration is created by its use, a physical/chemical modification of an existing</w:t>
      </w:r>
      <w:r>
        <w:rPr>
          <w:spacing w:val="1"/>
        </w:rPr>
        <w:t> </w:t>
      </w:r>
      <w:r>
        <w:rPr/>
        <w:t>excipient</w:t>
      </w:r>
      <w:r>
        <w:rPr>
          <w:spacing w:val="40"/>
        </w:rPr>
        <w:t> </w:t>
      </w:r>
      <w:r>
        <w:rPr/>
        <w:t>is</w:t>
      </w:r>
      <w:r>
        <w:rPr>
          <w:spacing w:val="41"/>
        </w:rPr>
        <w:t> </w:t>
      </w:r>
      <w:r>
        <w:rPr/>
        <w:t>formed,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co-processed</w:t>
      </w:r>
      <w:r>
        <w:rPr>
          <w:spacing w:val="40"/>
        </w:rPr>
        <w:t> </w:t>
      </w:r>
      <w:r>
        <w:rPr/>
        <w:t>mixture</w:t>
      </w:r>
      <w:r>
        <w:rPr>
          <w:spacing w:val="39"/>
        </w:rPr>
        <w:t> </w:t>
      </w:r>
      <w:r>
        <w:rPr/>
        <w:t>of</w:t>
      </w:r>
      <w:r>
        <w:rPr>
          <w:spacing w:val="42"/>
        </w:rPr>
        <w:t> </w:t>
      </w:r>
      <w:r>
        <w:rPr/>
        <w:t>existing</w:t>
      </w:r>
      <w:r>
        <w:rPr>
          <w:spacing w:val="37"/>
        </w:rPr>
        <w:t> </w:t>
      </w:r>
      <w:r>
        <w:rPr/>
        <w:t>excipients</w:t>
      </w:r>
      <w:r>
        <w:rPr>
          <w:spacing w:val="41"/>
        </w:rPr>
        <w:t> </w:t>
      </w:r>
      <w:r>
        <w:rPr/>
        <w:t>is</w:t>
      </w:r>
      <w:r>
        <w:rPr>
          <w:spacing w:val="41"/>
        </w:rPr>
        <w:t> </w:t>
      </w:r>
      <w:r>
        <w:rPr/>
        <w:t>developed</w:t>
      </w:r>
      <w:r>
        <w:rPr>
          <w:spacing w:val="40"/>
        </w:rPr>
        <w:t> </w:t>
      </w:r>
      <w:r>
        <w:rPr/>
        <w:t>or</w:t>
      </w:r>
      <w:r>
        <w:rPr>
          <w:spacing w:val="41"/>
        </w:rPr>
        <w:t> </w:t>
      </w:r>
      <w:r>
        <w:rPr/>
        <w:t>a</w:t>
      </w:r>
      <w:r>
        <w:rPr>
          <w:spacing w:val="-57"/>
        </w:rPr>
        <w:t> </w:t>
      </w:r>
      <w:r>
        <w:rPr/>
        <w:t>food additive is used for the first time for oral drug administration (Larner </w:t>
      </w:r>
      <w:r>
        <w:rPr>
          <w:i/>
        </w:rPr>
        <w:t>et al.</w:t>
      </w:r>
      <w:r>
        <w:rPr/>
        <w:t>, 2006).</w:t>
      </w:r>
      <w:r>
        <w:rPr>
          <w:spacing w:val="1"/>
        </w:rPr>
        <w:t> </w:t>
      </w:r>
      <w:r>
        <w:rPr/>
        <w:t>In the last three decades, new grades of existing excipients have been developed, but</w:t>
      </w:r>
      <w:r>
        <w:rPr>
          <w:spacing w:val="1"/>
        </w:rPr>
        <w:t> </w:t>
      </w:r>
      <w:r>
        <w:rPr/>
        <w:t>only a few novel excipients have been introduced into the market (Chang and Chang,</w:t>
      </w:r>
      <w:r>
        <w:rPr>
          <w:spacing w:val="1"/>
        </w:rPr>
        <w:t> </w:t>
      </w:r>
      <w:r>
        <w:rPr/>
        <w:t>2007).</w:t>
      </w:r>
    </w:p>
    <w:p>
      <w:pPr>
        <w:pStyle w:val="BodyText"/>
        <w:spacing w:line="480" w:lineRule="auto" w:before="119"/>
        <w:ind w:left="465" w:right="1252"/>
        <w:jc w:val="both"/>
      </w:pPr>
      <w:r>
        <w:rPr/>
        <w:t>New</w:t>
      </w:r>
      <w:r>
        <w:rPr>
          <w:spacing w:val="1"/>
        </w:rPr>
        <w:t> </w:t>
      </w:r>
      <w:r>
        <w:rPr/>
        <w:t>grades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modifying</w:t>
      </w:r>
      <w:r>
        <w:rPr>
          <w:spacing w:val="60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(functional)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(Odeku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60"/>
        </w:rPr>
        <w:t> </w:t>
      </w:r>
      <w:r>
        <w:rPr/>
        <w:t>2008;</w:t>
      </w:r>
      <w:r>
        <w:rPr>
          <w:spacing w:val="-57"/>
        </w:rPr>
        <w:t> </w:t>
      </w:r>
      <w:r>
        <w:rPr/>
        <w:t>Block </w:t>
      </w:r>
      <w:r>
        <w:rPr>
          <w:i/>
        </w:rPr>
        <w:t>et al.</w:t>
      </w:r>
      <w:r>
        <w:rPr/>
        <w:t>, 2009). Fundamental characteristics, such as morphology, particle size,</w:t>
      </w:r>
      <w:r>
        <w:rPr>
          <w:spacing w:val="1"/>
        </w:rPr>
        <w:t> </w:t>
      </w:r>
      <w:r>
        <w:rPr/>
        <w:t>shape, surface area, porosity and density all determine excipient functional properties</w:t>
      </w:r>
      <w:r>
        <w:rPr>
          <w:spacing w:val="1"/>
        </w:rPr>
        <w:t> </w:t>
      </w:r>
      <w:r>
        <w:rPr/>
        <w:t>such as flowability, compressibility, compactibility, dilution potential, disintegration,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lubrication potential</w:t>
      </w:r>
      <w:r>
        <w:rPr>
          <w:spacing w:val="2"/>
        </w:rPr>
        <w:t> </w:t>
      </w:r>
      <w:r>
        <w:rPr/>
        <w:t>(Camargo, 2011).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4"/>
        <w:jc w:val="both"/>
      </w:pPr>
      <w:r>
        <w:rPr/>
        <w:t>Any new chemical entity being developed as an excipient must undergo various stages</w:t>
      </w:r>
      <w:r>
        <w:rPr>
          <w:spacing w:val="1"/>
        </w:rPr>
        <w:t> </w:t>
      </w:r>
      <w:r>
        <w:rPr/>
        <w:t>of regulatory approval aimed at addressing issues of safety and toxicity, which is a</w:t>
      </w:r>
      <w:r>
        <w:rPr>
          <w:spacing w:val="1"/>
        </w:rPr>
        <w:t> </w:t>
      </w:r>
      <w:r>
        <w:rPr/>
        <w:t>lengthy and costly process. The requirements of purity, safety, and functionality of the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harmonized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Excipients Council (IPEC). In addition, similar to active ingredients, the excipient must</w:t>
      </w:r>
      <w:r>
        <w:rPr>
          <w:spacing w:val="1"/>
        </w:rPr>
        <w:t> </w:t>
      </w:r>
      <w:r>
        <w:rPr/>
        <w:t>undergo a phase of development, which shortens the market exclusivity period making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investment less attractive.</w:t>
      </w:r>
    </w:p>
    <w:p>
      <w:pPr>
        <w:pStyle w:val="BodyText"/>
        <w:spacing w:line="480" w:lineRule="auto" w:before="121"/>
        <w:ind w:left="465" w:right="1255"/>
        <w:jc w:val="both"/>
      </w:pPr>
      <w:r>
        <w:rPr/>
        <w:t>One of the solutions</w:t>
      </w:r>
      <w:r>
        <w:rPr>
          <w:spacing w:val="60"/>
        </w:rPr>
        <w:t> </w:t>
      </w:r>
      <w:r>
        <w:rPr/>
        <w:t>to the above problem was to develop drug products jointly, in</w:t>
      </w:r>
      <w:r>
        <w:rPr>
          <w:spacing w:val="1"/>
        </w:rPr>
        <w:t> </w:t>
      </w:r>
      <w:r>
        <w:rPr/>
        <w:t>which a new excipient becomes part of the new drug application. Thus, the combined</w:t>
      </w:r>
      <w:r>
        <w:rPr>
          <w:spacing w:val="1"/>
        </w:rPr>
        <w:t> </w:t>
      </w:r>
      <w:r>
        <w:rPr/>
        <w:t>expertise of pharmaceutical and excipient companies can lead to the development of</w:t>
      </w:r>
      <w:r>
        <w:rPr>
          <w:spacing w:val="1"/>
        </w:rPr>
        <w:t> </w:t>
      </w:r>
      <w:r>
        <w:rPr/>
        <w:t>tailor made innovative excipients. For example, Cydex Pharmaceuticals (Lenexa, KS)</w:t>
      </w:r>
      <w:r>
        <w:rPr>
          <w:spacing w:val="1"/>
        </w:rPr>
        <w:t> </w:t>
      </w:r>
      <w:r>
        <w:rPr/>
        <w:t>and Pfizer (New York, NY) worked collaboratively to obtain the approval of Captisol, a</w:t>
      </w:r>
      <w:r>
        <w:rPr>
          <w:spacing w:val="-57"/>
        </w:rPr>
        <w:t> </w:t>
      </w:r>
      <w:r>
        <w:rPr/>
        <w:t>solubilizer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intravenous (IV)</w:t>
      </w:r>
      <w:r>
        <w:rPr>
          <w:spacing w:val="-3"/>
        </w:rPr>
        <w:t> </w:t>
      </w:r>
      <w:r>
        <w:rPr/>
        <w:t>applications (Marwaha</w:t>
      </w:r>
      <w:r>
        <w:rPr>
          <w:spacing w:val="-1"/>
        </w:rPr>
        <w:t> 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line="480" w:lineRule="auto" w:before="121"/>
        <w:ind w:left="465" w:right="1251"/>
        <w:jc w:val="both"/>
      </w:pPr>
      <w:r>
        <w:rPr/>
        <w:t>In the past four decades, excipients have been physically and chemically engineered for</w:t>
      </w:r>
      <w:r>
        <w:rPr>
          <w:spacing w:val="1"/>
        </w:rPr>
        <w:t> </w:t>
      </w:r>
      <w:r>
        <w:rPr/>
        <w:t>developing new grades, such as pregelatinized starch, Avicel</w:t>
      </w:r>
      <w:r>
        <w:rPr>
          <w:vertAlign w:val="superscript"/>
        </w:rPr>
        <w:t>®</w:t>
      </w:r>
      <w:r>
        <w:rPr>
          <w:vertAlign w:val="baseline"/>
        </w:rPr>
        <w:t> PH-101, PH-102, and</w:t>
      </w:r>
      <w:r>
        <w:rPr>
          <w:spacing w:val="1"/>
          <w:vertAlign w:val="baseline"/>
        </w:rPr>
        <w:t> </w:t>
      </w:r>
      <w:r>
        <w:rPr>
          <w:vertAlign w:val="baseline"/>
        </w:rPr>
        <w:t>PH-200</w:t>
      </w:r>
      <w:r>
        <w:rPr>
          <w:spacing w:val="1"/>
          <w:vertAlign w:val="baseline"/>
        </w:rPr>
        <w:t> </w:t>
      </w:r>
      <w:r>
        <w:rPr>
          <w:vertAlign w:val="baseline"/>
        </w:rPr>
        <w:t>(FMC</w:t>
      </w:r>
      <w:r>
        <w:rPr>
          <w:spacing w:val="1"/>
          <w:vertAlign w:val="baseline"/>
        </w:rPr>
        <w:t> </w:t>
      </w:r>
      <w:r>
        <w:rPr>
          <w:vertAlign w:val="baseline"/>
        </w:rPr>
        <w:t>Biopolymers,</w:t>
      </w:r>
      <w:r>
        <w:rPr>
          <w:spacing w:val="1"/>
          <w:vertAlign w:val="baseline"/>
        </w:rPr>
        <w:t> </w:t>
      </w:r>
      <w:r>
        <w:rPr>
          <w:vertAlign w:val="baseline"/>
        </w:rPr>
        <w:t>Newark,</w:t>
      </w:r>
      <w:r>
        <w:rPr>
          <w:spacing w:val="1"/>
          <w:vertAlign w:val="baseline"/>
        </w:rPr>
        <w:t> </w:t>
      </w:r>
      <w:r>
        <w:rPr>
          <w:vertAlign w:val="baseline"/>
        </w:rPr>
        <w:t>DE),</w:t>
      </w:r>
      <w:r>
        <w:rPr>
          <w:spacing w:val="1"/>
          <w:vertAlign w:val="baseline"/>
        </w:rPr>
        <w:t> </w:t>
      </w:r>
      <w:r>
        <w:rPr>
          <w:vertAlign w:val="baseline"/>
        </w:rPr>
        <w:t>spray-dried</w:t>
      </w:r>
      <w:r>
        <w:rPr>
          <w:spacing w:val="1"/>
          <w:vertAlign w:val="baseline"/>
        </w:rPr>
        <w:t> </w:t>
      </w:r>
      <w:r>
        <w:rPr>
          <w:vertAlign w:val="baseline"/>
        </w:rPr>
        <w:t>lactose</w:t>
      </w:r>
      <w:r>
        <w:rPr>
          <w:spacing w:val="1"/>
          <w:vertAlign w:val="baseline"/>
        </w:rPr>
        <w:t> </w:t>
      </w:r>
      <w:r>
        <w:rPr>
          <w:vertAlign w:val="baseline"/>
        </w:rPr>
        <w:t>(Foremost</w:t>
      </w:r>
      <w:r>
        <w:rPr>
          <w:spacing w:val="1"/>
          <w:vertAlign w:val="baseline"/>
        </w:rPr>
        <w:t> </w:t>
      </w:r>
      <w:r>
        <w:rPr>
          <w:vertAlign w:val="baseline"/>
        </w:rPr>
        <w:t>farms,</w:t>
      </w:r>
      <w:r>
        <w:rPr>
          <w:spacing w:val="1"/>
          <w:vertAlign w:val="baseline"/>
        </w:rPr>
        <w:t> </w:t>
      </w:r>
      <w:r>
        <w:rPr>
          <w:vertAlign w:val="baseline"/>
        </w:rPr>
        <w:t>Baraboo,</w:t>
      </w:r>
      <w:r>
        <w:rPr>
          <w:spacing w:val="1"/>
          <w:vertAlign w:val="baseline"/>
        </w:rPr>
        <w:t> </w:t>
      </w:r>
      <w:r>
        <w:rPr>
          <w:vertAlign w:val="baseline"/>
        </w:rPr>
        <w:t>WI)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crospovidone</w:t>
      </w:r>
      <w:r>
        <w:rPr>
          <w:spacing w:val="1"/>
          <w:vertAlign w:val="baseline"/>
        </w:rPr>
        <w:t> </w:t>
      </w:r>
      <w:r>
        <w:rPr>
          <w:vertAlign w:val="baseline"/>
        </w:rPr>
        <w:t>(Polyplasdone</w:t>
      </w:r>
      <w:r>
        <w:rPr>
          <w:vertAlign w:val="superscript"/>
        </w:rPr>
        <w:t>®</w:t>
      </w:r>
      <w:r>
        <w:rPr>
          <w:vertAlign w:val="baseline"/>
        </w:rPr>
        <w:t>XL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Polyplasdone</w:t>
      </w:r>
      <w:r>
        <w:rPr>
          <w:vertAlign w:val="superscript"/>
        </w:rPr>
        <w:t>®</w:t>
      </w:r>
      <w:r>
        <w:rPr>
          <w:vertAlign w:val="baseline"/>
        </w:rPr>
        <w:t>XL-10,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Specialty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Products,</w:t>
      </w:r>
      <w:r>
        <w:rPr>
          <w:spacing w:val="1"/>
          <w:vertAlign w:val="baseline"/>
        </w:rPr>
        <w:t> </w:t>
      </w:r>
      <w:r>
        <w:rPr>
          <w:vertAlign w:val="baseline"/>
        </w:rPr>
        <w:t>Wayne,</w:t>
      </w:r>
      <w:r>
        <w:rPr>
          <w:spacing w:val="1"/>
          <w:vertAlign w:val="baseline"/>
        </w:rPr>
        <w:t> </w:t>
      </w:r>
      <w:r>
        <w:rPr>
          <w:vertAlign w:val="baseline"/>
        </w:rPr>
        <w:t>NJ).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functionality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improved to a certain extent, because of the limited range of possible modifications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restricts functionality (Nachaegari and Bansal, 2004). Powder density and particle size</w:t>
      </w:r>
      <w:r>
        <w:rPr>
          <w:spacing w:val="1"/>
          <w:vertAlign w:val="baseline"/>
        </w:rPr>
        <w:t> </w:t>
      </w:r>
      <w:r>
        <w:rPr>
          <w:vertAlign w:val="baseline"/>
        </w:rPr>
        <w:t>could be altered to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achieve better flow.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 when one attribute is improved,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 may be compromised (i.e. flow of Avicel</w:t>
      </w:r>
      <w:r>
        <w:rPr>
          <w:vertAlign w:val="superscript"/>
        </w:rPr>
        <w:t>®</w:t>
      </w:r>
      <w:r>
        <w:rPr>
          <w:vertAlign w:val="baseline"/>
        </w:rPr>
        <w:t> PH-200 is improved 1.6 fold 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expense of its compactibility and vice versa for Avicel</w:t>
      </w:r>
      <w:r>
        <w:rPr>
          <w:vertAlign w:val="superscript"/>
        </w:rPr>
        <w:t>®</w:t>
      </w:r>
      <w:r>
        <w:rPr>
          <w:vertAlign w:val="baseline"/>
        </w:rPr>
        <w:t> PH-101) (Lerk </w:t>
      </w:r>
      <w:r>
        <w:rPr>
          <w:i/>
          <w:vertAlign w:val="baseline"/>
        </w:rPr>
        <w:t>et al.</w:t>
      </w:r>
      <w:r>
        <w:rPr>
          <w:vertAlign w:val="baseline"/>
        </w:rPr>
        <w:t>, 1974;</w:t>
      </w:r>
      <w:r>
        <w:rPr>
          <w:spacing w:val="1"/>
          <w:vertAlign w:val="baseline"/>
        </w:rPr>
        <w:t> </w:t>
      </w:r>
      <w:r>
        <w:rPr>
          <w:vertAlign w:val="baseline"/>
        </w:rPr>
        <w:t>Taylor </w:t>
      </w:r>
      <w:r>
        <w:rPr>
          <w:i/>
          <w:vertAlign w:val="baseline"/>
        </w:rPr>
        <w:t>et al.</w:t>
      </w:r>
      <w:r>
        <w:rPr>
          <w:vertAlign w:val="baseline"/>
        </w:rPr>
        <w:t>, 2000). However, in the case of native starches, thermal treatment led to an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improved</w:t>
      </w:r>
      <w:r>
        <w:rPr>
          <w:spacing w:val="14"/>
          <w:vertAlign w:val="baseline"/>
        </w:rPr>
        <w:t> </w:t>
      </w:r>
      <w:r>
        <w:rPr>
          <w:vertAlign w:val="baseline"/>
        </w:rPr>
        <w:t>binder</w:t>
      </w:r>
      <w:r>
        <w:rPr>
          <w:spacing w:val="12"/>
          <w:vertAlign w:val="baseline"/>
        </w:rPr>
        <w:t> </w:t>
      </w:r>
      <w:r>
        <w:rPr>
          <w:vertAlign w:val="baseline"/>
        </w:rPr>
        <w:t>property</w:t>
      </w:r>
      <w:r>
        <w:rPr>
          <w:spacing w:val="11"/>
          <w:vertAlign w:val="baseline"/>
        </w:rPr>
        <w:t> </w:t>
      </w:r>
      <w:r>
        <w:rPr>
          <w:vertAlign w:val="baseline"/>
        </w:rPr>
        <w:t>(pre-gelatinized</w:t>
      </w:r>
      <w:r>
        <w:rPr>
          <w:spacing w:val="14"/>
          <w:vertAlign w:val="baseline"/>
        </w:rPr>
        <w:t> </w:t>
      </w:r>
      <w:r>
        <w:rPr>
          <w:vertAlign w:val="baseline"/>
        </w:rPr>
        <w:t>starch),</w:t>
      </w:r>
      <w:r>
        <w:rPr>
          <w:spacing w:val="16"/>
          <w:vertAlign w:val="baseline"/>
        </w:rPr>
        <w:t> </w:t>
      </w:r>
      <w:r>
        <w:rPr>
          <w:vertAlign w:val="baseline"/>
        </w:rPr>
        <w:t>attributable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partially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4"/>
        <w:jc w:val="both"/>
      </w:pPr>
      <w:r>
        <w:rPr/>
        <w:t>hydrolysed nature of the granules which made them more hydrophilic (Klinger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1986).</w:t>
      </w:r>
    </w:p>
    <w:p>
      <w:pPr>
        <w:pStyle w:val="BodyText"/>
        <w:spacing w:line="480" w:lineRule="auto" w:before="120"/>
        <w:ind w:left="465" w:right="1253"/>
        <w:jc w:val="both"/>
      </w:pPr>
      <w:r>
        <w:rPr/>
        <w:t>Pregelatinization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functionalities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flow,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lubrication, improved use as filler in hard gelatin capsules (5-75 %), and a better binder</w:t>
      </w:r>
      <w:r>
        <w:rPr>
          <w:spacing w:val="1"/>
        </w:rPr>
        <w:t> </w:t>
      </w:r>
      <w:r>
        <w:rPr/>
        <w:t>in wet granulation (5-20 %). Further, this material has improved use as a drug binder for</w:t>
      </w:r>
      <w:r>
        <w:rPr>
          <w:spacing w:val="-57"/>
        </w:rPr>
        <w:t> </w:t>
      </w:r>
      <w:r>
        <w:rPr/>
        <w:t>roller compaction and direct compression applications and as a disintegrant in tablets</w:t>
      </w:r>
      <w:r>
        <w:rPr>
          <w:spacing w:val="1"/>
        </w:rPr>
        <w:t> </w:t>
      </w:r>
      <w:r>
        <w:rPr/>
        <w:t>(5-10</w:t>
      </w:r>
      <w:r>
        <w:rPr>
          <w:spacing w:val="-1"/>
        </w:rPr>
        <w:t> </w:t>
      </w:r>
      <w:r>
        <w:rPr/>
        <w:t>%)</w:t>
      </w:r>
      <w:r>
        <w:rPr>
          <w:spacing w:val="1"/>
        </w:rPr>
        <w:t> </w:t>
      </w:r>
      <w:r>
        <w:rPr/>
        <w:t>(Ashish</w:t>
      </w:r>
      <w:r>
        <w:rPr>
          <w:spacing w:val="-1"/>
        </w:rPr>
        <w:t> </w:t>
      </w:r>
      <w:r>
        <w:rPr/>
        <w:t>and Neves, 2006;</w:t>
      </w:r>
      <w:r>
        <w:rPr>
          <w:spacing w:val="-1"/>
        </w:rPr>
        <w:t> </w:t>
      </w:r>
      <w:r>
        <w:rPr/>
        <w:t>Adedokun and</w:t>
      </w:r>
      <w:r>
        <w:rPr>
          <w:spacing w:val="4"/>
        </w:rPr>
        <w:t> </w:t>
      </w:r>
      <w:r>
        <w:rPr/>
        <w:t>Itiola,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13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bookmarkStart w:name="_TOC_250071" w:id="35"/>
      <w:r>
        <w:rPr/>
        <w:t>Particle</w:t>
      </w:r>
      <w:r>
        <w:rPr>
          <w:spacing w:val="-1"/>
        </w:rPr>
        <w:t> </w:t>
      </w:r>
      <w:r>
        <w:rPr/>
        <w:t>engineering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bookmarkEnd w:id="35"/>
      <w:r>
        <w:rPr/>
        <w:t>of new excipients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1"/>
        <w:ind w:left="465" w:right="1254"/>
        <w:jc w:val="both"/>
      </w:pPr>
      <w:r>
        <w:rPr/>
        <w:t>Particle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manipulation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parameters such as shape, size, size distribution, and simultaneous polymorphic changes</w:t>
      </w:r>
      <w:r>
        <w:rPr>
          <w:spacing w:val="-57"/>
        </w:rPr>
        <w:t> </w:t>
      </w:r>
      <w:r>
        <w:rPr/>
        <w:t>that occur at the molecular level. All these parameters are translated into bulk-level</w:t>
      </w:r>
      <w:r>
        <w:rPr>
          <w:spacing w:val="1"/>
        </w:rPr>
        <w:t> </w:t>
      </w:r>
      <w:r>
        <w:rPr/>
        <w:t>changes,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compressibility,</w:t>
      </w:r>
      <w:r>
        <w:rPr>
          <w:spacing w:val="1"/>
        </w:rPr>
        <w:t> </w:t>
      </w:r>
      <w:r>
        <w:rPr/>
        <w:t>moisture</w:t>
      </w:r>
      <w:r>
        <w:rPr>
          <w:spacing w:val="61"/>
        </w:rPr>
        <w:t> </w:t>
      </w:r>
      <w:r>
        <w:rPr/>
        <w:t>sensitivity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machinability</w:t>
      </w:r>
      <w:r>
        <w:rPr>
          <w:spacing w:val="-4"/>
        </w:rPr>
        <w:t> </w:t>
      </w:r>
      <w:r>
        <w:rPr/>
        <w:t>(York, 2001).</w:t>
      </w:r>
    </w:p>
    <w:p>
      <w:pPr>
        <w:pStyle w:val="BodyText"/>
        <w:spacing w:line="480" w:lineRule="auto" w:before="120"/>
        <w:ind w:left="465" w:right="1252"/>
        <w:jc w:val="both"/>
      </w:pPr>
      <w:r>
        <w:rPr/>
        <w:t>The solid state of a substance can be represented by three levels – molecular, particle,</w:t>
      </w:r>
      <w:r>
        <w:rPr>
          <w:spacing w:val="1"/>
        </w:rPr>
        <w:t> </w:t>
      </w:r>
      <w:r>
        <w:rPr/>
        <w:t>and bulk (Sainio, 2011). The molecular level comprises the arrangement of individual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polymorphs,</w:t>
      </w:r>
      <w:r>
        <w:rPr>
          <w:spacing w:val="1"/>
        </w:rPr>
        <w:t> </w:t>
      </w:r>
      <w:r>
        <w:rPr/>
        <w:t>pseudopolymorphs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amorphous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(Khomane,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polymorphic form changes the functional properties of a material is lactose. Lactose</w:t>
      </w:r>
      <w:r>
        <w:rPr>
          <w:spacing w:val="1"/>
        </w:rPr>
        <w:t> </w:t>
      </w:r>
      <w:r>
        <w:rPr/>
        <w:t>exists</w:t>
      </w:r>
      <w:r>
        <w:rPr>
          <w:spacing w:val="45"/>
        </w:rPr>
        <w:t> </w:t>
      </w:r>
      <w:r>
        <w:rPr/>
        <w:t>in</w:t>
      </w:r>
      <w:r>
        <w:rPr>
          <w:spacing w:val="48"/>
        </w:rPr>
        <w:t> </w:t>
      </w:r>
      <w:r>
        <w:rPr/>
        <w:t>two</w:t>
      </w:r>
      <w:r>
        <w:rPr>
          <w:spacing w:val="49"/>
        </w:rPr>
        <w:t> </w:t>
      </w:r>
      <w:r>
        <w:rPr/>
        <w:t>forms,</w:t>
      </w:r>
      <w:r>
        <w:rPr>
          <w:spacing w:val="48"/>
        </w:rPr>
        <w:t> </w:t>
      </w:r>
      <w:r>
        <w:rPr/>
        <w:t>α-lactose</w:t>
      </w:r>
      <w:r>
        <w:rPr>
          <w:spacing w:val="49"/>
        </w:rPr>
        <w:t> </w:t>
      </w:r>
      <w:r>
        <w:rPr/>
        <w:t>and</w:t>
      </w:r>
      <w:r>
        <w:rPr>
          <w:spacing w:val="48"/>
        </w:rPr>
        <w:t> </w:t>
      </w:r>
      <w:r>
        <w:rPr/>
        <w:t>β-lactose.</w:t>
      </w:r>
      <w:r>
        <w:rPr>
          <w:spacing w:val="50"/>
        </w:rPr>
        <w:t> </w:t>
      </w:r>
      <w:r>
        <w:rPr/>
        <w:t>α-lactose</w:t>
      </w:r>
      <w:r>
        <w:rPr>
          <w:spacing w:val="48"/>
        </w:rPr>
        <w:t> </w:t>
      </w:r>
      <w:r>
        <w:rPr/>
        <w:t>monohydrate</w:t>
      </w:r>
      <w:r>
        <w:rPr>
          <w:spacing w:val="47"/>
        </w:rPr>
        <w:t> </w:t>
      </w:r>
      <w:r>
        <w:rPr/>
        <w:t>has</w:t>
      </w:r>
      <w:r>
        <w:rPr>
          <w:spacing w:val="48"/>
        </w:rPr>
        <w:t> </w:t>
      </w:r>
      <w:r>
        <w:rPr/>
        <w:t>good</w:t>
      </w:r>
      <w:r>
        <w:rPr>
          <w:spacing w:val="49"/>
        </w:rPr>
        <w:t> </w:t>
      </w:r>
      <w:r>
        <w:rPr/>
        <w:t>flow,</w:t>
      </w:r>
      <w:r>
        <w:rPr>
          <w:spacing w:val="-58"/>
        </w:rPr>
        <w:t> </w:t>
      </w:r>
      <w:r>
        <w:rPr/>
        <w:t>small surface pore area, but poor binding properties. Anhydrous α-lactose, on the other</w:t>
      </w:r>
      <w:r>
        <w:rPr>
          <w:spacing w:val="1"/>
        </w:rPr>
        <w:t> </w:t>
      </w:r>
      <w:r>
        <w:rPr/>
        <w:t>hand, has a larger pore area, excellent binding properties (4 times larger) keeping the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Further,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α-lactose</w:t>
      </w:r>
      <w:r>
        <w:rPr>
          <w:spacing w:val="-57"/>
        </w:rPr>
        <w:t> </w:t>
      </w:r>
      <w:r>
        <w:rPr/>
        <w:t>crystals, β-lactose has a granular form consisting of aggregates of small crystals with</w:t>
      </w:r>
      <w:r>
        <w:rPr>
          <w:spacing w:val="1"/>
        </w:rPr>
        <w:t> </w:t>
      </w:r>
      <w:r>
        <w:rPr/>
        <w:t>better</w:t>
      </w:r>
      <w:r>
        <w:rPr>
          <w:spacing w:val="-1"/>
        </w:rPr>
        <w:t> </w:t>
      </w:r>
      <w:r>
        <w:rPr/>
        <w:t>binding</w:t>
      </w:r>
      <w:r>
        <w:rPr>
          <w:spacing w:val="-3"/>
        </w:rPr>
        <w:t> </w:t>
      </w:r>
      <w:r>
        <w:rPr/>
        <w:t>properties</w:t>
      </w:r>
      <w:r>
        <w:rPr>
          <w:spacing w:val="3"/>
        </w:rPr>
        <w:t> </w:t>
      </w:r>
      <w:r>
        <w:rPr/>
        <w:t>(Lerk, 1993).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2"/>
        <w:jc w:val="both"/>
      </w:pPr>
      <w:r>
        <w:rPr/>
        <w:t>Other</w:t>
      </w:r>
      <w:r>
        <w:rPr>
          <w:spacing w:val="22"/>
        </w:rPr>
        <w:t> </w:t>
      </w:r>
      <w:r>
        <w:rPr/>
        <w:t>modifications</w:t>
      </w:r>
      <w:r>
        <w:rPr>
          <w:spacing w:val="24"/>
        </w:rPr>
        <w:t> </w:t>
      </w:r>
      <w:r>
        <w:rPr/>
        <w:t>at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molecular</w:t>
      </w:r>
      <w:r>
        <w:rPr>
          <w:spacing w:val="21"/>
        </w:rPr>
        <w:t> </w:t>
      </w:r>
      <w:r>
        <w:rPr/>
        <w:t>level</w:t>
      </w:r>
      <w:r>
        <w:rPr>
          <w:spacing w:val="24"/>
        </w:rPr>
        <w:t> </w:t>
      </w:r>
      <w:r>
        <w:rPr/>
        <w:t>involve</w:t>
      </w:r>
      <w:r>
        <w:rPr>
          <w:spacing w:val="21"/>
        </w:rPr>
        <w:t> </w:t>
      </w:r>
      <w:r>
        <w:rPr/>
        <w:t>chemical</w:t>
      </w:r>
      <w:r>
        <w:rPr>
          <w:spacing w:val="24"/>
        </w:rPr>
        <w:t> </w:t>
      </w:r>
      <w:r>
        <w:rPr/>
        <w:t>reactions</w:t>
      </w:r>
      <w:r>
        <w:rPr>
          <w:spacing w:val="23"/>
        </w:rPr>
        <w:t> </w:t>
      </w:r>
      <w:r>
        <w:rPr/>
        <w:t>or</w:t>
      </w:r>
      <w:r>
        <w:rPr>
          <w:spacing w:val="25"/>
        </w:rPr>
        <w:t> </w:t>
      </w:r>
      <w:r>
        <w:rPr/>
        <w:t>cross-linking</w:t>
      </w:r>
      <w:r>
        <w:rPr>
          <w:spacing w:val="-58"/>
        </w:rPr>
        <w:t> </w:t>
      </w:r>
      <w:r>
        <w:rPr/>
        <w:t>of the excipient with a low molecular weight substances. These processes are expensive</w:t>
      </w:r>
      <w:r>
        <w:rPr>
          <w:spacing w:val="1"/>
        </w:rPr>
        <w:t> </w:t>
      </w:r>
      <w:r>
        <w:rPr/>
        <w:t>and usually require a need for solvent recovery and determination of residual solvents.</w:t>
      </w:r>
      <w:r>
        <w:rPr>
          <w:spacing w:val="1"/>
        </w:rPr>
        <w:t> </w:t>
      </w:r>
      <w:r>
        <w:rPr/>
        <w:t>Further, cross-linking agents are often toxic and leave traces of by-products (impurities)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harmful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degrade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vivo</w:t>
      </w:r>
      <w:r>
        <w:rPr>
          <w:i/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For</w:t>
      </w:r>
      <w:r>
        <w:rPr>
          <w:spacing w:val="6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microcrystalline cellulose, starch, chitosan, lactose, and other sugars can be easily cross-</w:t>
      </w:r>
      <w:r>
        <w:rPr>
          <w:spacing w:val="-57"/>
        </w:rPr>
        <w:t> </w:t>
      </w:r>
      <w:r>
        <w:rPr/>
        <w:t>linked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glutaraldehyde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etherification</w:t>
      </w:r>
      <w:r>
        <w:rPr>
          <w:spacing w:val="1"/>
        </w:rPr>
        <w:t> </w:t>
      </w:r>
      <w:r>
        <w:rPr/>
        <w:t>reaction.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glutaraldehyde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self-polymerizes,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undesirable</w:t>
      </w:r>
      <w:r>
        <w:rPr>
          <w:spacing w:val="1"/>
        </w:rPr>
        <w:t> </w:t>
      </w:r>
      <w:r>
        <w:rPr/>
        <w:t>by-</w:t>
      </w:r>
      <w:r>
        <w:rPr>
          <w:spacing w:val="1"/>
        </w:rPr>
        <w:t> </w:t>
      </w:r>
      <w:r>
        <w:rPr/>
        <w:t>products which are difficult to remove (Rasmussen and Albrechtsen, 1974). Further,</w:t>
      </w:r>
      <w:r>
        <w:rPr>
          <w:spacing w:val="1"/>
        </w:rPr>
        <w:t> </w:t>
      </w:r>
      <w:r>
        <w:rPr/>
        <w:t>carboxymethylation of potato starch (ether synthesis) followed by neutralization with</w:t>
      </w:r>
      <w:r>
        <w:rPr>
          <w:spacing w:val="1"/>
        </w:rPr>
        <w:t> </w:t>
      </w:r>
      <w:r>
        <w:rPr/>
        <w:t>citric acid produces a superdisintegrant (sodium starch glycolate). Similarly, another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cross-linking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hydroxyethyl</w:t>
      </w:r>
      <w:r>
        <w:rPr>
          <w:spacing w:val="1"/>
        </w:rPr>
        <w:t> </w:t>
      </w:r>
      <w:r>
        <w:rPr/>
        <w:t>starch,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parenteral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(Camargo,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derivatives</w:t>
      </w:r>
      <w:r>
        <w:rPr>
          <w:spacing w:val="1"/>
        </w:rPr>
        <w:t> </w:t>
      </w:r>
      <w:r>
        <w:rPr/>
        <w:t>like</w:t>
      </w:r>
      <w:r>
        <w:rPr>
          <w:spacing w:val="61"/>
        </w:rPr>
        <w:t> </w:t>
      </w:r>
      <w:r>
        <w:rPr/>
        <w:t>ethyl</w:t>
      </w:r>
      <w:r>
        <w:rPr>
          <w:spacing w:val="61"/>
        </w:rPr>
        <w:t> </w:t>
      </w:r>
      <w:r>
        <w:rPr/>
        <w:t>cellulose,</w:t>
      </w:r>
      <w:r>
        <w:rPr>
          <w:spacing w:val="1"/>
        </w:rPr>
        <w:t> </w:t>
      </w:r>
      <w:r>
        <w:rPr/>
        <w:t>methylcellulose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hydroxypropyl</w:t>
      </w:r>
      <w:r>
        <w:rPr>
          <w:spacing w:val="1"/>
        </w:rPr>
        <w:t> </w:t>
      </w:r>
      <w:r>
        <w:rPr/>
        <w:t>methylcellulose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chemically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excipients (Krassig, 1996).</w:t>
      </w:r>
    </w:p>
    <w:p>
      <w:pPr>
        <w:pStyle w:val="BodyText"/>
        <w:spacing w:line="480" w:lineRule="auto" w:before="122"/>
        <w:ind w:left="465" w:right="1253"/>
        <w:jc w:val="both"/>
      </w:pPr>
      <w:r>
        <w:rPr/>
        <w:t>The particle level comprises of individual particle properties such as shape, size, size</w:t>
      </w:r>
      <w:r>
        <w:rPr>
          <w:spacing w:val="1"/>
        </w:rPr>
        <w:t> </w:t>
      </w:r>
      <w:r>
        <w:rPr/>
        <w:t>distribution,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morphology,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porosity</w:t>
      </w:r>
      <w:r>
        <w:rPr>
          <w:spacing w:val="1"/>
        </w:rPr>
        <w:t> </w:t>
      </w:r>
      <w:r>
        <w:rPr/>
        <w:t>(Brittain,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 particle properties have a direct bearing on excipient functionalities such as</w:t>
      </w:r>
      <w:r>
        <w:rPr>
          <w:spacing w:val="-57"/>
        </w:rPr>
        <w:t> </w:t>
      </w:r>
      <w:r>
        <w:rPr/>
        <w:t>the potential for dilution, disintegration, and lubrication. Hence, the development of a</w:t>
      </w:r>
      <w:r>
        <w:rPr>
          <w:spacing w:val="1"/>
        </w:rPr>
        <w:t> </w:t>
      </w:r>
      <w:r>
        <w:rPr/>
        <w:t>new excipient must begin with the particle design that is most suited to deliver the</w:t>
      </w:r>
      <w:r>
        <w:rPr>
          <w:spacing w:val="1"/>
        </w:rPr>
        <w:t> </w:t>
      </w:r>
      <w:r>
        <w:rPr/>
        <w:t>targeted</w:t>
      </w:r>
      <w:r>
        <w:rPr>
          <w:spacing w:val="1"/>
        </w:rPr>
        <w:t> </w:t>
      </w:r>
      <w:r>
        <w:rPr/>
        <w:t>functionalities</w:t>
      </w:r>
      <w:r>
        <w:rPr>
          <w:spacing w:val="1"/>
        </w:rPr>
        <w:t> </w:t>
      </w:r>
      <w:r>
        <w:rPr/>
        <w:t>(Nachaegari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Bansal,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characteristics can be designed by manipulating the conditions like crystallization and</w:t>
      </w:r>
      <w:r>
        <w:rPr>
          <w:spacing w:val="1"/>
        </w:rPr>
        <w:t> </w:t>
      </w:r>
      <w:r>
        <w:rPr/>
        <w:t>drying</w:t>
      </w:r>
      <w:r>
        <w:rPr>
          <w:spacing w:val="-4"/>
        </w:rPr>
        <w:t> </w:t>
      </w:r>
      <w:r>
        <w:rPr/>
        <w:t>associated with the</w:t>
      </w:r>
      <w:r>
        <w:rPr>
          <w:spacing w:val="-1"/>
        </w:rPr>
        <w:t> </w:t>
      </w:r>
      <w:r>
        <w:rPr/>
        <w:t>preceding</w:t>
      </w:r>
      <w:r>
        <w:rPr>
          <w:spacing w:val="-3"/>
        </w:rPr>
        <w:t> </w:t>
      </w:r>
      <w:r>
        <w:rPr/>
        <w:t>level</w:t>
      </w:r>
      <w:r>
        <w:rPr>
          <w:spacing w:val="3"/>
        </w:rPr>
        <w:t> </w:t>
      </w:r>
      <w:r>
        <w:rPr/>
        <w:t>(Gupta</w:t>
      </w:r>
      <w:r>
        <w:rPr>
          <w:spacing w:val="1"/>
        </w:rPr>
        <w:t> </w:t>
      </w:r>
      <w:r>
        <w:rPr>
          <w:i/>
        </w:rPr>
        <w:t>et al.</w:t>
      </w:r>
      <w:r>
        <w:rPr/>
        <w:t>, 2006).</w:t>
      </w:r>
    </w:p>
    <w:p>
      <w:pPr>
        <w:pStyle w:val="BodyText"/>
        <w:spacing w:line="480" w:lineRule="auto" w:before="118"/>
        <w:ind w:left="465" w:right="1258"/>
        <w:jc w:val="both"/>
      </w:pPr>
      <w:r>
        <w:rPr/>
        <w:t>The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assembly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particles,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governs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properties</w:t>
      </w:r>
      <w:r>
        <w:rPr>
          <w:spacing w:val="42"/>
        </w:rPr>
        <w:t> </w:t>
      </w:r>
      <w:r>
        <w:rPr/>
        <w:t>such</w:t>
      </w:r>
      <w:r>
        <w:rPr>
          <w:spacing w:val="45"/>
        </w:rPr>
        <w:t> </w:t>
      </w:r>
      <w:r>
        <w:rPr/>
        <w:t>as</w:t>
      </w:r>
      <w:r>
        <w:rPr>
          <w:spacing w:val="45"/>
        </w:rPr>
        <w:t> </w:t>
      </w:r>
      <w:r>
        <w:rPr/>
        <w:t>flowability,</w:t>
      </w:r>
      <w:r>
        <w:rPr>
          <w:spacing w:val="43"/>
        </w:rPr>
        <w:t> </w:t>
      </w:r>
      <w:r>
        <w:rPr/>
        <w:t>compressibility,</w:t>
      </w:r>
      <w:r>
        <w:rPr>
          <w:spacing w:val="45"/>
        </w:rPr>
        <w:t> </w:t>
      </w:r>
      <w:r>
        <w:rPr/>
        <w:t>compactibility,</w:t>
      </w:r>
      <w:r>
        <w:rPr>
          <w:spacing w:val="43"/>
        </w:rPr>
        <w:t> </w:t>
      </w:r>
      <w:r>
        <w:rPr/>
        <w:t>dilution</w:t>
      </w:r>
      <w:r>
        <w:rPr>
          <w:spacing w:val="43"/>
        </w:rPr>
        <w:t> </w:t>
      </w:r>
      <w:r>
        <w:rPr/>
        <w:t>potential,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2"/>
        <w:jc w:val="both"/>
      </w:pPr>
      <w:r>
        <w:rPr/>
        <w:t>disintegration</w:t>
      </w:r>
      <w:r>
        <w:rPr>
          <w:spacing w:val="1"/>
        </w:rPr>
        <w:t> </w:t>
      </w:r>
      <w:r>
        <w:rPr/>
        <w:t>and lubricant sensitivity,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 critical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 the excipient‟s</w:t>
      </w:r>
      <w:r>
        <w:rPr>
          <w:spacing w:val="1"/>
        </w:rPr>
        <w:t> </w:t>
      </w:r>
      <w:r>
        <w:rPr/>
        <w:t>performance (Rojas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2013). This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 modified</w:t>
      </w:r>
      <w:r>
        <w:rPr>
          <w:spacing w:val="1"/>
        </w:rPr>
        <w:t> </w:t>
      </w:r>
      <w:r>
        <w:rPr/>
        <w:t>by changing particle</w:t>
      </w:r>
      <w:r>
        <w:rPr>
          <w:spacing w:val="1"/>
        </w:rPr>
        <w:t> </w:t>
      </w:r>
      <w:r>
        <w:rPr/>
        <w:t>interaction in the bulk state. The resulting blends will exhibit intermediate properties</w:t>
      </w:r>
      <w:r>
        <w:rPr>
          <w:spacing w:val="1"/>
        </w:rPr>
        <w:t> </w:t>
      </w:r>
      <w:r>
        <w:rPr/>
        <w:t>between those of the two parent materials. In a few instances, the magnitude of these</w:t>
      </w:r>
      <w:r>
        <w:rPr>
          <w:spacing w:val="1"/>
        </w:rPr>
        <w:t> </w:t>
      </w:r>
      <w:r>
        <w:rPr/>
        <w:t>properties is non-ratio dependent (Nachaegari and Bansal, 2004). Particle size, particle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segregation during manipulation, handling and storage of the product, and batch-to-</w:t>
      </w:r>
      <w:r>
        <w:rPr>
          <w:spacing w:val="1"/>
        </w:rPr>
        <w:t> </w:t>
      </w:r>
      <w:r>
        <w:rPr/>
        <w:t>batch</w:t>
      </w:r>
      <w:r>
        <w:rPr>
          <w:spacing w:val="-1"/>
        </w:rPr>
        <w:t> </w:t>
      </w:r>
      <w:r>
        <w:rPr/>
        <w:t>variability</w:t>
      </w:r>
      <w:r>
        <w:rPr>
          <w:spacing w:val="-5"/>
        </w:rPr>
        <w:t> </w:t>
      </w:r>
      <w:r>
        <w:rPr/>
        <w:t>problems</w:t>
      </w:r>
      <w:r>
        <w:rPr>
          <w:spacing w:val="1"/>
        </w:rPr>
        <w:t> </w:t>
      </w:r>
      <w:r>
        <w:rPr/>
        <w:t>(Levin, 2006).</w:t>
      </w:r>
    </w:p>
    <w:p>
      <w:pPr>
        <w:pStyle w:val="BodyText"/>
        <w:spacing w:line="480" w:lineRule="auto" w:before="121"/>
        <w:ind w:left="465" w:right="1260"/>
        <w:jc w:val="both"/>
      </w:pPr>
      <w:r>
        <w:rPr/>
        <w:t>These levels are interdependent, with changes in one level getting reflected in the other</w:t>
      </w:r>
      <w:r>
        <w:rPr>
          <w:spacing w:val="1"/>
        </w:rPr>
        <w:t> </w:t>
      </w:r>
      <w:r>
        <w:rPr/>
        <w:t>level, thus providing a strong scientific framework for the development of new grades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combinations of</w:t>
      </w:r>
      <w:r>
        <w:rPr>
          <w:spacing w:val="-1"/>
        </w:rPr>
        <w:t> </w:t>
      </w:r>
      <w:r>
        <w:rPr/>
        <w:t>existing</w:t>
      </w:r>
      <w:r>
        <w:rPr>
          <w:spacing w:val="-2"/>
        </w:rPr>
        <w:t> </w:t>
      </w:r>
      <w:r>
        <w:rPr/>
        <w:t>excipients (Nachaegari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Bansal, 2004).</w:t>
      </w:r>
    </w:p>
    <w:p>
      <w:pPr>
        <w:pStyle w:val="BodyText"/>
        <w:spacing w:line="480" w:lineRule="auto" w:before="120"/>
        <w:ind w:left="465" w:right="1255"/>
        <w:jc w:val="both"/>
      </w:pPr>
      <w:r>
        <w:rPr/>
        <w:t>Only a limited functionality improvement is attained by the particle engineering of a</w:t>
      </w:r>
      <w:r>
        <w:rPr>
          <w:spacing w:val="1"/>
        </w:rPr>
        <w:t> </w:t>
      </w:r>
      <w:r>
        <w:rPr/>
        <w:t>single excipient. The spectrum of functionality can be widened by the co-processing or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excipients.</w:t>
      </w:r>
      <w:r>
        <w:rPr>
          <w:spacing w:val="1"/>
        </w:rPr>
        <w:t> </w:t>
      </w:r>
      <w:r>
        <w:rPr/>
        <w:t>Co-processing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interaction of two or more excipients at the sub-particle level, aimed at providing a</w:t>
      </w:r>
      <w:r>
        <w:rPr>
          <w:spacing w:val="1"/>
        </w:rPr>
        <w:t> </w:t>
      </w:r>
      <w:r>
        <w:rPr/>
        <w:t>synergy of functionality improvements, as well as limiting the undesirable properties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excipients.</w:t>
      </w:r>
    </w:p>
    <w:p>
      <w:pPr>
        <w:pStyle w:val="BodyText"/>
        <w:spacing w:line="480" w:lineRule="auto" w:before="121"/>
        <w:ind w:left="465" w:right="1252"/>
        <w:jc w:val="both"/>
      </w:pPr>
      <w:r>
        <w:rPr/>
        <w:t>Co-processing is based on the concept of excipient interaction</w:t>
      </w:r>
      <w:r>
        <w:rPr>
          <w:spacing w:val="60"/>
        </w:rPr>
        <w:t> </w:t>
      </w:r>
      <w:r>
        <w:rPr/>
        <w:t>at the sub-particle level.</w:t>
      </w:r>
      <w:r>
        <w:rPr>
          <w:spacing w:val="1"/>
        </w:rPr>
        <w:t> </w:t>
      </w:r>
      <w:r>
        <w:rPr/>
        <w:t>It provides a functional synergy as well as masking the undesirable properties of the</w:t>
      </w:r>
      <w:r>
        <w:rPr>
          <w:spacing w:val="1"/>
        </w:rPr>
        <w:t> </w:t>
      </w:r>
      <w:r>
        <w:rPr/>
        <w:t>individual components (Block </w:t>
      </w:r>
      <w:r>
        <w:rPr>
          <w:i/>
        </w:rPr>
        <w:t>et al.</w:t>
      </w:r>
      <w:r>
        <w:rPr/>
        <w:t>, 2009). Particles of the minor component can be</w:t>
      </w:r>
      <w:r>
        <w:rPr>
          <w:spacing w:val="1"/>
        </w:rPr>
        <w:t> </w:t>
      </w:r>
      <w:r>
        <w:rPr/>
        <w:t>incorporated either on the surface, or within the core of the excipient particles. This</w:t>
      </w:r>
      <w:r>
        <w:rPr>
          <w:spacing w:val="1"/>
        </w:rPr>
        <w:t> </w:t>
      </w:r>
      <w:r>
        <w:rPr/>
        <w:t>process requires homogenization of the excipients, followed by a co-processing step. As</w:t>
      </w:r>
      <w:r>
        <w:rPr>
          <w:spacing w:val="-57"/>
        </w:rPr>
        <w:t> </w:t>
      </w:r>
      <w:r>
        <w:rPr/>
        <w:t>long as the two materials comply with the compendial requirements, the co-processed</w:t>
      </w:r>
      <w:r>
        <w:rPr>
          <w:spacing w:val="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does not need</w:t>
      </w:r>
      <w:r>
        <w:rPr>
          <w:spacing w:val="-1"/>
        </w:rPr>
        <w:t> </w:t>
      </w:r>
      <w:r>
        <w:rPr/>
        <w:t>toxicity</w:t>
      </w:r>
      <w:r>
        <w:rPr>
          <w:spacing w:val="-8"/>
        </w:rPr>
        <w:t> </w:t>
      </w:r>
      <w:r>
        <w:rPr/>
        <w:t>studies required for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chemical</w:t>
      </w:r>
      <w:r>
        <w:rPr>
          <w:spacing w:val="2"/>
        </w:rPr>
        <w:t> </w:t>
      </w:r>
      <w:r>
        <w:rPr/>
        <w:t>entity.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4"/>
        <w:jc w:val="both"/>
      </w:pPr>
      <w:r>
        <w:rPr/>
        <w:t>In</w:t>
      </w:r>
      <w:r>
        <w:rPr>
          <w:spacing w:val="1"/>
        </w:rPr>
        <w:t> </w:t>
      </w:r>
      <w:r>
        <w:rPr/>
        <w:t>the design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development of a drug product, it is not uncommon to use two or</w:t>
      </w:r>
      <w:r>
        <w:rPr>
          <w:spacing w:val="1"/>
        </w:rPr>
        <w:t> </w:t>
      </w:r>
      <w:r>
        <w:rPr/>
        <w:t>more</w:t>
      </w:r>
      <w:r>
        <w:rPr>
          <w:spacing w:val="45"/>
        </w:rPr>
        <w:t> </w:t>
      </w:r>
      <w:r>
        <w:rPr/>
        <w:t>excipients/co-adjuvants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obtain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mixture</w:t>
      </w:r>
      <w:r>
        <w:rPr>
          <w:spacing w:val="46"/>
        </w:rPr>
        <w:t> </w:t>
      </w:r>
      <w:r>
        <w:rPr/>
        <w:t>with</w:t>
      </w:r>
      <w:r>
        <w:rPr>
          <w:spacing w:val="47"/>
        </w:rPr>
        <w:t> </w:t>
      </w:r>
      <w:r>
        <w:rPr/>
        <w:t>adequate</w:t>
      </w:r>
      <w:r>
        <w:rPr>
          <w:spacing w:val="46"/>
        </w:rPr>
        <w:t> </w:t>
      </w:r>
      <w:r>
        <w:rPr/>
        <w:t>tableting</w:t>
      </w:r>
      <w:r>
        <w:rPr>
          <w:spacing w:val="45"/>
        </w:rPr>
        <w:t> </w:t>
      </w:r>
      <w:r>
        <w:rPr/>
        <w:t>properties.</w:t>
      </w:r>
      <w:r>
        <w:rPr>
          <w:spacing w:val="-58"/>
        </w:rPr>
        <w:t> </w:t>
      </w:r>
      <w:r>
        <w:rPr/>
        <w:t>The properties of such blends can result in either synergistic or antagonistic effect(s)</w:t>
      </w:r>
      <w:r>
        <w:rPr>
          <w:spacing w:val="1"/>
        </w:rPr>
        <w:t> </w:t>
      </w:r>
      <w:r>
        <w:rPr/>
        <w:t>with respect to various tableting properties (Lerk </w:t>
      </w:r>
      <w:r>
        <w:rPr>
          <w:i/>
        </w:rPr>
        <w:t>et al.</w:t>
      </w:r>
      <w:r>
        <w:rPr/>
        <w:t>, 1974). For example, a powder</w:t>
      </w:r>
      <w:r>
        <w:rPr>
          <w:spacing w:val="1"/>
        </w:rPr>
        <w:t> </w:t>
      </w:r>
      <w:r>
        <w:rPr/>
        <w:t>blend can be used to formulate rapidly disintegrating tablets from a mixture of Prosolv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SMCC 90, mannitol and a poorly soluble drug (loratadine) compressed at low pressures.</w:t>
      </w:r>
      <w:r>
        <w:rPr>
          <w:spacing w:val="-57"/>
          <w:vertAlign w:val="baseline"/>
        </w:rPr>
        <w:t> </w:t>
      </w:r>
      <w:r>
        <w:rPr>
          <w:vertAlign w:val="baseline"/>
        </w:rPr>
        <w:t>Prosolv</w:t>
      </w:r>
      <w:r>
        <w:rPr>
          <w:vertAlign w:val="superscript"/>
        </w:rPr>
        <w:t>®</w:t>
      </w:r>
      <w:r>
        <w:rPr>
          <w:vertAlign w:val="baseline"/>
        </w:rPr>
        <w:t> can adsorb a sufficient quantity of fine dust of the fast dissolving excipient</w:t>
      </w:r>
      <w:r>
        <w:rPr>
          <w:spacing w:val="1"/>
          <w:vertAlign w:val="baseline"/>
        </w:rPr>
        <w:t> </w:t>
      </w:r>
      <w:r>
        <w:rPr>
          <w:vertAlign w:val="baseline"/>
        </w:rPr>
        <w:t>(mannitol). The resulting compacts are able to disintegrate within 60 s after contact with</w:t>
      </w:r>
      <w:r>
        <w:rPr>
          <w:spacing w:val="-57"/>
          <w:vertAlign w:val="baseline"/>
        </w:rPr>
        <w:t> </w:t>
      </w:r>
      <w:r>
        <w:rPr>
          <w:vertAlign w:val="baseline"/>
        </w:rPr>
        <w:t>water</w:t>
      </w:r>
      <w:r>
        <w:rPr>
          <w:spacing w:val="-3"/>
          <w:vertAlign w:val="baseline"/>
        </w:rPr>
        <w:t> </w:t>
      </w:r>
      <w:r>
        <w:rPr>
          <w:vertAlign w:val="baseline"/>
        </w:rPr>
        <w:t>or saliva (Beso and</w:t>
      </w:r>
      <w:r>
        <w:rPr>
          <w:spacing w:val="2"/>
          <w:vertAlign w:val="baseline"/>
        </w:rPr>
        <w:t> </w:t>
      </w:r>
      <w:r>
        <w:rPr>
          <w:vertAlign w:val="baseline"/>
        </w:rPr>
        <w:t>Sirca, 2006).</w:t>
      </w:r>
    </w:p>
    <w:p>
      <w:pPr>
        <w:pStyle w:val="BodyText"/>
        <w:spacing w:line="480" w:lineRule="auto" w:before="121"/>
        <w:ind w:left="465" w:right="1252"/>
        <w:jc w:val="both"/>
      </w:pPr>
      <w:r>
        <w:rPr/>
        <w:t>In a few cases, the API can be dispersed among the excipients in a liquid followed by</w:t>
      </w:r>
      <w:r>
        <w:rPr>
          <w:spacing w:val="1"/>
        </w:rPr>
        <w:t> </w:t>
      </w:r>
      <w:r>
        <w:rPr/>
        <w:t>spray drying to form a homogenous blend. For example, acetaminophen can be spray-</w:t>
      </w:r>
      <w:r>
        <w:rPr>
          <w:spacing w:val="1"/>
        </w:rPr>
        <w:t> </w:t>
      </w:r>
      <w:r>
        <w:rPr/>
        <w:t>dried with maltodextrin in water to produce oblong, free flowing particles with good</w:t>
      </w:r>
      <w:r>
        <w:rPr>
          <w:spacing w:val="1"/>
        </w:rPr>
        <w:t> </w:t>
      </w:r>
      <w:r>
        <w:rPr/>
        <w:t>compactibility.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binary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compactibility,</w:t>
      </w:r>
      <w:r>
        <w:rPr>
          <w:spacing w:val="1"/>
        </w:rPr>
        <w:t> </w:t>
      </w:r>
      <w:r>
        <w:rPr/>
        <w:t>but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compacts</w:t>
      </w:r>
      <w:r>
        <w:rPr>
          <w:spacing w:val="13"/>
        </w:rPr>
        <w:t> </w:t>
      </w:r>
      <w:r>
        <w:rPr/>
        <w:t>show</w:t>
      </w:r>
      <w:r>
        <w:rPr>
          <w:spacing w:val="16"/>
        </w:rPr>
        <w:t> </w:t>
      </w:r>
      <w:r>
        <w:rPr/>
        <w:t>a</w:t>
      </w:r>
      <w:r>
        <w:rPr>
          <w:spacing w:val="13"/>
        </w:rPr>
        <w:t> </w:t>
      </w:r>
      <w:r>
        <w:rPr/>
        <w:t>capping</w:t>
      </w:r>
      <w:r>
        <w:rPr>
          <w:spacing w:val="11"/>
        </w:rPr>
        <w:t> </w:t>
      </w:r>
      <w:r>
        <w:rPr/>
        <w:t>tendency</w:t>
      </w:r>
      <w:r>
        <w:rPr>
          <w:spacing w:val="14"/>
        </w:rPr>
        <w:t> </w:t>
      </w:r>
      <w:r>
        <w:rPr/>
        <w:t>(Gonnissen</w:t>
      </w:r>
      <w:r>
        <w:rPr>
          <w:spacing w:val="17"/>
        </w:rPr>
        <w:t> </w:t>
      </w:r>
      <w:r>
        <w:rPr>
          <w:i/>
        </w:rPr>
        <w:t>et</w:t>
      </w:r>
      <w:r>
        <w:rPr>
          <w:i/>
          <w:spacing w:val="14"/>
        </w:rPr>
        <w:t> </w:t>
      </w:r>
      <w:r>
        <w:rPr>
          <w:i/>
        </w:rPr>
        <w:t>al.</w:t>
      </w:r>
      <w:r>
        <w:rPr/>
        <w:t>,</w:t>
      </w:r>
      <w:r>
        <w:rPr>
          <w:spacing w:val="13"/>
        </w:rPr>
        <w:t> </w:t>
      </w:r>
      <w:r>
        <w:rPr/>
        <w:t>2008).</w:t>
      </w:r>
      <w:r>
        <w:rPr>
          <w:spacing w:val="13"/>
        </w:rPr>
        <w:t> </w:t>
      </w:r>
      <w:r>
        <w:rPr/>
        <w:t>Sometimes</w:t>
      </w:r>
      <w:r>
        <w:rPr>
          <w:spacing w:val="14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advisable</w:t>
      </w:r>
      <w:r>
        <w:rPr>
          <w:spacing w:val="-57"/>
        </w:rPr>
        <w:t> </w:t>
      </w:r>
      <w:r>
        <w:rPr/>
        <w:t>to diminish the undesirable effects of adjuvants in the bulk simply by changing blending</w:t>
      </w:r>
      <w:r>
        <w:rPr>
          <w:spacing w:val="-57"/>
        </w:rPr>
        <w:t> </w:t>
      </w:r>
      <w:r>
        <w:rPr/>
        <w:t>time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hydrophobic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stearate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plastically</w:t>
      </w:r>
      <w:r>
        <w:rPr>
          <w:spacing w:val="1"/>
        </w:rPr>
        <w:t> </w:t>
      </w:r>
      <w:r>
        <w:rPr/>
        <w:t>deforming materials can be decreased by reducing the blending time to 5 min) (Jivraj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2000).</w:t>
      </w:r>
    </w:p>
    <w:p>
      <w:pPr>
        <w:pStyle w:val="BodyText"/>
        <w:spacing w:before="2"/>
        <w:rPr>
          <w:sz w:val="21"/>
        </w:rPr>
      </w:pPr>
    </w:p>
    <w:p>
      <w:pPr>
        <w:pStyle w:val="Heading3"/>
        <w:numPr>
          <w:ilvl w:val="2"/>
          <w:numId w:val="13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bookmarkStart w:name="_TOC_250070" w:id="36"/>
      <w:r>
        <w:rPr/>
        <w:t>Co-processing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tool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developing</w:t>
      </w:r>
      <w:r>
        <w:rPr>
          <w:spacing w:val="-1"/>
        </w:rPr>
        <w:t> </w:t>
      </w:r>
      <w:r>
        <w:rPr/>
        <w:t>novel</w:t>
      </w:r>
      <w:r>
        <w:rPr>
          <w:spacing w:val="-1"/>
        </w:rPr>
        <w:t> </w:t>
      </w:r>
      <w:bookmarkEnd w:id="36"/>
      <w:r>
        <w:rPr/>
        <w:t>excipients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1"/>
        <w:ind w:left="465" w:right="1254"/>
        <w:jc w:val="both"/>
      </w:pPr>
      <w:r>
        <w:rPr/>
        <w:t>Over the</w:t>
      </w:r>
      <w:r>
        <w:rPr>
          <w:spacing w:val="1"/>
        </w:rPr>
        <w:t> </w:t>
      </w:r>
      <w:r>
        <w:rPr/>
        <w:t>years, the strategy for developing excipients</w:t>
      </w:r>
      <w:r>
        <w:rPr>
          <w:spacing w:val="1"/>
        </w:rPr>
        <w:t> </w:t>
      </w:r>
      <w:r>
        <w:rPr/>
        <w:t>by co-processing has gained</w:t>
      </w:r>
      <w:r>
        <w:rPr>
          <w:spacing w:val="1"/>
        </w:rPr>
        <w:t> </w:t>
      </w:r>
      <w:r>
        <w:rPr/>
        <w:t>importance. However, the development of such combinations is a complex process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interfere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functionality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other</w:t>
      </w:r>
      <w:r>
        <w:rPr>
          <w:spacing w:val="1"/>
        </w:rPr>
        <w:t> </w:t>
      </w:r>
      <w:r>
        <w:rPr/>
        <w:t>excipient. Co-processing was initially used by the food industry to improve stability,</w:t>
      </w:r>
      <w:r>
        <w:rPr>
          <w:spacing w:val="1"/>
        </w:rPr>
        <w:t> </w:t>
      </w:r>
      <w:r>
        <w:rPr/>
        <w:t>wettability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solubility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enhance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gelling</w:t>
      </w:r>
      <w:r>
        <w:rPr>
          <w:spacing w:val="2"/>
        </w:rPr>
        <w:t> </w:t>
      </w:r>
      <w:r>
        <w:rPr/>
        <w:t>properties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food</w:t>
      </w:r>
      <w:r>
        <w:rPr>
          <w:spacing w:val="3"/>
        </w:rPr>
        <w:t> </w:t>
      </w:r>
      <w:r>
        <w:rPr/>
        <w:t>ingredients,</w:t>
      </w:r>
      <w:r>
        <w:rPr>
          <w:spacing w:val="4"/>
        </w:rPr>
        <w:t> </w:t>
      </w:r>
      <w:r>
        <w:rPr/>
        <w:t>such</w:t>
      </w:r>
    </w:p>
    <w:p>
      <w:pPr>
        <w:pStyle w:val="BodyText"/>
        <w:ind w:left="465"/>
        <w:jc w:val="both"/>
      </w:pPr>
      <w:r>
        <w:rPr/>
        <w:t>as</w:t>
      </w:r>
      <w:r>
        <w:rPr>
          <w:spacing w:val="-2"/>
        </w:rPr>
        <w:t> </w:t>
      </w:r>
      <w:r>
        <w:rPr/>
        <w:t>co-processed</w:t>
      </w:r>
      <w:r>
        <w:rPr>
          <w:spacing w:val="-1"/>
        </w:rPr>
        <w:t> </w:t>
      </w:r>
      <w:r>
        <w:rPr/>
        <w:t>glucomannan</w:t>
      </w:r>
      <w:r>
        <w:rPr>
          <w:spacing w:val="-2"/>
        </w:rPr>
        <w:t> </w:t>
      </w:r>
      <w:r>
        <w:rPr/>
        <w:t>and galactomannan</w:t>
      </w:r>
      <w:r>
        <w:rPr>
          <w:spacing w:val="3"/>
        </w:rPr>
        <w:t> </w:t>
      </w:r>
      <w:r>
        <w:rPr/>
        <w:t>(Modliszewski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Ballard,</w:t>
      </w:r>
      <w:r>
        <w:rPr>
          <w:spacing w:val="-1"/>
        </w:rPr>
        <w:t> </w:t>
      </w:r>
      <w:r>
        <w:rPr/>
        <w:t>1996).</w:t>
      </w:r>
    </w:p>
    <w:p>
      <w:pPr>
        <w:spacing w:after="0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5"/>
        <w:jc w:val="both"/>
      </w:pPr>
      <w:r>
        <w:rPr/>
        <w:t>Excipient co-processing in the pharmaceutical industry originated in the early 1980s</w:t>
      </w:r>
      <w:r>
        <w:rPr>
          <w:spacing w:val="1"/>
        </w:rPr>
        <w:t> </w:t>
      </w:r>
      <w:r>
        <w:rPr/>
        <w:t>with the introduction of co-processed microcrystalline cellulose and calcium carbonate</w:t>
      </w:r>
      <w:r>
        <w:rPr>
          <w:spacing w:val="1"/>
        </w:rPr>
        <w:t> </w:t>
      </w:r>
      <w:r>
        <w:rPr/>
        <w:t>(Auguello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Co-processing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altering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functionality by retaining the favourable attributes and supplementing with newer ones,</w:t>
      </w:r>
      <w:r>
        <w:rPr>
          <w:spacing w:val="1"/>
        </w:rPr>
        <w:t> </w:t>
      </w:r>
      <w:r>
        <w:rPr/>
        <w:t>by processing the parent excipient with other excipients (Bansal and Nachaegari, 2002;</w:t>
      </w:r>
      <w:r>
        <w:rPr>
          <w:spacing w:val="1"/>
        </w:rPr>
        <w:t> </w:t>
      </w:r>
      <w:r>
        <w:rPr/>
        <w:t>Bansal, 2003; Nachaegari and Bansal, 2004). This leads to the production of added</w:t>
      </w:r>
      <w:r>
        <w:rPr>
          <w:spacing w:val="1"/>
        </w:rPr>
        <w:t> </w:t>
      </w:r>
      <w:r>
        <w:rPr/>
        <w:t>functionality</w:t>
      </w:r>
      <w:r>
        <w:rPr>
          <w:spacing w:val="-6"/>
        </w:rPr>
        <w:t> </w:t>
      </w:r>
      <w:r>
        <w:rPr/>
        <w:t>excipients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formulator‟s</w:t>
      </w:r>
      <w:r>
        <w:rPr>
          <w:spacing w:val="-1"/>
        </w:rPr>
        <w:t> </w:t>
      </w:r>
      <w:r>
        <w:rPr/>
        <w:t>advantage.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added</w:t>
      </w:r>
      <w:r>
        <w:rPr>
          <w:spacing w:val="-1"/>
        </w:rPr>
        <w:t> </w:t>
      </w:r>
      <w:r>
        <w:rPr/>
        <w:t>functionality</w:t>
      </w:r>
      <w:r>
        <w:rPr>
          <w:spacing w:val="-9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in</w:t>
      </w:r>
      <w:r>
        <w:rPr>
          <w:spacing w:val="-58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compressibility,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uniformity,</w:t>
      </w:r>
      <w:r>
        <w:rPr>
          <w:spacing w:val="21"/>
        </w:rPr>
        <w:t> </w:t>
      </w:r>
      <w:r>
        <w:rPr/>
        <w:t>dilution</w:t>
      </w:r>
      <w:r>
        <w:rPr>
          <w:spacing w:val="21"/>
        </w:rPr>
        <w:t> </w:t>
      </w:r>
      <w:r>
        <w:rPr/>
        <w:t>potential,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lubricant</w:t>
      </w:r>
      <w:r>
        <w:rPr>
          <w:spacing w:val="22"/>
        </w:rPr>
        <w:t> </w:t>
      </w:r>
      <w:r>
        <w:rPr/>
        <w:t>sensitivity,</w:t>
      </w:r>
      <w:r>
        <w:rPr>
          <w:spacing w:val="21"/>
        </w:rPr>
        <w:t> </w:t>
      </w:r>
      <w:r>
        <w:rPr/>
        <w:t>or</w:t>
      </w:r>
      <w:r>
        <w:rPr>
          <w:spacing w:val="21"/>
        </w:rPr>
        <w:t> </w:t>
      </w:r>
      <w:r>
        <w:rPr/>
        <w:t>improved</w:t>
      </w:r>
      <w:r>
        <w:rPr>
          <w:spacing w:val="21"/>
        </w:rPr>
        <w:t> </w:t>
      </w:r>
      <w:r>
        <w:rPr/>
        <w:t>performance</w:t>
      </w:r>
      <w:r>
        <w:rPr>
          <w:spacing w:val="20"/>
        </w:rPr>
        <w:t> </w:t>
      </w:r>
      <w:r>
        <w:rPr/>
        <w:t>such</w:t>
      </w:r>
      <w:r>
        <w:rPr>
          <w:spacing w:val="-58"/>
        </w:rPr>
        <w:t> </w:t>
      </w:r>
      <w:r>
        <w:rPr/>
        <w:t>as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(Nachaegari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Bansal,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ready-to-use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with</w:t>
      </w:r>
      <w:r>
        <w:rPr>
          <w:spacing w:val="61"/>
        </w:rPr>
        <w:t> </w:t>
      </w:r>
      <w:r>
        <w:rPr/>
        <w:t>predefined</w:t>
      </w:r>
      <w:r>
        <w:rPr>
          <w:spacing w:val="1"/>
        </w:rPr>
        <w:t> </w:t>
      </w:r>
      <w:r>
        <w:rPr/>
        <w:t>multifunctionality.</w:t>
      </w:r>
    </w:p>
    <w:p>
      <w:pPr>
        <w:pStyle w:val="BodyText"/>
        <w:spacing w:line="480" w:lineRule="auto" w:before="122"/>
        <w:ind w:left="465" w:right="1253"/>
        <w:jc w:val="both"/>
      </w:pPr>
      <w:r>
        <w:rPr/>
        <w:t>Excipient</w:t>
      </w:r>
      <w:r>
        <w:rPr>
          <w:spacing w:val="1"/>
        </w:rPr>
        <w:t> </w:t>
      </w:r>
      <w:r>
        <w:rPr/>
        <w:t>co-processing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superior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mixtures</w:t>
      </w:r>
      <w:r>
        <w:rPr>
          <w:spacing w:val="1"/>
        </w:rPr>
        <w:t> </w:t>
      </w:r>
      <w:r>
        <w:rPr/>
        <w:t>(gravity</w:t>
      </w:r>
      <w:r>
        <w:rPr>
          <w:spacing w:val="1"/>
        </w:rPr>
        <w:t> </w:t>
      </w:r>
      <w:r>
        <w:rPr/>
        <w:t>driven</w:t>
      </w:r>
      <w:r>
        <w:rPr>
          <w:spacing w:val="1"/>
        </w:rPr>
        <w:t> </w:t>
      </w:r>
      <w:r>
        <w:rPr/>
        <w:t>blending)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components. The aim of co-processing is to obtain a product with added value by a</w:t>
      </w:r>
      <w:r>
        <w:rPr>
          <w:spacing w:val="1"/>
        </w:rPr>
        <w:t> </w:t>
      </w:r>
      <w:r>
        <w:rPr/>
        <w:t>balance of its functionality and production costs. An excipient of reasonable price, such</w:t>
      </w:r>
      <w:r>
        <w:rPr>
          <w:spacing w:val="1"/>
        </w:rPr>
        <w:t> </w:t>
      </w:r>
      <w:r>
        <w:rPr/>
        <w:t>as diluent, has to be combined with another functional material in order to obtain an</w:t>
      </w:r>
      <w:r>
        <w:rPr>
          <w:spacing w:val="1"/>
        </w:rPr>
        <w:t> </w:t>
      </w:r>
      <w:r>
        <w:rPr/>
        <w:t>integrated product with superior functionality than the simple blend of components. The</w:t>
      </w:r>
      <w:r>
        <w:rPr>
          <w:spacing w:val="-57"/>
        </w:rPr>
        <w:t> </w:t>
      </w:r>
      <w:r>
        <w:rPr/>
        <w:t>randomized</w:t>
      </w:r>
      <w:r>
        <w:rPr>
          <w:spacing w:val="1"/>
        </w:rPr>
        <w:t> </w:t>
      </w:r>
      <w:r>
        <w:rPr/>
        <w:t>embedding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minimizes</w:t>
      </w:r>
      <w:r>
        <w:rPr>
          <w:spacing w:val="1"/>
        </w:rPr>
        <w:t> </w:t>
      </w:r>
      <w:r>
        <w:rPr/>
        <w:t>anisotropic</w:t>
      </w:r>
      <w:r>
        <w:rPr>
          <w:spacing w:val="1"/>
        </w:rPr>
        <w:t> </w:t>
      </w:r>
      <w:r>
        <w:rPr/>
        <w:t>behaviour,</w:t>
      </w:r>
      <w:r>
        <w:rPr>
          <w:spacing w:val="1"/>
        </w:rPr>
        <w:t> </w:t>
      </w:r>
      <w:r>
        <w:rPr/>
        <w:t>such that</w:t>
      </w:r>
      <w:r>
        <w:rPr>
          <w:spacing w:val="1"/>
        </w:rPr>
        <w:t> </w:t>
      </w:r>
      <w:r>
        <w:rPr/>
        <w:t>deformation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along any plane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clean</w:t>
      </w:r>
      <w:r>
        <w:rPr>
          <w:spacing w:val="1"/>
        </w:rPr>
        <w:t> </w:t>
      </w:r>
      <w:r>
        <w:rPr/>
        <w:t>surfaces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processed</w:t>
      </w:r>
      <w:r>
        <w:rPr>
          <w:spacing w:val="33"/>
        </w:rPr>
        <w:t> </w:t>
      </w:r>
      <w:r>
        <w:rPr/>
        <w:t>excipient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direct</w:t>
      </w:r>
      <w:r>
        <w:rPr>
          <w:spacing w:val="32"/>
        </w:rPr>
        <w:t> </w:t>
      </w:r>
      <w:r>
        <w:rPr/>
        <w:t>compression</w:t>
      </w:r>
      <w:r>
        <w:rPr>
          <w:spacing w:val="32"/>
        </w:rPr>
        <w:t> </w:t>
      </w:r>
      <w:r>
        <w:rPr/>
        <w:t>material</w:t>
      </w:r>
      <w:r>
        <w:rPr>
          <w:spacing w:val="32"/>
        </w:rPr>
        <w:t> </w:t>
      </w:r>
      <w:r>
        <w:rPr/>
        <w:t>may</w:t>
      </w:r>
      <w:r>
        <w:rPr>
          <w:spacing w:val="27"/>
        </w:rPr>
        <w:t> </w:t>
      </w:r>
      <w:r>
        <w:rPr/>
        <w:t>combine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advantages</w:t>
      </w:r>
      <w:r>
        <w:rPr>
          <w:spacing w:val="32"/>
        </w:rPr>
        <w:t> </w:t>
      </w:r>
      <w:r>
        <w:rPr/>
        <w:t>of</w:t>
      </w:r>
      <w:r>
        <w:rPr>
          <w:spacing w:val="-58"/>
        </w:rPr>
        <w:t> </w:t>
      </w:r>
      <w:r>
        <w:rPr/>
        <w:t>wet</w:t>
      </w:r>
      <w:r>
        <w:rPr>
          <w:spacing w:val="-1"/>
        </w:rPr>
        <w:t> </w:t>
      </w:r>
      <w:r>
        <w:rPr/>
        <w:t>granulation with the</w:t>
      </w:r>
      <w:r>
        <w:rPr>
          <w:spacing w:val="1"/>
        </w:rPr>
        <w:t> </w:t>
      </w:r>
      <w:r>
        <w:rPr/>
        <w:t>lower</w:t>
      </w:r>
      <w:r>
        <w:rPr>
          <w:spacing w:val="-1"/>
        </w:rPr>
        <w:t> </w:t>
      </w:r>
      <w:r>
        <w:rPr/>
        <w:t>cost of direct compression(Joseph</w:t>
      </w:r>
      <w:r>
        <w:rPr>
          <w:spacing w:val="-1"/>
        </w:rPr>
        <w:t> </w:t>
      </w:r>
      <w:r>
        <w:rPr>
          <w:i/>
        </w:rPr>
        <w:t>et al.</w:t>
      </w:r>
      <w:r>
        <w:rPr/>
        <w:t>, 2015).</w:t>
      </w:r>
    </w:p>
    <w:p>
      <w:pPr>
        <w:pStyle w:val="BodyText"/>
        <w:spacing w:line="480" w:lineRule="auto" w:before="118"/>
        <w:ind w:left="465" w:right="1256"/>
        <w:jc w:val="both"/>
      </w:pPr>
      <w:r>
        <w:rPr/>
        <w:t>A major limitation of the co-processed mixture is that the ratio of the excipients in the</w:t>
      </w:r>
      <w:r>
        <w:rPr>
          <w:spacing w:val="1"/>
        </w:rPr>
        <w:t> </w:t>
      </w:r>
      <w:r>
        <w:rPr/>
        <w:t>mixture</w:t>
      </w:r>
      <w:r>
        <w:rPr>
          <w:spacing w:val="29"/>
        </w:rPr>
        <w:t> </w:t>
      </w:r>
      <w:r>
        <w:rPr/>
        <w:t>is</w:t>
      </w:r>
      <w:r>
        <w:rPr>
          <w:spacing w:val="31"/>
        </w:rPr>
        <w:t> </w:t>
      </w:r>
      <w:r>
        <w:rPr/>
        <w:t>fixed.</w:t>
      </w:r>
      <w:r>
        <w:rPr>
          <w:spacing w:val="30"/>
        </w:rPr>
        <w:t> </w:t>
      </w:r>
      <w:r>
        <w:rPr/>
        <w:t>When</w:t>
      </w:r>
      <w:r>
        <w:rPr>
          <w:spacing w:val="33"/>
        </w:rPr>
        <w:t> </w:t>
      </w:r>
      <w:r>
        <w:rPr/>
        <w:t>developing</w:t>
      </w:r>
      <w:r>
        <w:rPr>
          <w:spacing w:val="30"/>
        </w:rPr>
        <w:t> </w:t>
      </w:r>
      <w:r>
        <w:rPr/>
        <w:t>a</w:t>
      </w:r>
      <w:r>
        <w:rPr>
          <w:spacing w:val="32"/>
        </w:rPr>
        <w:t> </w:t>
      </w:r>
      <w:r>
        <w:rPr/>
        <w:t>new</w:t>
      </w:r>
      <w:r>
        <w:rPr>
          <w:spacing w:val="33"/>
        </w:rPr>
        <w:t> </w:t>
      </w:r>
      <w:r>
        <w:rPr/>
        <w:t>formulation,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fixed</w:t>
      </w:r>
      <w:r>
        <w:rPr>
          <w:spacing w:val="30"/>
        </w:rPr>
        <w:t> </w:t>
      </w:r>
      <w:r>
        <w:rPr/>
        <w:t>ratio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excipients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5"/>
        <w:jc w:val="both"/>
      </w:pPr>
      <w:r>
        <w:rPr/>
        <w:t>may not be optimal for a particular API and for the dose per tablet under development</w:t>
      </w:r>
      <w:r>
        <w:rPr>
          <w:spacing w:val="1"/>
        </w:rPr>
        <w:t> </w:t>
      </w:r>
      <w:r>
        <w:rPr/>
        <w:t>(Bolhuis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Chowhan,</w:t>
      </w:r>
      <w:r>
        <w:rPr>
          <w:spacing w:val="1"/>
        </w:rPr>
        <w:t> </w:t>
      </w:r>
      <w:r>
        <w:rPr/>
        <w:t>1996;</w:t>
      </w:r>
      <w:r>
        <w:rPr>
          <w:spacing w:val="1"/>
        </w:rPr>
        <w:t> </w:t>
      </w:r>
      <w:r>
        <w:rPr/>
        <w:t>Saha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Shahiwala,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processed excipient involves the following stages:</w:t>
      </w:r>
    </w:p>
    <w:p>
      <w:pPr>
        <w:pStyle w:val="ListParagraph"/>
        <w:numPr>
          <w:ilvl w:val="0"/>
          <w:numId w:val="15"/>
        </w:numPr>
        <w:tabs>
          <w:tab w:pos="1186" w:val="left" w:leader="none"/>
        </w:tabs>
        <w:spacing w:line="480" w:lineRule="auto" w:before="120" w:after="0"/>
        <w:ind w:left="1185" w:right="1257" w:hanging="360"/>
        <w:jc w:val="both"/>
        <w:rPr>
          <w:sz w:val="24"/>
        </w:rPr>
      </w:pPr>
      <w:r>
        <w:rPr>
          <w:sz w:val="24"/>
        </w:rPr>
        <w:t>Identifying</w:t>
      </w:r>
      <w:r>
        <w:rPr>
          <w:spacing w:val="1"/>
          <w:sz w:val="24"/>
        </w:rPr>
        <w:t> </w:t>
      </w:r>
      <w:r>
        <w:rPr>
          <w:sz w:val="24"/>
        </w:rPr>
        <w:t>the two or three excipients to be co-processed by carefully studying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characteristics and functionality</w:t>
      </w:r>
      <w:r>
        <w:rPr>
          <w:spacing w:val="-5"/>
          <w:sz w:val="24"/>
        </w:rPr>
        <w:t> </w:t>
      </w:r>
      <w:r>
        <w:rPr>
          <w:sz w:val="24"/>
        </w:rPr>
        <w:t>requirements</w:t>
      </w:r>
    </w:p>
    <w:p>
      <w:pPr>
        <w:pStyle w:val="ListParagraph"/>
        <w:numPr>
          <w:ilvl w:val="0"/>
          <w:numId w:val="15"/>
        </w:numPr>
        <w:tabs>
          <w:tab w:pos="1186" w:val="left" w:leader="none"/>
        </w:tabs>
        <w:spacing w:line="240" w:lineRule="auto" w:before="120" w:after="0"/>
        <w:ind w:left="1185" w:right="0" w:hanging="361"/>
        <w:jc w:val="both"/>
        <w:rPr>
          <w:sz w:val="24"/>
        </w:rPr>
      </w:pPr>
      <w:r>
        <w:rPr>
          <w:sz w:val="24"/>
        </w:rPr>
        <w:t>Selecting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proportions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excipients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optimize</w:t>
      </w:r>
    </w:p>
    <w:p>
      <w:pPr>
        <w:pStyle w:val="BodyText"/>
        <w:spacing w:before="6"/>
        <w:rPr>
          <w:sz w:val="34"/>
        </w:rPr>
      </w:pPr>
    </w:p>
    <w:p>
      <w:pPr>
        <w:pStyle w:val="ListParagraph"/>
        <w:numPr>
          <w:ilvl w:val="0"/>
          <w:numId w:val="15"/>
        </w:numPr>
        <w:tabs>
          <w:tab w:pos="1186" w:val="left" w:leader="none"/>
        </w:tabs>
        <w:spacing w:line="240" w:lineRule="auto" w:before="0" w:after="0"/>
        <w:ind w:left="1185" w:right="0" w:hanging="361"/>
        <w:jc w:val="both"/>
        <w:rPr>
          <w:sz w:val="24"/>
        </w:rPr>
      </w:pPr>
      <w:r>
        <w:rPr>
          <w:sz w:val="24"/>
        </w:rPr>
        <w:t>Assessing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suitable</w:t>
      </w:r>
      <w:r>
        <w:rPr>
          <w:spacing w:val="-1"/>
          <w:sz w:val="24"/>
        </w:rPr>
        <w:t> </w:t>
      </w:r>
      <w:r>
        <w:rPr>
          <w:sz w:val="24"/>
        </w:rPr>
        <w:t>solvent in</w:t>
      </w:r>
      <w:r>
        <w:rPr>
          <w:spacing w:val="-1"/>
          <w:sz w:val="24"/>
        </w:rPr>
        <w:t> </w:t>
      </w:r>
      <w:r>
        <w:rPr>
          <w:sz w:val="24"/>
        </w:rPr>
        <w:t>which to disperse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excipients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0"/>
          <w:numId w:val="15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5" w:right="0" w:hanging="361"/>
        <w:jc w:val="left"/>
        <w:rPr>
          <w:sz w:val="24"/>
        </w:rPr>
      </w:pPr>
      <w:r>
        <w:rPr>
          <w:sz w:val="24"/>
        </w:rPr>
        <w:t>Selecting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drying</w:t>
      </w:r>
      <w:r>
        <w:rPr>
          <w:spacing w:val="-4"/>
          <w:sz w:val="24"/>
        </w:rPr>
        <w:t> </w:t>
      </w:r>
      <w:r>
        <w:rPr>
          <w:sz w:val="24"/>
        </w:rPr>
        <w:t>process such as spray</w:t>
      </w:r>
      <w:r>
        <w:rPr>
          <w:spacing w:val="-6"/>
          <w:sz w:val="24"/>
        </w:rPr>
        <w:t> </w:t>
      </w:r>
      <w:r>
        <w:rPr>
          <w:sz w:val="24"/>
        </w:rPr>
        <w:t>drying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flash drying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0"/>
          <w:numId w:val="15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5" w:right="0" w:hanging="361"/>
        <w:jc w:val="left"/>
        <w:rPr>
          <w:sz w:val="24"/>
        </w:rPr>
      </w:pPr>
      <w:r>
        <w:rPr>
          <w:sz w:val="24"/>
        </w:rPr>
        <w:t>Optimizing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avoid</w:t>
      </w:r>
      <w:r>
        <w:rPr>
          <w:spacing w:val="-1"/>
          <w:sz w:val="24"/>
        </w:rPr>
        <w:t> </w:t>
      </w:r>
      <w:r>
        <w:rPr>
          <w:sz w:val="24"/>
        </w:rPr>
        <w:t>batch-to-batch</w:t>
      </w:r>
      <w:r>
        <w:rPr>
          <w:spacing w:val="-1"/>
          <w:sz w:val="24"/>
        </w:rPr>
        <w:t> </w:t>
      </w:r>
      <w:r>
        <w:rPr>
          <w:sz w:val="24"/>
        </w:rPr>
        <w:t>product variations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3"/>
        </w:numPr>
        <w:tabs>
          <w:tab w:pos="1185" w:val="left" w:leader="none"/>
          <w:tab w:pos="1186" w:val="left" w:leader="none"/>
        </w:tabs>
        <w:spacing w:line="240" w:lineRule="auto" w:before="222" w:after="0"/>
        <w:ind w:left="1185" w:right="0" w:hanging="721"/>
        <w:jc w:val="left"/>
      </w:pPr>
      <w:bookmarkStart w:name="_TOC_250069" w:id="37"/>
      <w:r>
        <w:rPr/>
        <w:t>Role</w:t>
      </w:r>
      <w:r>
        <w:rPr>
          <w:spacing w:val="-3"/>
        </w:rPr>
        <w:t> </w:t>
      </w:r>
      <w:r>
        <w:rPr/>
        <w:t>of material</w:t>
      </w:r>
      <w:r>
        <w:rPr>
          <w:spacing w:val="-2"/>
        </w:rPr>
        <w:t> </w:t>
      </w:r>
      <w:r>
        <w:rPr/>
        <w:t>science in</w:t>
      </w:r>
      <w:r>
        <w:rPr>
          <w:spacing w:val="-1"/>
        </w:rPr>
        <w:t> </w:t>
      </w:r>
      <w:bookmarkEnd w:id="37"/>
      <w:r>
        <w:rPr/>
        <w:t>co-processing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5" w:right="1253"/>
        <w:jc w:val="both"/>
      </w:pPr>
      <w:r>
        <w:rPr/>
        <w:t>Material science plays a major role in altering the physicomechanical characteristics of</w:t>
      </w:r>
      <w:r>
        <w:rPr>
          <w:spacing w:val="1"/>
        </w:rPr>
        <w:t> </w:t>
      </w:r>
      <w:r>
        <w:rPr/>
        <w:t>excipients,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behaviour.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materials, with regards to their response to applied pressure, can be classified under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(Patel</w:t>
      </w:r>
      <w:r>
        <w:rPr>
          <w:spacing w:val="3"/>
        </w:rPr>
        <w:t> </w:t>
      </w:r>
      <w:r>
        <w:rPr>
          <w:i/>
        </w:rPr>
        <w:t>et al.</w:t>
      </w:r>
      <w:r>
        <w:rPr/>
        <w:t>, 2006; Mahmoodi, 2012):</w:t>
      </w:r>
    </w:p>
    <w:p>
      <w:pPr>
        <w:pStyle w:val="ListParagraph"/>
        <w:numPr>
          <w:ilvl w:val="0"/>
          <w:numId w:val="16"/>
        </w:numPr>
        <w:tabs>
          <w:tab w:pos="1186" w:val="left" w:leader="none"/>
        </w:tabs>
        <w:spacing w:line="480" w:lineRule="auto" w:before="121" w:after="0"/>
        <w:ind w:left="1185" w:right="1256" w:hanging="360"/>
        <w:jc w:val="left"/>
        <w:rPr>
          <w:sz w:val="24"/>
        </w:rPr>
      </w:pPr>
      <w:r>
        <w:rPr>
          <w:sz w:val="24"/>
        </w:rPr>
        <w:t>Elastic: Any change in shape is completely reversible, and the material returns to</w:t>
      </w:r>
      <w:r>
        <w:rPr>
          <w:spacing w:val="-57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original shape</w:t>
      </w:r>
      <w:r>
        <w:rPr>
          <w:spacing w:val="-2"/>
          <w:sz w:val="24"/>
        </w:rPr>
        <w:t> </w:t>
      </w:r>
      <w:r>
        <w:rPr>
          <w:sz w:val="24"/>
        </w:rPr>
        <w:t>upon</w:t>
      </w:r>
      <w:r>
        <w:rPr>
          <w:spacing w:val="2"/>
          <w:sz w:val="24"/>
        </w:rPr>
        <w:t> </w:t>
      </w:r>
      <w:r>
        <w:rPr>
          <w:sz w:val="24"/>
        </w:rPr>
        <w:t>release</w:t>
      </w:r>
      <w:r>
        <w:rPr>
          <w:spacing w:val="-1"/>
          <w:sz w:val="24"/>
        </w:rPr>
        <w:t> </w:t>
      </w:r>
      <w:r>
        <w:rPr>
          <w:sz w:val="24"/>
        </w:rPr>
        <w:t>of applied stress e.g.</w:t>
      </w:r>
      <w:r>
        <w:rPr>
          <w:spacing w:val="-1"/>
          <w:sz w:val="24"/>
        </w:rPr>
        <w:t> </w:t>
      </w:r>
      <w:r>
        <w:rPr>
          <w:sz w:val="24"/>
        </w:rPr>
        <w:t>corn starch</w:t>
      </w:r>
    </w:p>
    <w:p>
      <w:pPr>
        <w:pStyle w:val="ListParagraph"/>
        <w:numPr>
          <w:ilvl w:val="0"/>
          <w:numId w:val="16"/>
        </w:numPr>
        <w:tabs>
          <w:tab w:pos="1186" w:val="left" w:leader="none"/>
        </w:tabs>
        <w:spacing w:line="480" w:lineRule="auto" w:before="120" w:after="0"/>
        <w:ind w:left="1185" w:right="1260" w:hanging="360"/>
        <w:jc w:val="left"/>
        <w:rPr>
          <w:sz w:val="24"/>
        </w:rPr>
      </w:pPr>
      <w:r>
        <w:rPr>
          <w:sz w:val="24"/>
        </w:rPr>
        <w:t>Plastic:</w:t>
      </w:r>
      <w:r>
        <w:rPr>
          <w:spacing w:val="25"/>
          <w:sz w:val="24"/>
        </w:rPr>
        <w:t> </w:t>
      </w:r>
      <w:r>
        <w:rPr>
          <w:sz w:val="24"/>
        </w:rPr>
        <w:t>Permanent</w:t>
      </w:r>
      <w:r>
        <w:rPr>
          <w:spacing w:val="26"/>
          <w:sz w:val="24"/>
        </w:rPr>
        <w:t> </w:t>
      </w:r>
      <w:r>
        <w:rPr>
          <w:sz w:val="24"/>
        </w:rPr>
        <w:t>change</w:t>
      </w:r>
      <w:r>
        <w:rPr>
          <w:spacing w:val="27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shape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material</w:t>
      </w:r>
      <w:r>
        <w:rPr>
          <w:spacing w:val="26"/>
          <w:sz w:val="24"/>
        </w:rPr>
        <w:t> </w:t>
      </w:r>
      <w:r>
        <w:rPr>
          <w:sz w:val="24"/>
        </w:rPr>
        <w:t>due</w:t>
      </w:r>
      <w:r>
        <w:rPr>
          <w:spacing w:val="26"/>
          <w:sz w:val="24"/>
        </w:rPr>
        <w:t> </w:t>
      </w:r>
      <w:r>
        <w:rPr>
          <w:sz w:val="24"/>
        </w:rPr>
        <w:t>to</w:t>
      </w:r>
      <w:r>
        <w:rPr>
          <w:spacing w:val="26"/>
          <w:sz w:val="24"/>
        </w:rPr>
        <w:t> </w:t>
      </w:r>
      <w:r>
        <w:rPr>
          <w:sz w:val="24"/>
        </w:rPr>
        <w:t>applied</w:t>
      </w:r>
      <w:r>
        <w:rPr>
          <w:spacing w:val="26"/>
          <w:sz w:val="24"/>
        </w:rPr>
        <w:t> </w:t>
      </w:r>
      <w:r>
        <w:rPr>
          <w:sz w:val="24"/>
        </w:rPr>
        <w:t>stress</w:t>
      </w:r>
      <w:r>
        <w:rPr>
          <w:spacing w:val="25"/>
          <w:sz w:val="24"/>
        </w:rPr>
        <w:t> </w:t>
      </w:r>
      <w:r>
        <w:rPr>
          <w:sz w:val="24"/>
        </w:rPr>
        <w:t>e.g.</w:t>
      </w:r>
      <w:r>
        <w:rPr>
          <w:spacing w:val="-57"/>
          <w:sz w:val="24"/>
        </w:rPr>
        <w:t> </w:t>
      </w:r>
      <w:r>
        <w:rPr>
          <w:sz w:val="24"/>
        </w:rPr>
        <w:t>microcrystalline</w:t>
      </w:r>
      <w:r>
        <w:rPr>
          <w:spacing w:val="-2"/>
          <w:sz w:val="24"/>
        </w:rPr>
        <w:t> </w:t>
      </w:r>
      <w:r>
        <w:rPr>
          <w:sz w:val="24"/>
        </w:rPr>
        <w:t>cellulose</w:t>
      </w:r>
      <w:r>
        <w:rPr>
          <w:spacing w:val="-1"/>
          <w:sz w:val="24"/>
        </w:rPr>
        <w:t> </w:t>
      </w:r>
      <w:r>
        <w:rPr>
          <w:sz w:val="24"/>
        </w:rPr>
        <w:t>(MCC),</w:t>
      </w:r>
      <w:r>
        <w:rPr>
          <w:spacing w:val="-1"/>
          <w:sz w:val="24"/>
        </w:rPr>
        <w:t> </w:t>
      </w:r>
      <w:r>
        <w:rPr>
          <w:sz w:val="24"/>
        </w:rPr>
        <w:t>corn starch,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sodium</w:t>
      </w:r>
      <w:r>
        <w:rPr>
          <w:spacing w:val="-1"/>
          <w:sz w:val="24"/>
        </w:rPr>
        <w:t> </w:t>
      </w:r>
      <w:r>
        <w:rPr>
          <w:sz w:val="24"/>
        </w:rPr>
        <w:t>chloride (NaCl).</w:t>
      </w:r>
    </w:p>
    <w:p>
      <w:pPr>
        <w:pStyle w:val="ListParagraph"/>
        <w:numPr>
          <w:ilvl w:val="0"/>
          <w:numId w:val="16"/>
        </w:numPr>
        <w:tabs>
          <w:tab w:pos="1186" w:val="left" w:leader="none"/>
        </w:tabs>
        <w:spacing w:line="480" w:lineRule="auto" w:before="118" w:after="0"/>
        <w:ind w:left="1185" w:right="1258" w:hanging="360"/>
        <w:jc w:val="left"/>
        <w:rPr>
          <w:sz w:val="24"/>
        </w:rPr>
      </w:pPr>
      <w:r>
        <w:rPr>
          <w:sz w:val="24"/>
        </w:rPr>
        <w:t>Brittle:</w:t>
      </w:r>
      <w:r>
        <w:rPr>
          <w:spacing w:val="22"/>
          <w:sz w:val="24"/>
        </w:rPr>
        <w:t> </w:t>
      </w:r>
      <w:r>
        <w:rPr>
          <w:sz w:val="24"/>
        </w:rPr>
        <w:t>Rapid</w:t>
      </w:r>
      <w:r>
        <w:rPr>
          <w:spacing w:val="23"/>
          <w:sz w:val="24"/>
        </w:rPr>
        <w:t> </w:t>
      </w:r>
      <w:r>
        <w:rPr>
          <w:sz w:val="24"/>
        </w:rPr>
        <w:t>propagation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crack</w:t>
      </w:r>
      <w:r>
        <w:rPr>
          <w:spacing w:val="22"/>
          <w:sz w:val="24"/>
        </w:rPr>
        <w:t> </w:t>
      </w:r>
      <w:r>
        <w:rPr>
          <w:sz w:val="24"/>
        </w:rPr>
        <w:t>throughout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material</w:t>
      </w:r>
      <w:r>
        <w:rPr>
          <w:spacing w:val="23"/>
          <w:sz w:val="24"/>
        </w:rPr>
        <w:t> </w:t>
      </w:r>
      <w:r>
        <w:rPr>
          <w:sz w:val="24"/>
        </w:rPr>
        <w:t>on</w:t>
      </w:r>
      <w:r>
        <w:rPr>
          <w:spacing w:val="22"/>
          <w:sz w:val="24"/>
        </w:rPr>
        <w:t> </w:t>
      </w:r>
      <w:r>
        <w:rPr>
          <w:sz w:val="24"/>
        </w:rPr>
        <w:t>application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stress</w:t>
      </w:r>
      <w:r>
        <w:rPr>
          <w:spacing w:val="-1"/>
          <w:sz w:val="24"/>
        </w:rPr>
        <w:t> </w:t>
      </w:r>
      <w:r>
        <w:rPr>
          <w:sz w:val="24"/>
        </w:rPr>
        <w:t>e.g.</w:t>
      </w:r>
      <w:r>
        <w:rPr>
          <w:spacing w:val="-1"/>
          <w:sz w:val="24"/>
        </w:rPr>
        <w:t> </w:t>
      </w:r>
      <w:r>
        <w:rPr>
          <w:sz w:val="24"/>
        </w:rPr>
        <w:t>sucrose,</w:t>
      </w:r>
      <w:r>
        <w:rPr>
          <w:spacing w:val="-1"/>
          <w:sz w:val="24"/>
        </w:rPr>
        <w:t> </w:t>
      </w:r>
      <w:r>
        <w:rPr>
          <w:sz w:val="24"/>
        </w:rPr>
        <w:t>mannitol, sodium</w:t>
      </w:r>
      <w:r>
        <w:rPr>
          <w:spacing w:val="-1"/>
          <w:sz w:val="24"/>
        </w:rPr>
        <w:t> </w:t>
      </w:r>
      <w:r>
        <w:rPr>
          <w:sz w:val="24"/>
        </w:rPr>
        <w:t>citrate,</w:t>
      </w:r>
      <w:r>
        <w:rPr>
          <w:spacing w:val="-1"/>
          <w:sz w:val="24"/>
        </w:rPr>
        <w:t> </w:t>
      </w:r>
      <w:r>
        <w:rPr>
          <w:sz w:val="24"/>
        </w:rPr>
        <w:t>lactose and</w:t>
      </w:r>
      <w:r>
        <w:rPr>
          <w:spacing w:val="-1"/>
          <w:sz w:val="24"/>
        </w:rPr>
        <w:t> </w:t>
      </w:r>
      <w:r>
        <w:rPr>
          <w:sz w:val="24"/>
        </w:rPr>
        <w:t>dicalcium</w:t>
      </w:r>
      <w:r>
        <w:rPr>
          <w:spacing w:val="-1"/>
          <w:sz w:val="24"/>
        </w:rPr>
        <w:t> </w:t>
      </w:r>
      <w:r>
        <w:rPr>
          <w:sz w:val="24"/>
        </w:rPr>
        <w:t>phosphate.</w:t>
      </w:r>
    </w:p>
    <w:p>
      <w:pPr>
        <w:pStyle w:val="BodyText"/>
        <w:spacing w:line="480" w:lineRule="auto" w:before="120"/>
        <w:ind w:left="465" w:right="1256"/>
        <w:jc w:val="both"/>
      </w:pPr>
      <w:r>
        <w:rPr/>
        <w:t>The predisposition of a material to deform in a particular manner depends on its lattice</w:t>
      </w:r>
      <w:r>
        <w:rPr>
          <w:spacing w:val="1"/>
        </w:rPr>
        <w:t> </w:t>
      </w:r>
      <w:r>
        <w:rPr/>
        <w:t>structure; in particular whether weakly bonded lattice planes are inherently present. In</w:t>
      </w:r>
      <w:r>
        <w:rPr>
          <w:spacing w:val="1"/>
        </w:rPr>
        <w:t> </w:t>
      </w:r>
      <w:r>
        <w:rPr/>
        <w:t>definite</w:t>
      </w:r>
      <w:r>
        <w:rPr>
          <w:spacing w:val="58"/>
        </w:rPr>
        <w:t> </w:t>
      </w:r>
      <w:r>
        <w:rPr/>
        <w:t>terms,  most</w:t>
      </w:r>
      <w:r>
        <w:rPr>
          <w:spacing w:val="59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59"/>
        </w:rPr>
        <w:t> </w:t>
      </w:r>
      <w:r>
        <w:rPr/>
        <w:t>materials</w:t>
      </w:r>
      <w:r>
        <w:rPr>
          <w:spacing w:val="2"/>
        </w:rPr>
        <w:t> </w:t>
      </w:r>
      <w:r>
        <w:rPr/>
        <w:t>cannot  be</w:t>
      </w:r>
      <w:r>
        <w:rPr>
          <w:spacing w:val="57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distinctly</w:t>
      </w:r>
      <w:r>
        <w:rPr>
          <w:spacing w:val="54"/>
        </w:rPr>
        <w:t> </w:t>
      </w:r>
      <w:r>
        <w:rPr/>
        <w:t>into  individual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7"/>
        <w:jc w:val="both"/>
      </w:pPr>
      <w:r>
        <w:rPr/>
        <w:t>categories. Pharmaceuticals exhibit all three characteristics, with one of them being the</w:t>
      </w:r>
      <w:r>
        <w:rPr>
          <w:spacing w:val="1"/>
        </w:rPr>
        <w:t> </w:t>
      </w:r>
      <w:r>
        <w:rPr/>
        <w:t>predominant</w:t>
      </w:r>
      <w:r>
        <w:rPr>
          <w:spacing w:val="1"/>
        </w:rPr>
        <w:t> </w:t>
      </w:r>
      <w:r>
        <w:rPr/>
        <w:t>response,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demarcate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favourable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compressibility.</w:t>
      </w:r>
    </w:p>
    <w:p>
      <w:pPr>
        <w:pStyle w:val="BodyText"/>
        <w:spacing w:line="480" w:lineRule="auto" w:before="120"/>
        <w:ind w:left="465" w:right="1252"/>
        <w:jc w:val="both"/>
      </w:pPr>
      <w:r>
        <w:rPr/>
        <w:t>Excipient</w:t>
      </w:r>
      <w:r>
        <w:rPr>
          <w:spacing w:val="1"/>
        </w:rPr>
        <w:t> </w:t>
      </w:r>
      <w:r>
        <w:rPr/>
        <w:t>co-processing</w:t>
      </w:r>
      <w:r>
        <w:rPr>
          <w:spacing w:val="1"/>
        </w:rPr>
        <w:t> </w:t>
      </w:r>
      <w:r>
        <w:rPr/>
        <w:t>offers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alter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behaviour of a material. A combination of plastic and brittle material is necessary for</w:t>
      </w:r>
      <w:r>
        <w:rPr>
          <w:spacing w:val="1"/>
        </w:rPr>
        <w:t> </w:t>
      </w:r>
      <w:r>
        <w:rPr/>
        <w:t>optimum tableting performance (Nachaegari and Bansal, 2004). Ideally, a co-processed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exhibits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 components.</w:t>
      </w:r>
    </w:p>
    <w:p>
      <w:pPr>
        <w:pStyle w:val="BodyText"/>
        <w:spacing w:line="480" w:lineRule="auto" w:before="121"/>
        <w:ind w:left="465" w:right="1253"/>
        <w:jc w:val="both"/>
      </w:pPr>
      <w:r>
        <w:rPr/>
        <w:t>Brittle materials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undergo</w:t>
      </w:r>
      <w:r>
        <w:rPr>
          <w:spacing w:val="1"/>
        </w:rPr>
        <w:t> </w:t>
      </w:r>
      <w:r>
        <w:rPr/>
        <w:t>extensive fragmentation</w:t>
      </w:r>
      <w:r>
        <w:rPr>
          <w:spacing w:val="1"/>
        </w:rPr>
        <w:t> </w:t>
      </w:r>
      <w:r>
        <w:rPr/>
        <w:t>generally 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relatively high porosity because of the relatively large number of bonding points that are</w:t>
      </w:r>
      <w:r>
        <w:rPr>
          <w:spacing w:val="-57"/>
        </w:rPr>
        <w:t> </w:t>
      </w:r>
      <w:r>
        <w:rPr/>
        <w:t>created, which prevents further volume reduction. A ductile material, on the other hand,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porosity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deformation</w:t>
      </w:r>
      <w:r>
        <w:rPr>
          <w:spacing w:val="1"/>
        </w:rPr>
        <w:t> </w:t>
      </w:r>
      <w:r>
        <w:rPr/>
        <w:t>enabling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move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(York,</w:t>
      </w:r>
      <w:r>
        <w:rPr>
          <w:spacing w:val="1"/>
        </w:rPr>
        <w:t> </w:t>
      </w:r>
      <w:r>
        <w:rPr/>
        <w:t>1992;</w:t>
      </w:r>
      <w:r>
        <w:rPr>
          <w:spacing w:val="-57"/>
        </w:rPr>
        <w:t> </w:t>
      </w:r>
      <w:r>
        <w:rPr/>
        <w:t>Garekani</w:t>
      </w:r>
      <w:r>
        <w:rPr>
          <w:spacing w:val="-1"/>
        </w:rPr>
        <w:t> </w:t>
      </w:r>
      <w:r>
        <w:rPr>
          <w:i/>
        </w:rPr>
        <w:t>et al.</w:t>
      </w:r>
      <w:r>
        <w:rPr/>
        <w:t>, 2001).</w:t>
      </w:r>
    </w:p>
    <w:p>
      <w:pPr>
        <w:pStyle w:val="BodyText"/>
        <w:spacing w:line="480" w:lineRule="auto" w:before="120"/>
        <w:ind w:left="465" w:right="1252"/>
        <w:jc w:val="both"/>
      </w:pPr>
      <w:r>
        <w:rPr/>
        <w:t>Co-processing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brittle</w:t>
      </w:r>
      <w:r>
        <w:rPr>
          <w:spacing w:val="1"/>
        </w:rPr>
        <w:t> </w:t>
      </w:r>
      <w:r>
        <w:rPr/>
        <w:t>excipient.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combination of these two types of material prevents the storage of excessive elastic</w:t>
      </w:r>
      <w:r>
        <w:rPr>
          <w:spacing w:val="1"/>
        </w:rPr>
        <w:t> </w:t>
      </w:r>
      <w:r>
        <w:rPr/>
        <w:t>energy during</w:t>
      </w:r>
      <w:r>
        <w:rPr>
          <w:spacing w:val="1"/>
        </w:rPr>
        <w:t> </w:t>
      </w:r>
      <w:r>
        <w:rPr/>
        <w:t>compression,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relaxation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reduced tendency for capping and lamination (Jacob</w:t>
      </w:r>
      <w:r>
        <w:rPr>
          <w:i/>
        </w:rPr>
        <w:t>et al.</w:t>
      </w:r>
      <w:r>
        <w:rPr/>
        <w:t>, 2007). Further, co-processing</w:t>
      </w:r>
      <w:r>
        <w:rPr>
          <w:spacing w:val="-57"/>
        </w:rPr>
        <w:t> </w:t>
      </w:r>
      <w:r>
        <w:rPr/>
        <w:t>of these two types of deforming materials produce a synergistic effect, in terms of</w:t>
      </w:r>
      <w:r>
        <w:rPr>
          <w:spacing w:val="1"/>
        </w:rPr>
        <w:t> </w:t>
      </w:r>
      <w:r>
        <w:rPr/>
        <w:t>compressibility,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selectively</w:t>
      </w:r>
      <w:r>
        <w:rPr>
          <w:spacing w:val="1"/>
        </w:rPr>
        <w:t> </w:t>
      </w:r>
      <w:r>
        <w:rPr/>
        <w:t>overcoming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disadvantages.</w:t>
      </w:r>
      <w:r>
        <w:rPr>
          <w:spacing w:val="61"/>
        </w:rPr>
        <w:t> </w:t>
      </w:r>
      <w:r>
        <w:rPr/>
        <w:t>Such</w:t>
      </w:r>
      <w:r>
        <w:rPr>
          <w:spacing w:val="1"/>
        </w:rPr>
        <w:t> </w:t>
      </w:r>
      <w:r>
        <w:rPr/>
        <w:t>combinations can help improve functional properties, such as compaction performance,</w:t>
      </w:r>
      <w:r>
        <w:rPr>
          <w:spacing w:val="1"/>
        </w:rPr>
        <w:t> </w:t>
      </w:r>
      <w:r>
        <w:rPr/>
        <w:t>flow properties, strain-rate, lubricant and moisture sensitivities, or reduced hornification</w:t>
      </w:r>
      <w:r>
        <w:rPr>
          <w:spacing w:val="-57"/>
        </w:rPr>
        <w:t> </w:t>
      </w:r>
      <w:r>
        <w:rPr/>
        <w:t>(ability</w:t>
      </w:r>
      <w:r>
        <w:rPr>
          <w:spacing w:val="8"/>
        </w:rPr>
        <w:t> </w:t>
      </w:r>
      <w:r>
        <w:rPr/>
        <w:t>to</w:t>
      </w:r>
      <w:r>
        <w:rPr>
          <w:spacing w:val="13"/>
        </w:rPr>
        <w:t> </w:t>
      </w:r>
      <w:r>
        <w:rPr/>
        <w:t>form</w:t>
      </w:r>
      <w:r>
        <w:rPr>
          <w:spacing w:val="13"/>
        </w:rPr>
        <w:t> </w:t>
      </w:r>
      <w:r>
        <w:rPr/>
        <w:t>hydrogen</w:t>
      </w:r>
      <w:r>
        <w:rPr>
          <w:spacing w:val="13"/>
        </w:rPr>
        <w:t> </w:t>
      </w:r>
      <w:r>
        <w:rPr/>
        <w:t>bonding).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products</w:t>
      </w:r>
      <w:r>
        <w:rPr>
          <w:spacing w:val="13"/>
        </w:rPr>
        <w:t> </w:t>
      </w:r>
      <w:r>
        <w:rPr/>
        <w:t>so</w:t>
      </w:r>
      <w:r>
        <w:rPr>
          <w:spacing w:val="13"/>
        </w:rPr>
        <w:t> </w:t>
      </w:r>
      <w:r>
        <w:rPr/>
        <w:t>formed</w:t>
      </w:r>
      <w:r>
        <w:rPr>
          <w:spacing w:val="12"/>
        </w:rPr>
        <w:t> </w:t>
      </w:r>
      <w:r>
        <w:rPr/>
        <w:t>are</w:t>
      </w:r>
      <w:r>
        <w:rPr>
          <w:spacing w:val="11"/>
        </w:rPr>
        <w:t> </w:t>
      </w:r>
      <w:r>
        <w:rPr/>
        <w:t>physically</w:t>
      </w:r>
      <w:r>
        <w:rPr>
          <w:spacing w:val="11"/>
        </w:rPr>
        <w:t> </w:t>
      </w:r>
      <w:r>
        <w:rPr/>
        <w:t>modified</w:t>
      </w:r>
      <w:r>
        <w:rPr>
          <w:spacing w:val="13"/>
        </w:rPr>
        <w:t> </w:t>
      </w:r>
      <w:r>
        <w:rPr/>
        <w:t>in</w:t>
      </w:r>
      <w:r>
        <w:rPr>
          <w:spacing w:val="-58"/>
        </w:rPr>
        <w:t> </w:t>
      </w:r>
      <w:r>
        <w:rPr/>
        <w:t>a way so that they do not lose their chemical structure and stability. This means that</w:t>
      </w:r>
      <w:r>
        <w:rPr>
          <w:spacing w:val="1"/>
        </w:rPr>
        <w:t> </w:t>
      </w:r>
      <w:r>
        <w:rPr/>
        <w:t>excipients</w:t>
      </w:r>
      <w:r>
        <w:rPr>
          <w:spacing w:val="59"/>
        </w:rPr>
        <w:t> </w:t>
      </w:r>
      <w:r>
        <w:rPr/>
        <w:t>maintain</w:t>
      </w:r>
      <w:r>
        <w:rPr>
          <w:spacing w:val="58"/>
        </w:rPr>
        <w:t> </w:t>
      </w:r>
      <w:r>
        <w:rPr/>
        <w:t>their</w:t>
      </w:r>
      <w:r>
        <w:rPr>
          <w:spacing w:val="58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chemical</w:t>
      </w:r>
      <w:r>
        <w:rPr>
          <w:spacing w:val="59"/>
        </w:rPr>
        <w:t> </w:t>
      </w:r>
      <w:r>
        <w:rPr/>
        <w:t>properties,</w:t>
      </w:r>
      <w:r>
        <w:rPr>
          <w:spacing w:val="58"/>
        </w:rPr>
        <w:t> </w:t>
      </w:r>
      <w:r>
        <w:rPr/>
        <w:t>while</w:t>
      </w:r>
      <w:r>
        <w:rPr>
          <w:spacing w:val="60"/>
        </w:rPr>
        <w:t> </w:t>
      </w:r>
      <w:r>
        <w:rPr/>
        <w:t>synergistically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2"/>
        <w:jc w:val="both"/>
      </w:pPr>
      <w:r>
        <w:rPr/>
        <w:t>increasing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(Chow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processed excipient is porous, segregation is typically diminished since APIs can adhere</w:t>
      </w:r>
      <w:r>
        <w:rPr>
          <w:spacing w:val="-57"/>
        </w:rPr>
        <w:t> </w:t>
      </w:r>
      <w:r>
        <w:rPr/>
        <w:t>unto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particles,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in-process</w:t>
      </w:r>
      <w:r>
        <w:rPr>
          <w:spacing w:val="1"/>
        </w:rPr>
        <w:t> </w:t>
      </w:r>
      <w:r>
        <w:rPr/>
        <w:t>control</w:t>
      </w:r>
      <w:r>
        <w:rPr>
          <w:spacing w:val="60"/>
        </w:rPr>
        <w:t> </w:t>
      </w:r>
      <w:r>
        <w:rPr/>
        <w:t>easy and</w:t>
      </w:r>
      <w:r>
        <w:rPr>
          <w:spacing w:val="-57"/>
        </w:rPr>
        <w:t> </w:t>
      </w:r>
      <w:r>
        <w:rPr/>
        <w:t>more</w:t>
      </w:r>
      <w:r>
        <w:rPr>
          <w:spacing w:val="-3"/>
        </w:rPr>
        <w:t> </w:t>
      </w:r>
      <w:r>
        <w:rPr/>
        <w:t>reliable.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1"/>
          <w:numId w:val="13"/>
        </w:numPr>
        <w:tabs>
          <w:tab w:pos="1186" w:val="left" w:leader="none"/>
        </w:tabs>
        <w:spacing w:line="240" w:lineRule="auto" w:before="1" w:after="0"/>
        <w:ind w:left="1185" w:right="0" w:hanging="721"/>
        <w:jc w:val="both"/>
      </w:pPr>
      <w:bookmarkStart w:name="_TOC_250068" w:id="38"/>
      <w:r>
        <w:rPr/>
        <w:t>Methods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38"/>
      <w:r>
        <w:rPr/>
        <w:t>Co-processing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5" w:right="1255"/>
        <w:jc w:val="both"/>
      </w:pPr>
      <w:r>
        <w:rPr/>
        <w:t>Spray drying, wet granulation, spheronization, and co-crystallization can be used for co-</w:t>
      </w:r>
      <w:r>
        <w:rPr>
          <w:spacing w:val="-57"/>
        </w:rPr>
        <w:t> </w:t>
      </w:r>
      <w:r>
        <w:rPr/>
        <w:t>processing. Spray drying is a process in which an aqueous or non-aqueous dispersion of</w:t>
      </w:r>
      <w:r>
        <w:rPr>
          <w:spacing w:val="1"/>
        </w:rPr>
        <w:t> </w:t>
      </w:r>
      <w:r>
        <w:rPr/>
        <w:t>the materials are sprayed through a nozzle at high pressures and the droplets formed are</w:t>
      </w:r>
      <w:r>
        <w:rPr>
          <w:spacing w:val="1"/>
        </w:rPr>
        <w:t> </w:t>
      </w:r>
      <w:r>
        <w:rPr/>
        <w:t>rapidly</w:t>
      </w:r>
      <w:r>
        <w:rPr>
          <w:spacing w:val="-6"/>
        </w:rPr>
        <w:t> </w:t>
      </w:r>
      <w:r>
        <w:rPr/>
        <w:t>dried and</w:t>
      </w:r>
      <w:r>
        <w:rPr>
          <w:spacing w:val="2"/>
        </w:rPr>
        <w:t> </w:t>
      </w:r>
      <w:r>
        <w:rPr/>
        <w:t>collected as powder.</w:t>
      </w:r>
    </w:p>
    <w:p>
      <w:pPr>
        <w:pStyle w:val="BodyText"/>
        <w:spacing w:line="480" w:lineRule="auto" w:before="121"/>
        <w:ind w:left="465" w:right="1250"/>
        <w:jc w:val="both"/>
      </w:pPr>
      <w:r>
        <w:rPr/>
        <w:t>Wet granulation involves addition of an aqueous dispersion of a binder to a previously</w:t>
      </w:r>
      <w:r>
        <w:rPr>
          <w:spacing w:val="1"/>
        </w:rPr>
        <w:t> </w:t>
      </w:r>
      <w:r>
        <w:rPr/>
        <w:t>mixed</w:t>
      </w:r>
      <w:r>
        <w:rPr>
          <w:spacing w:val="-1"/>
        </w:rPr>
        <w:t> </w:t>
      </w:r>
      <w:r>
        <w:rPr/>
        <w:t>powder blend, followed by</w:t>
      </w:r>
      <w:r>
        <w:rPr>
          <w:spacing w:val="-5"/>
        </w:rPr>
        <w:t> </w:t>
      </w:r>
      <w:r>
        <w:rPr/>
        <w:t>wet sieving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drying.</w:t>
      </w:r>
    </w:p>
    <w:p>
      <w:pPr>
        <w:pStyle w:val="BodyText"/>
        <w:spacing w:line="480" w:lineRule="auto" w:before="120"/>
        <w:ind w:left="465" w:right="1260"/>
        <w:jc w:val="both"/>
      </w:pPr>
      <w:r>
        <w:rPr/>
        <w:t>In the spheronization process, the wet mixture of the excipients is first extruded to</w:t>
      </w:r>
      <w:r>
        <w:rPr>
          <w:spacing w:val="1"/>
        </w:rPr>
        <w:t> </w:t>
      </w:r>
      <w:r>
        <w:rPr/>
        <w:t>produce homogeneous</w:t>
      </w:r>
      <w:r>
        <w:rPr>
          <w:spacing w:val="1"/>
        </w:rPr>
        <w:t> </w:t>
      </w:r>
      <w:r>
        <w:rPr/>
        <w:t>spaghetti-like rods. The rods</w:t>
      </w:r>
      <w:r>
        <w:rPr>
          <w:spacing w:val="1"/>
        </w:rPr>
        <w:t> </w:t>
      </w:r>
      <w:r>
        <w:rPr/>
        <w:t>are, while wet</w:t>
      </w:r>
      <w:r>
        <w:rPr>
          <w:spacing w:val="1"/>
        </w:rPr>
        <w:t> </w:t>
      </w:r>
      <w:r>
        <w:rPr/>
        <w:t>converted to</w:t>
      </w:r>
      <w:r>
        <w:rPr>
          <w:spacing w:val="60"/>
        </w:rPr>
        <w:t> </w:t>
      </w:r>
      <w:r>
        <w:rPr/>
        <w:t>beads</w:t>
      </w:r>
      <w:r>
        <w:rPr>
          <w:spacing w:val="-57"/>
        </w:rPr>
        <w:t> </w:t>
      </w:r>
      <w:r>
        <w:rPr/>
        <w:t>by</w:t>
      </w:r>
      <w:r>
        <w:rPr>
          <w:spacing w:val="-5"/>
        </w:rPr>
        <w:t> </w:t>
      </w:r>
      <w:r>
        <w:rPr/>
        <w:t>using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spheronizer.</w:t>
      </w:r>
    </w:p>
    <w:p>
      <w:pPr>
        <w:pStyle w:val="BodyText"/>
        <w:spacing w:line="480" w:lineRule="auto" w:before="120"/>
        <w:ind w:left="465" w:right="1257"/>
        <w:jc w:val="both"/>
      </w:pPr>
      <w:r>
        <w:rPr/>
        <w:t>In co-crystallization, the two materials are dissolved in a solvent (often with heat) in</w:t>
      </w:r>
      <w:r>
        <w:rPr>
          <w:spacing w:val="1"/>
        </w:rPr>
        <w:t> </w:t>
      </w:r>
      <w:r>
        <w:rPr/>
        <w:t>which both are highly soluble followed by cooling at different rates to produce desired</w:t>
      </w:r>
      <w:r>
        <w:rPr>
          <w:spacing w:val="1"/>
        </w:rPr>
        <w:t> </w:t>
      </w:r>
      <w:r>
        <w:rPr/>
        <w:t>co-crystals. Differences in the cooling rates cause changes in the size and shape of the</w:t>
      </w:r>
      <w:r>
        <w:rPr>
          <w:spacing w:val="1"/>
        </w:rPr>
        <w:t> </w:t>
      </w:r>
      <w:r>
        <w:rPr/>
        <w:t>resulting crystals. These crystals can then be milled or passed through sieves to control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particle</w:t>
      </w:r>
      <w:r>
        <w:rPr>
          <w:spacing w:val="-3"/>
        </w:rPr>
        <w:t> </w:t>
      </w:r>
      <w:r>
        <w:rPr/>
        <w:t>size.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numPr>
          <w:ilvl w:val="1"/>
          <w:numId w:val="13"/>
        </w:numPr>
        <w:tabs>
          <w:tab w:pos="1185" w:val="left" w:leader="none"/>
          <w:tab w:pos="1186" w:val="left" w:leader="none"/>
        </w:tabs>
        <w:spacing w:line="240" w:lineRule="auto" w:before="76" w:after="0"/>
        <w:ind w:left="1185" w:right="0" w:hanging="721"/>
        <w:jc w:val="left"/>
      </w:pPr>
      <w:bookmarkStart w:name="_TOC_250067" w:id="39"/>
      <w:r>
        <w:rPr/>
        <w:t>Advantages</w:t>
      </w:r>
      <w:r>
        <w:rPr>
          <w:spacing w:val="-2"/>
        </w:rPr>
        <w:t> </w:t>
      </w:r>
      <w:r>
        <w:rPr/>
        <w:t>of co-processed</w:t>
      </w:r>
      <w:r>
        <w:rPr>
          <w:spacing w:val="-1"/>
        </w:rPr>
        <w:t> </w:t>
      </w:r>
      <w:bookmarkEnd w:id="39"/>
      <w:r>
        <w:rPr/>
        <w:t>excipients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4"/>
      </w:pPr>
      <w:r>
        <w:rPr/>
        <w:t>Co-processing enhances</w:t>
      </w:r>
      <w:r>
        <w:rPr>
          <w:spacing w:val="1"/>
        </w:rPr>
        <w:t> </w:t>
      </w:r>
      <w:r>
        <w:rPr/>
        <w:t>the properties of its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thereby conferring the following</w:t>
      </w:r>
      <w:r>
        <w:rPr>
          <w:spacing w:val="-57"/>
        </w:rPr>
        <w:t> </w:t>
      </w:r>
      <w:r>
        <w:rPr/>
        <w:t>advantages:</w:t>
      </w:r>
    </w:p>
    <w:p>
      <w:pPr>
        <w:pStyle w:val="ListParagraph"/>
        <w:numPr>
          <w:ilvl w:val="0"/>
          <w:numId w:val="17"/>
        </w:numPr>
        <w:tabs>
          <w:tab w:pos="1186" w:val="left" w:leader="none"/>
        </w:tabs>
        <w:spacing w:line="240" w:lineRule="auto" w:before="120" w:after="0"/>
        <w:ind w:left="1185" w:right="0" w:hanging="488"/>
        <w:jc w:val="both"/>
        <w:rPr>
          <w:sz w:val="24"/>
        </w:rPr>
      </w:pPr>
      <w:r>
        <w:rPr>
          <w:sz w:val="24"/>
        </w:rPr>
        <w:t>Absence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change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1185" w:right="1252"/>
        <w:jc w:val="both"/>
      </w:pPr>
      <w:r>
        <w:rPr/>
        <w:t>There is absence of any chemical alteration during co-processing of excipients</w:t>
      </w:r>
      <w:r>
        <w:rPr>
          <w:spacing w:val="1"/>
        </w:rPr>
        <w:t> </w:t>
      </w:r>
      <w:r>
        <w:rPr/>
        <w:t>resulting only in physical changes. Characterization of silicified microcrystalline</w:t>
      </w:r>
      <w:r>
        <w:rPr>
          <w:spacing w:val="-57"/>
        </w:rPr>
        <w:t> </w:t>
      </w:r>
      <w:r>
        <w:rPr/>
        <w:t>cellulose (SMCC) with X-ray diffraction, solid-state and C13 nuclear magnetic</w:t>
      </w:r>
      <w:r>
        <w:rPr>
          <w:spacing w:val="1"/>
        </w:rPr>
        <w:t> </w:t>
      </w:r>
      <w:r>
        <w:rPr/>
        <w:t>resonance</w:t>
      </w:r>
      <w:r>
        <w:rPr>
          <w:spacing w:val="41"/>
        </w:rPr>
        <w:t> </w:t>
      </w:r>
      <w:r>
        <w:rPr/>
        <w:t>imaging</w:t>
      </w:r>
      <w:r>
        <w:rPr>
          <w:spacing w:val="40"/>
        </w:rPr>
        <w:t> </w:t>
      </w:r>
      <w:r>
        <w:rPr/>
        <w:t>(NMR),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infra-red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Raman</w:t>
      </w:r>
      <w:r>
        <w:rPr>
          <w:spacing w:val="42"/>
        </w:rPr>
        <w:t> </w:t>
      </w:r>
      <w:r>
        <w:rPr/>
        <w:t>spectroscopy</w:t>
      </w:r>
      <w:r>
        <w:rPr>
          <w:spacing w:val="38"/>
        </w:rPr>
        <w:t> </w:t>
      </w:r>
      <w:r>
        <w:rPr/>
        <w:t>confirmed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changes,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MCC</w:t>
      </w:r>
      <w:r>
        <w:rPr>
          <w:spacing w:val="1"/>
        </w:rPr>
        <w:t> </w:t>
      </w:r>
      <w:r>
        <w:rPr/>
        <w:t>(Tobyn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regulatory burden and encourages the formulators to use co-processed excipients</w:t>
      </w:r>
      <w:r>
        <w:rPr>
          <w:spacing w:val="-57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 development</w:t>
      </w:r>
      <w:r>
        <w:rPr>
          <w:spacing w:val="2"/>
        </w:rPr>
        <w:t> </w:t>
      </w:r>
      <w:r>
        <w:rPr/>
        <w:t>phase.</w:t>
      </w:r>
    </w:p>
    <w:p>
      <w:pPr>
        <w:pStyle w:val="ListParagraph"/>
        <w:numPr>
          <w:ilvl w:val="0"/>
          <w:numId w:val="17"/>
        </w:numPr>
        <w:tabs>
          <w:tab w:pos="1186" w:val="left" w:leader="none"/>
        </w:tabs>
        <w:spacing w:line="240" w:lineRule="auto" w:before="122" w:after="0"/>
        <w:ind w:left="1185" w:right="0" w:hanging="556"/>
        <w:jc w:val="both"/>
        <w:rPr>
          <w:sz w:val="24"/>
        </w:rPr>
      </w:pPr>
      <w:r>
        <w:rPr>
          <w:sz w:val="24"/>
        </w:rPr>
        <w:t>Improved</w:t>
      </w:r>
      <w:r>
        <w:rPr>
          <w:spacing w:val="-3"/>
          <w:sz w:val="24"/>
        </w:rPr>
        <w:t> </w:t>
      </w:r>
      <w:r>
        <w:rPr>
          <w:sz w:val="24"/>
        </w:rPr>
        <w:t>physicomechanical</w:t>
      </w:r>
      <w:r>
        <w:rPr>
          <w:spacing w:val="-2"/>
          <w:sz w:val="24"/>
        </w:rPr>
        <w:t> </w:t>
      </w:r>
      <w:r>
        <w:rPr>
          <w:sz w:val="24"/>
        </w:rPr>
        <w:t>properties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480" w:lineRule="auto" w:before="1"/>
        <w:ind w:left="1185" w:right="1254"/>
        <w:jc w:val="both"/>
      </w:pPr>
      <w:r>
        <w:rPr/>
        <w:t>Co-processing has been able to improve significantly the functionality of the</w:t>
      </w:r>
      <w:r>
        <w:rPr>
          <w:spacing w:val="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obtained. The</w:t>
      </w:r>
      <w:r>
        <w:rPr>
          <w:spacing w:val="-2"/>
        </w:rPr>
        <w:t> </w:t>
      </w:r>
      <w:r>
        <w:rPr/>
        <w:t>details are</w:t>
      </w:r>
      <w:r>
        <w:rPr>
          <w:spacing w:val="1"/>
        </w:rPr>
        <w:t> </w:t>
      </w:r>
      <w:r>
        <w:rPr/>
        <w:t>given below:</w:t>
      </w:r>
    </w:p>
    <w:p>
      <w:pPr>
        <w:pStyle w:val="ListParagraph"/>
        <w:numPr>
          <w:ilvl w:val="1"/>
          <w:numId w:val="17"/>
        </w:numPr>
        <w:tabs>
          <w:tab w:pos="1906" w:val="left" w:leader="none"/>
        </w:tabs>
        <w:spacing w:line="240" w:lineRule="auto" w:before="120" w:after="0"/>
        <w:ind w:left="1905" w:right="0" w:hanging="361"/>
        <w:jc w:val="left"/>
        <w:rPr>
          <w:sz w:val="24"/>
        </w:rPr>
      </w:pPr>
      <w:r>
        <w:rPr>
          <w:sz w:val="24"/>
        </w:rPr>
        <w:t>Improved</w:t>
      </w:r>
      <w:r>
        <w:rPr>
          <w:spacing w:val="-2"/>
          <w:sz w:val="24"/>
        </w:rPr>
        <w:t> </w:t>
      </w:r>
      <w:r>
        <w:rPr>
          <w:sz w:val="24"/>
        </w:rPr>
        <w:t>flow</w:t>
      </w:r>
      <w:r>
        <w:rPr>
          <w:spacing w:val="-2"/>
          <w:sz w:val="24"/>
        </w:rPr>
        <w:t> </w:t>
      </w:r>
      <w:r>
        <w:rPr>
          <w:sz w:val="24"/>
        </w:rPr>
        <w:t>properties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1905" w:right="1255"/>
        <w:jc w:val="both"/>
      </w:pPr>
      <w:r>
        <w:rPr/>
        <w:t>Controlled optimal particle size and size distribution ensures superior</w:t>
      </w:r>
      <w:r>
        <w:rPr>
          <w:spacing w:val="1"/>
        </w:rPr>
        <w:t> </w:t>
      </w:r>
      <w:r>
        <w:rPr/>
        <w:t>flow properties of co-processed excipients and reduced dependence on</w:t>
      </w:r>
      <w:r>
        <w:rPr>
          <w:spacing w:val="1"/>
        </w:rPr>
        <w:t> </w:t>
      </w:r>
      <w:r>
        <w:rPr/>
        <w:t>incorporation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glidants.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SMCC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constituent</w:t>
      </w:r>
      <w:r>
        <w:rPr>
          <w:spacing w:val="1"/>
        </w:rPr>
        <w:t> </w:t>
      </w:r>
      <w:r>
        <w:rPr/>
        <w:t>excipients (Allen, 1996). The particle size range of the two test samples</w:t>
      </w:r>
      <w:r>
        <w:rPr>
          <w:spacing w:val="1"/>
        </w:rPr>
        <w:t> </w:t>
      </w:r>
      <w:r>
        <w:rPr/>
        <w:t>was found to be identical, but the flow of the co-processed excipient was</w:t>
      </w:r>
      <w:r>
        <w:rPr>
          <w:spacing w:val="1"/>
        </w:rPr>
        <w:t> </w:t>
      </w:r>
      <w:r>
        <w:rPr/>
        <w:t>better than that of the physical mixture. The spray-dried co-processed</w:t>
      </w:r>
      <w:r>
        <w:rPr>
          <w:spacing w:val="1"/>
        </w:rPr>
        <w:t> </w:t>
      </w:r>
      <w:r>
        <w:rPr/>
        <w:t>product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/>
        <w:t>cellulose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lactose</w:t>
      </w:r>
      <w:r>
        <w:rPr>
          <w:spacing w:val="36"/>
        </w:rPr>
        <w:t> </w:t>
      </w:r>
      <w:r>
        <w:rPr/>
        <w:t>yielded</w:t>
      </w:r>
      <w:r>
        <w:rPr>
          <w:spacing w:val="34"/>
        </w:rPr>
        <w:t> </w:t>
      </w:r>
      <w:r>
        <w:rPr/>
        <w:t>a</w:t>
      </w:r>
      <w:r>
        <w:rPr>
          <w:spacing w:val="31"/>
        </w:rPr>
        <w:t> </w:t>
      </w:r>
      <w:r>
        <w:rPr/>
        <w:t>product</w:t>
      </w:r>
      <w:r>
        <w:rPr>
          <w:spacing w:val="32"/>
        </w:rPr>
        <w:t> </w:t>
      </w:r>
      <w:r>
        <w:rPr/>
        <w:t>that</w:t>
      </w:r>
      <w:r>
        <w:rPr>
          <w:spacing w:val="32"/>
        </w:rPr>
        <w:t> </w:t>
      </w:r>
      <w:r>
        <w:rPr/>
        <w:t>had</w:t>
      </w:r>
      <w:r>
        <w:rPr>
          <w:spacing w:val="34"/>
        </w:rPr>
        <w:t> </w:t>
      </w:r>
      <w:r>
        <w:rPr/>
        <w:t>a</w:t>
      </w:r>
      <w:r>
        <w:rPr>
          <w:spacing w:val="31"/>
        </w:rPr>
        <w:t> </w:t>
      </w:r>
      <w:r>
        <w:rPr/>
        <w:t>spherical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1905" w:right="1255"/>
        <w:jc w:val="both"/>
      </w:pPr>
      <w:r>
        <w:rPr/>
        <w:t>shape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surface,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flow</w:t>
      </w:r>
      <w:r>
        <w:rPr>
          <w:spacing w:val="60"/>
        </w:rPr>
        <w:t> </w:t>
      </w:r>
      <w:r>
        <w:rPr/>
        <w:t>properties</w:t>
      </w:r>
      <w:r>
        <w:rPr>
          <w:spacing w:val="-57"/>
        </w:rPr>
        <w:t> </w:t>
      </w:r>
      <w:r>
        <w:rPr/>
        <w:t>when compared to its physical mixture. Similarly, mechanical coating of</w:t>
      </w:r>
      <w:r>
        <w:rPr>
          <w:spacing w:val="1"/>
        </w:rPr>
        <w:t> </w:t>
      </w:r>
      <w:r>
        <w:rPr/>
        <w:t>microcrystalline cellulose</w:t>
      </w:r>
      <w:r>
        <w:rPr>
          <w:spacing w:val="1"/>
        </w:rPr>
        <w:t> </w:t>
      </w:r>
      <w:r>
        <w:rPr/>
        <w:t>II with colloidal silicon dioxide resulted in</w:t>
      </w:r>
      <w:r>
        <w:rPr>
          <w:spacing w:val="1"/>
        </w:rPr>
        <w:t> </w:t>
      </w:r>
      <w:r>
        <w:rPr/>
        <w:t>better</w:t>
      </w:r>
      <w:r>
        <w:rPr>
          <w:spacing w:val="-2"/>
        </w:rPr>
        <w:t> </w:t>
      </w:r>
      <w:r>
        <w:rPr/>
        <w:t>flow</w:t>
      </w:r>
      <w:r>
        <w:rPr>
          <w:spacing w:val="-1"/>
        </w:rPr>
        <w:t> </w:t>
      </w:r>
      <w:r>
        <w:rPr/>
        <w:t>properties (Rojas and Kumar, 2011).</w:t>
      </w:r>
    </w:p>
    <w:p>
      <w:pPr>
        <w:pStyle w:val="ListParagraph"/>
        <w:numPr>
          <w:ilvl w:val="1"/>
          <w:numId w:val="17"/>
        </w:numPr>
        <w:tabs>
          <w:tab w:pos="1906" w:val="left" w:leader="none"/>
        </w:tabs>
        <w:spacing w:line="240" w:lineRule="auto" w:before="120" w:after="0"/>
        <w:ind w:left="1905" w:right="0" w:hanging="361"/>
        <w:jc w:val="both"/>
        <w:rPr>
          <w:sz w:val="24"/>
        </w:rPr>
      </w:pPr>
      <w:r>
        <w:rPr>
          <w:sz w:val="24"/>
        </w:rPr>
        <w:t>Improved</w:t>
      </w:r>
      <w:r>
        <w:rPr>
          <w:spacing w:val="-4"/>
          <w:sz w:val="24"/>
        </w:rPr>
        <w:t> </w:t>
      </w:r>
      <w:r>
        <w:rPr>
          <w:sz w:val="24"/>
        </w:rPr>
        <w:t>compressibility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1905" w:right="1254"/>
        <w:jc w:val="both"/>
      </w:pPr>
      <w:r>
        <w:rPr/>
        <w:t>Co-processed excipients have been used mainly in direct compression</w:t>
      </w:r>
      <w:r>
        <w:rPr>
          <w:spacing w:val="1"/>
        </w:rPr>
        <w:t> </w:t>
      </w:r>
      <w:r>
        <w:rPr/>
        <w:t>tableting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compressibility,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excipient formed is a filler-binder. The compressibility of several co-</w:t>
      </w:r>
      <w:r>
        <w:rPr>
          <w:spacing w:val="1"/>
        </w:rPr>
        <w:t> </w:t>
      </w:r>
      <w:r>
        <w:rPr/>
        <w:t>processed excipients such as Cellactose</w:t>
      </w:r>
      <w:r>
        <w:rPr>
          <w:vertAlign w:val="superscript"/>
        </w:rPr>
        <w:t>®</w:t>
      </w:r>
      <w:r>
        <w:rPr>
          <w:vertAlign w:val="baseline"/>
        </w:rPr>
        <w:t>, SMCC and Ludipress</w:t>
      </w:r>
      <w:r>
        <w:rPr>
          <w:vertAlign w:val="superscript"/>
        </w:rPr>
        <w:t>®</w:t>
      </w:r>
      <w:r>
        <w:rPr>
          <w:vertAlign w:val="baseline"/>
        </w:rPr>
        <w:t> have</w:t>
      </w:r>
      <w:r>
        <w:rPr>
          <w:spacing w:val="1"/>
          <w:vertAlign w:val="baseline"/>
        </w:rPr>
        <w:t> </w:t>
      </w:r>
      <w:r>
        <w:rPr>
          <w:vertAlign w:val="baseline"/>
        </w:rPr>
        <w:t>been reported to be superior compared to the physical mixtures of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component excipients(Schmidt and Rubensdorfer, 1994a; Allen, 1996;</w:t>
      </w:r>
      <w:r>
        <w:rPr>
          <w:spacing w:val="1"/>
          <w:vertAlign w:val="baseline"/>
        </w:rPr>
        <w:t> </w:t>
      </w:r>
      <w:r>
        <w:rPr>
          <w:vertAlign w:val="baseline"/>
        </w:rPr>
        <w:t>Sherwood and Becker, 1998). The versatility of SMCC has been reported</w:t>
      </w:r>
      <w:r>
        <w:rPr>
          <w:spacing w:val="-57"/>
          <w:vertAlign w:val="baseline"/>
        </w:rPr>
        <w:t> </w:t>
      </w:r>
      <w:r>
        <w:rPr>
          <w:vertAlign w:val="baseline"/>
        </w:rPr>
        <w:t>in the manufacturing of high-dose DC formulations, wherein it reduces</w:t>
      </w:r>
      <w:r>
        <w:rPr>
          <w:spacing w:val="1"/>
          <w:vertAlign w:val="baseline"/>
        </w:rPr>
        <w:t> </w:t>
      </w:r>
      <w:r>
        <w:rPr>
          <w:vertAlign w:val="baseline"/>
        </w:rPr>
        <w:t>binder requirement by more than half, and results in overall reduction in</w:t>
      </w:r>
      <w:r>
        <w:rPr>
          <w:spacing w:val="1"/>
          <w:vertAlign w:val="baseline"/>
        </w:rPr>
        <w:t> </w:t>
      </w:r>
      <w:r>
        <w:rPr>
          <w:vertAlign w:val="baseline"/>
        </w:rPr>
        <w:t>excipient</w:t>
      </w:r>
      <w:r>
        <w:rPr>
          <w:spacing w:val="-1"/>
          <w:vertAlign w:val="baseline"/>
        </w:rPr>
        <w:t> </w:t>
      </w:r>
      <w:r>
        <w:rPr>
          <w:vertAlign w:val="baseline"/>
        </w:rPr>
        <w:t>requirement</w:t>
      </w:r>
      <w:r>
        <w:rPr>
          <w:spacing w:val="1"/>
          <w:vertAlign w:val="baseline"/>
        </w:rPr>
        <w:t> </w:t>
      </w:r>
      <w:r>
        <w:rPr>
          <w:vertAlign w:val="baseline"/>
        </w:rPr>
        <w:t>(Joshi, 2002).</w:t>
      </w:r>
    </w:p>
    <w:p>
      <w:pPr>
        <w:pStyle w:val="BodyText"/>
        <w:spacing w:line="480" w:lineRule="auto" w:before="122"/>
        <w:ind w:left="1905" w:right="1253"/>
        <w:jc w:val="both"/>
      </w:pPr>
      <w:r>
        <w:rPr/>
        <w:t>Co-processing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α-lactose</w:t>
      </w:r>
      <w:r>
        <w:rPr>
          <w:spacing w:val="1"/>
        </w:rPr>
        <w:t> </w:t>
      </w:r>
      <w:r>
        <w:rPr/>
        <w:t>monohydrate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compressibility,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dual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bonding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potential,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(Wagner</w:t>
      </w:r>
      <w:r>
        <w:rPr>
          <w:spacing w:val="1"/>
        </w:rPr>
        <w:t> </w:t>
      </w:r>
      <w:r>
        <w:rPr/>
        <w:t>andDressler,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attributed to the binding of small starch particles together with α-lactose</w:t>
      </w:r>
      <w:r>
        <w:rPr>
          <w:spacing w:val="1"/>
        </w:rPr>
        <w:t> </w:t>
      </w:r>
      <w:r>
        <w:rPr/>
        <w:t>monohydrate</w:t>
      </w:r>
      <w:r>
        <w:rPr>
          <w:spacing w:val="-1"/>
        </w:rPr>
        <w:t> </w:t>
      </w:r>
      <w:r>
        <w:rPr/>
        <w:t>crystals into compound particles.</w:t>
      </w:r>
    </w:p>
    <w:p>
      <w:pPr>
        <w:pStyle w:val="BodyText"/>
        <w:spacing w:line="480" w:lineRule="auto" w:before="118"/>
        <w:ind w:left="1905" w:right="1256"/>
        <w:jc w:val="both"/>
      </w:pPr>
      <w:r>
        <w:rPr/>
        <w:t>Although</w:t>
      </w:r>
      <w:r>
        <w:rPr>
          <w:spacing w:val="1"/>
        </w:rPr>
        <w:t> </w:t>
      </w:r>
      <w:r>
        <w:rPr/>
        <w:t>DC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tableting,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granulation is still employed in various products manufacturing because</w:t>
      </w:r>
      <w:r>
        <w:rPr>
          <w:spacing w:val="1"/>
        </w:rPr>
        <w:t> </w:t>
      </w:r>
      <w:r>
        <w:rPr/>
        <w:t>of</w:t>
      </w:r>
      <w:r>
        <w:rPr>
          <w:spacing w:val="18"/>
        </w:rPr>
        <w:t> </w:t>
      </w:r>
      <w:r>
        <w:rPr/>
        <w:t>improved</w:t>
      </w:r>
      <w:r>
        <w:rPr>
          <w:spacing w:val="18"/>
        </w:rPr>
        <w:t> </w:t>
      </w:r>
      <w:r>
        <w:rPr/>
        <w:t>control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drug</w:t>
      </w:r>
      <w:r>
        <w:rPr>
          <w:spacing w:val="18"/>
        </w:rPr>
        <w:t> </w:t>
      </w:r>
      <w:r>
        <w:rPr/>
        <w:t>content,</w:t>
      </w:r>
      <w:r>
        <w:rPr>
          <w:spacing w:val="18"/>
        </w:rPr>
        <w:t> </w:t>
      </w:r>
      <w:r>
        <w:rPr/>
        <w:t>better</w:t>
      </w:r>
      <w:r>
        <w:rPr>
          <w:spacing w:val="19"/>
        </w:rPr>
        <w:t> </w:t>
      </w:r>
      <w:r>
        <w:rPr/>
        <w:t>uniformity</w:t>
      </w:r>
      <w:r>
        <w:rPr>
          <w:spacing w:val="14"/>
        </w:rPr>
        <w:t> </w:t>
      </w:r>
      <w:r>
        <w:rPr/>
        <w:t>for</w:t>
      </w:r>
      <w:r>
        <w:rPr>
          <w:spacing w:val="17"/>
        </w:rPr>
        <w:t> </w:t>
      </w:r>
      <w:r>
        <w:rPr/>
        <w:t>highly</w:t>
      </w:r>
      <w:r>
        <w:rPr>
          <w:spacing w:val="14"/>
        </w:rPr>
        <w:t> </w:t>
      </w:r>
      <w:r>
        <w:rPr/>
        <w:t>potent</w:t>
      </w:r>
    </w:p>
    <w:p>
      <w:pPr>
        <w:pStyle w:val="BodyText"/>
        <w:spacing w:before="1"/>
        <w:ind w:left="1905"/>
        <w:jc w:val="both"/>
      </w:pPr>
      <w:r>
        <w:rPr/>
        <w:t>drugs</w:t>
      </w:r>
      <w:r>
        <w:rPr>
          <w:spacing w:val="48"/>
        </w:rPr>
        <w:t> </w:t>
      </w:r>
      <w:r>
        <w:rPr/>
        <w:t>(low-dose</w:t>
      </w:r>
      <w:r>
        <w:rPr>
          <w:spacing w:val="46"/>
        </w:rPr>
        <w:t> </w:t>
      </w:r>
      <w:r>
        <w:rPr/>
        <w:t>APIs)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production</w:t>
      </w:r>
      <w:r>
        <w:rPr>
          <w:spacing w:val="46"/>
        </w:rPr>
        <w:t> </w:t>
      </w:r>
      <w:r>
        <w:rPr/>
        <w:t>of</w:t>
      </w:r>
      <w:r>
        <w:rPr>
          <w:spacing w:val="47"/>
        </w:rPr>
        <w:t> </w:t>
      </w:r>
      <w:r>
        <w:rPr/>
        <w:t>granules</w:t>
      </w:r>
      <w:r>
        <w:rPr>
          <w:spacing w:val="46"/>
        </w:rPr>
        <w:t> </w:t>
      </w:r>
      <w:r>
        <w:rPr/>
        <w:t>with</w:t>
      </w:r>
      <w:r>
        <w:rPr>
          <w:spacing w:val="47"/>
        </w:rPr>
        <w:t> </w:t>
      </w:r>
      <w:r>
        <w:rPr/>
        <w:t>superior</w:t>
      </w:r>
      <w:r>
        <w:rPr>
          <w:spacing w:val="45"/>
        </w:rPr>
        <w:t> </w:t>
      </w:r>
      <w:r>
        <w:rPr/>
        <w:t>bulk</w:t>
      </w:r>
    </w:p>
    <w:p>
      <w:pPr>
        <w:spacing w:after="0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1905" w:right="1255"/>
        <w:jc w:val="both"/>
      </w:pPr>
      <w:r>
        <w:rPr/>
        <w:t>density and compactibility (Andrews, 2007). Excipients like MCC lose</w:t>
      </w:r>
      <w:r>
        <w:rPr>
          <w:spacing w:val="1"/>
        </w:rPr>
        <w:t> </w:t>
      </w:r>
      <w:r>
        <w:rPr/>
        <w:t>compressibility upon addition of water, a phenomenon called „quasi-</w:t>
      </w:r>
      <w:r>
        <w:rPr>
          <w:spacing w:val="1"/>
        </w:rPr>
        <w:t> </w:t>
      </w:r>
      <w:r>
        <w:rPr/>
        <w:t>hornification‟</w:t>
      </w:r>
      <w:r>
        <w:rPr>
          <w:spacing w:val="1"/>
        </w:rPr>
        <w:t> </w:t>
      </w:r>
      <w:r>
        <w:rPr/>
        <w:t>(Staniforth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Chatrath,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property</w:t>
      </w:r>
      <w:r>
        <w:rPr>
          <w:spacing w:val="61"/>
        </w:rPr>
        <w:t> </w:t>
      </w:r>
      <w:r>
        <w:rPr/>
        <w:t>is</w:t>
      </w:r>
      <w:r>
        <w:rPr>
          <w:spacing w:val="1"/>
        </w:rPr>
        <w:t> </w:t>
      </w:r>
      <w:r>
        <w:rPr/>
        <w:t>improved,</w:t>
      </w:r>
      <w:r>
        <w:rPr>
          <w:spacing w:val="-1"/>
        </w:rPr>
        <w:t> </w:t>
      </w:r>
      <w:r>
        <w:rPr/>
        <w:t>however, when it is</w:t>
      </w:r>
      <w:r>
        <w:rPr>
          <w:spacing w:val="-1"/>
        </w:rPr>
        <w:t> </w:t>
      </w:r>
      <w:r>
        <w:rPr/>
        <w:t>co-processed into</w:t>
      </w:r>
      <w:r>
        <w:rPr>
          <w:spacing w:val="3"/>
        </w:rPr>
        <w:t> </w:t>
      </w:r>
      <w:r>
        <w:rPr/>
        <w:t>SMCC.</w:t>
      </w:r>
    </w:p>
    <w:p>
      <w:pPr>
        <w:pStyle w:val="ListParagraph"/>
        <w:numPr>
          <w:ilvl w:val="1"/>
          <w:numId w:val="17"/>
        </w:numPr>
        <w:tabs>
          <w:tab w:pos="1906" w:val="left" w:leader="none"/>
        </w:tabs>
        <w:spacing w:line="240" w:lineRule="auto" w:before="120" w:after="0"/>
        <w:ind w:left="1905" w:right="0" w:hanging="361"/>
        <w:jc w:val="both"/>
        <w:rPr>
          <w:sz w:val="24"/>
        </w:rPr>
      </w:pPr>
      <w:r>
        <w:rPr>
          <w:sz w:val="24"/>
        </w:rPr>
        <w:t>Better</w:t>
      </w:r>
      <w:r>
        <w:rPr>
          <w:spacing w:val="-2"/>
          <w:sz w:val="24"/>
        </w:rPr>
        <w:t> </w:t>
      </w:r>
      <w:r>
        <w:rPr>
          <w:sz w:val="24"/>
        </w:rPr>
        <w:t>dilution</w:t>
      </w:r>
      <w:r>
        <w:rPr>
          <w:spacing w:val="-2"/>
          <w:sz w:val="24"/>
        </w:rPr>
        <w:t> </w:t>
      </w:r>
      <w:r>
        <w:rPr>
          <w:sz w:val="24"/>
        </w:rPr>
        <w:t>potential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1905" w:right="1251"/>
        <w:jc w:val="both"/>
      </w:pPr>
      <w:r>
        <w:rPr/>
        <w:t>Dilution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retain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compressibility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dilution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fixed</w:t>
      </w:r>
      <w:r>
        <w:rPr>
          <w:spacing w:val="1"/>
        </w:rPr>
        <w:t> </w:t>
      </w:r>
      <w:r>
        <w:rPr/>
        <w:t>proportion(Rojas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poorly</w:t>
      </w:r>
      <w:r>
        <w:rPr>
          <w:spacing w:val="-57"/>
        </w:rPr>
        <w:t> </w:t>
      </w:r>
      <w:r>
        <w:rPr/>
        <w:t>compressible, and require excipients to achieve better compressibility to</w:t>
      </w:r>
      <w:r>
        <w:rPr>
          <w:spacing w:val="1"/>
        </w:rPr>
        <w:t> </w:t>
      </w:r>
      <w:r>
        <w:rPr/>
        <w:t>retain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dilution.</w:t>
      </w:r>
      <w:r>
        <w:rPr>
          <w:spacing w:val="1"/>
        </w:rPr>
        <w:t> </w:t>
      </w:r>
      <w:r>
        <w:rPr/>
        <w:t>Cellactose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dilution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constituent</w:t>
      </w:r>
      <w:r>
        <w:rPr>
          <w:spacing w:val="-1"/>
        </w:rPr>
        <w:t> </w:t>
      </w:r>
      <w:r>
        <w:rPr/>
        <w:t>excipients</w:t>
      </w:r>
      <w:r>
        <w:rPr>
          <w:spacing w:val="2"/>
        </w:rPr>
        <w:t> </w:t>
      </w:r>
      <w:r>
        <w:rPr/>
        <w:t>(Flores </w:t>
      </w:r>
      <w:r>
        <w:rPr>
          <w:i/>
        </w:rPr>
        <w:t>et al.</w:t>
      </w:r>
      <w:r>
        <w:rPr/>
        <w:t>, 2000).</w:t>
      </w:r>
    </w:p>
    <w:p>
      <w:pPr>
        <w:pStyle w:val="ListParagraph"/>
        <w:numPr>
          <w:ilvl w:val="1"/>
          <w:numId w:val="17"/>
        </w:numPr>
        <w:tabs>
          <w:tab w:pos="1906" w:val="left" w:leader="none"/>
        </w:tabs>
        <w:spacing w:line="240" w:lineRule="auto" w:before="122" w:after="0"/>
        <w:ind w:left="1905" w:right="0" w:hanging="361"/>
        <w:jc w:val="both"/>
        <w:rPr>
          <w:sz w:val="24"/>
        </w:rPr>
      </w:pPr>
      <w:r>
        <w:rPr>
          <w:sz w:val="24"/>
        </w:rPr>
        <w:t>Lowering</w:t>
      </w:r>
      <w:r>
        <w:rPr>
          <w:spacing w:val="-4"/>
          <w:sz w:val="24"/>
        </w:rPr>
        <w:t> </w:t>
      </w:r>
      <w:r>
        <w:rPr>
          <w:sz w:val="24"/>
        </w:rPr>
        <w:t>of lubricant sensitivity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480" w:lineRule="auto" w:before="1"/>
        <w:ind w:left="1905" w:right="1253"/>
        <w:jc w:val="both"/>
      </w:pPr>
      <w:r>
        <w:rPr/>
        <w:t>Co-processing lowers the sensitivity of the product toward loss of their</w:t>
      </w:r>
      <w:r>
        <w:rPr>
          <w:spacing w:val="1"/>
        </w:rPr>
        <w:t> </w:t>
      </w:r>
      <w:r>
        <w:rPr/>
        <w:t>functionality in the presence of lubricants. Most co-processed products</w:t>
      </w:r>
      <w:r>
        <w:rPr>
          <w:spacing w:val="1"/>
        </w:rPr>
        <w:t> </w:t>
      </w:r>
      <w:r>
        <w:rPr/>
        <w:t>consist of a relatively large amount of brittle material and a smaller</w:t>
      </w:r>
      <w:r>
        <w:rPr>
          <w:spacing w:val="1"/>
        </w:rPr>
        <w:t> </w:t>
      </w:r>
      <w:r>
        <w:rPr/>
        <w:t>amount of plastic material such as cellulose that is fixed between or on</w:t>
      </w:r>
      <w:r>
        <w:rPr>
          <w:spacing w:val="1"/>
        </w:rPr>
        <w:t> </w:t>
      </w:r>
      <w:r>
        <w:rPr/>
        <w:t>the particles of the brittle material (Maarschalk and Bolhuis, 1999). The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bonding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continuous matrix with a large surface for bonding. The large amount of</w:t>
      </w:r>
      <w:r>
        <w:rPr>
          <w:spacing w:val="1"/>
        </w:rPr>
        <w:t> </w:t>
      </w:r>
      <w:r>
        <w:rPr/>
        <w:t>brittle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lubricant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 of a coherent lubricant network, by forming newly exposed</w:t>
      </w:r>
      <w:r>
        <w:rPr>
          <w:spacing w:val="1"/>
        </w:rPr>
        <w:t> </w:t>
      </w:r>
      <w:r>
        <w:rPr/>
        <w:t>surfaces</w:t>
      </w:r>
      <w:r>
        <w:rPr>
          <w:spacing w:val="-1"/>
        </w:rPr>
        <w:t> </w:t>
      </w:r>
      <w:r>
        <w:rPr/>
        <w:t>upon compression,</w:t>
      </w:r>
      <w:r>
        <w:rPr>
          <w:spacing w:val="-1"/>
        </w:rPr>
        <w:t> </w:t>
      </w:r>
      <w:r>
        <w:rPr/>
        <w:t>thus breaking</w:t>
      </w:r>
      <w:r>
        <w:rPr>
          <w:spacing w:val="-4"/>
        </w:rPr>
        <w:t> </w:t>
      </w:r>
      <w:r>
        <w:rPr/>
        <w:t>up the</w:t>
      </w:r>
      <w:r>
        <w:rPr>
          <w:spacing w:val="-1"/>
        </w:rPr>
        <w:t> </w:t>
      </w:r>
      <w:r>
        <w:rPr/>
        <w:t>lubricant network.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ListParagraph"/>
        <w:numPr>
          <w:ilvl w:val="0"/>
          <w:numId w:val="17"/>
        </w:numPr>
        <w:tabs>
          <w:tab w:pos="1186" w:val="left" w:leader="none"/>
        </w:tabs>
        <w:spacing w:line="480" w:lineRule="auto" w:before="72" w:after="0"/>
        <w:ind w:left="1185" w:right="1256" w:hanging="620"/>
        <w:jc w:val="both"/>
        <w:rPr>
          <w:sz w:val="24"/>
        </w:rPr>
      </w:pPr>
      <w:r>
        <w:rPr>
          <w:sz w:val="24"/>
        </w:rPr>
        <w:t>Co-processing gives rise to the development of tailor-made designer excipients</w:t>
      </w:r>
      <w:r>
        <w:rPr>
          <w:spacing w:val="1"/>
          <w:sz w:val="24"/>
        </w:rPr>
        <w:t> </w:t>
      </w:r>
      <w:r>
        <w:rPr>
          <w:sz w:val="24"/>
        </w:rPr>
        <w:t>with retention of functional and removal of undesirable properties, which can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-1"/>
          <w:sz w:val="24"/>
        </w:rPr>
        <w:t> </w:t>
      </w:r>
      <w:r>
        <w:rPr>
          <w:sz w:val="24"/>
        </w:rPr>
        <w:t>in faster</w:t>
      </w:r>
      <w:r>
        <w:rPr>
          <w:spacing w:val="-1"/>
          <w:sz w:val="24"/>
        </w:rPr>
        <w:t> </w:t>
      </w:r>
      <w:r>
        <w:rPr>
          <w:sz w:val="24"/>
        </w:rPr>
        <w:t>product development.</w:t>
      </w:r>
    </w:p>
    <w:p>
      <w:pPr>
        <w:pStyle w:val="ListParagraph"/>
        <w:numPr>
          <w:ilvl w:val="0"/>
          <w:numId w:val="17"/>
        </w:numPr>
        <w:tabs>
          <w:tab w:pos="1186" w:val="left" w:leader="none"/>
        </w:tabs>
        <w:spacing w:line="480" w:lineRule="auto" w:before="120" w:after="0"/>
        <w:ind w:left="1185" w:right="1254" w:hanging="608"/>
        <w:jc w:val="both"/>
        <w:rPr>
          <w:sz w:val="24"/>
        </w:rPr>
      </w:pPr>
      <w:r>
        <w:rPr>
          <w:sz w:val="24"/>
        </w:rPr>
        <w:t>It provides a single excipient with multiple functionalities, thereby reducing the</w:t>
      </w:r>
      <w:r>
        <w:rPr>
          <w:spacing w:val="1"/>
          <w:sz w:val="24"/>
        </w:rPr>
        <w:t> </w:t>
      </w:r>
      <w:r>
        <w:rPr>
          <w:sz w:val="24"/>
        </w:rPr>
        <w:t>inventory</w:t>
      </w:r>
      <w:r>
        <w:rPr>
          <w:spacing w:val="-5"/>
          <w:sz w:val="24"/>
        </w:rPr>
        <w:t> </w:t>
      </w:r>
      <w:r>
        <w:rPr>
          <w:sz w:val="24"/>
        </w:rPr>
        <w:t>burden</w:t>
      </w:r>
    </w:p>
    <w:p>
      <w:pPr>
        <w:pStyle w:val="ListParagraph"/>
        <w:numPr>
          <w:ilvl w:val="0"/>
          <w:numId w:val="17"/>
        </w:numPr>
        <w:tabs>
          <w:tab w:pos="1186" w:val="left" w:leader="none"/>
        </w:tabs>
        <w:spacing w:line="480" w:lineRule="auto" w:before="120" w:after="0"/>
        <w:ind w:left="1185" w:right="1252" w:hanging="540"/>
        <w:jc w:val="both"/>
        <w:rPr>
          <w:sz w:val="24"/>
        </w:rPr>
      </w:pPr>
      <w:r>
        <w:rPr>
          <w:sz w:val="24"/>
        </w:rPr>
        <w:t>Offers</w:t>
      </w:r>
      <w:r>
        <w:rPr>
          <w:spacing w:val="10"/>
          <w:sz w:val="24"/>
        </w:rPr>
        <w:t> </w:t>
      </w:r>
      <w:r>
        <w:rPr>
          <w:sz w:val="24"/>
        </w:rPr>
        <w:t>improvement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organoleptic</w:t>
      </w:r>
      <w:r>
        <w:rPr>
          <w:spacing w:val="10"/>
          <w:sz w:val="24"/>
        </w:rPr>
        <w:t> </w:t>
      </w:r>
      <w:r>
        <w:rPr>
          <w:sz w:val="24"/>
        </w:rPr>
        <w:t>properties,</w:t>
      </w:r>
      <w:r>
        <w:rPr>
          <w:spacing w:val="11"/>
          <w:sz w:val="24"/>
        </w:rPr>
        <w:t> </w:t>
      </w:r>
      <w:r>
        <w:rPr>
          <w:sz w:val="24"/>
        </w:rPr>
        <w:t>such</w:t>
      </w:r>
      <w:r>
        <w:rPr>
          <w:spacing w:val="11"/>
          <w:sz w:val="24"/>
        </w:rPr>
        <w:t> </w:t>
      </w:r>
      <w:r>
        <w:rPr>
          <w:sz w:val="24"/>
        </w:rPr>
        <w:t>as</w:t>
      </w:r>
      <w:r>
        <w:rPr>
          <w:spacing w:val="12"/>
          <w:sz w:val="24"/>
        </w:rPr>
        <w:t> </w:t>
      </w:r>
      <w:r>
        <w:rPr>
          <w:sz w:val="24"/>
        </w:rPr>
        <w:t>those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Avicel</w:t>
      </w:r>
      <w:r>
        <w:rPr>
          <w:sz w:val="24"/>
          <w:vertAlign w:val="superscript"/>
        </w:rPr>
        <w:t>®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CE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15,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co-processed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excipient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MCC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guar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gum,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designed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providing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chewable tablets with reduced grittiness and tooth packing, minimal chalkiness,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better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mouth feel,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improved overall palatability.</w:t>
      </w:r>
    </w:p>
    <w:p>
      <w:pPr>
        <w:pStyle w:val="ListParagraph"/>
        <w:numPr>
          <w:ilvl w:val="0"/>
          <w:numId w:val="17"/>
        </w:numPr>
        <w:tabs>
          <w:tab w:pos="1186" w:val="left" w:leader="none"/>
        </w:tabs>
        <w:spacing w:line="240" w:lineRule="auto" w:before="121" w:after="0"/>
        <w:ind w:left="1185" w:right="0" w:hanging="608"/>
        <w:jc w:val="both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provides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robust</w:t>
      </w:r>
      <w:r>
        <w:rPr>
          <w:spacing w:val="-1"/>
          <w:sz w:val="24"/>
        </w:rPr>
        <w:t> </w:t>
      </w:r>
      <w:r>
        <w:rPr>
          <w:sz w:val="24"/>
        </w:rPr>
        <w:t>tablets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low</w:t>
      </w:r>
      <w:r>
        <w:rPr>
          <w:spacing w:val="-1"/>
          <w:sz w:val="24"/>
        </w:rPr>
        <w:t> </w:t>
      </w:r>
      <w:r>
        <w:rPr>
          <w:sz w:val="24"/>
        </w:rPr>
        <w:t>compression</w:t>
      </w:r>
      <w:r>
        <w:rPr>
          <w:spacing w:val="-1"/>
          <w:sz w:val="24"/>
        </w:rPr>
        <w:t> </w:t>
      </w:r>
      <w:r>
        <w:rPr>
          <w:sz w:val="24"/>
        </w:rPr>
        <w:t>force.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0"/>
          <w:numId w:val="17"/>
        </w:numPr>
        <w:tabs>
          <w:tab w:pos="1186" w:val="left" w:leader="none"/>
        </w:tabs>
        <w:spacing w:line="240" w:lineRule="auto" w:before="0" w:after="0"/>
        <w:ind w:left="1185" w:right="0" w:hanging="676"/>
        <w:jc w:val="both"/>
        <w:rPr>
          <w:sz w:val="24"/>
        </w:rPr>
      </w:pPr>
      <w:r>
        <w:rPr>
          <w:sz w:val="24"/>
        </w:rPr>
        <w:t>Acts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constant</w:t>
      </w:r>
      <w:r>
        <w:rPr>
          <w:spacing w:val="-1"/>
          <w:sz w:val="24"/>
        </w:rPr>
        <w:t> </w:t>
      </w:r>
      <w:r>
        <w:rPr>
          <w:sz w:val="24"/>
        </w:rPr>
        <w:t>source for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value-added</w:t>
      </w:r>
      <w:r>
        <w:rPr>
          <w:spacing w:val="1"/>
          <w:sz w:val="24"/>
        </w:rPr>
        <w:t> </w:t>
      </w:r>
      <w:r>
        <w:rPr>
          <w:sz w:val="24"/>
        </w:rPr>
        <w:t>generic</w:t>
      </w:r>
      <w:r>
        <w:rPr>
          <w:spacing w:val="-3"/>
          <w:sz w:val="24"/>
        </w:rPr>
        <w:t> </w:t>
      </w:r>
      <w:r>
        <w:rPr>
          <w:sz w:val="24"/>
        </w:rPr>
        <w:t>products.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0"/>
          <w:numId w:val="17"/>
        </w:numPr>
        <w:tabs>
          <w:tab w:pos="1186" w:val="left" w:leader="none"/>
        </w:tabs>
        <w:spacing w:line="480" w:lineRule="auto" w:before="1" w:after="0"/>
        <w:ind w:left="1185" w:right="1254" w:hanging="740"/>
        <w:jc w:val="both"/>
        <w:rPr>
          <w:sz w:val="24"/>
        </w:rPr>
      </w:pPr>
      <w:r>
        <w:rPr>
          <w:sz w:val="24"/>
        </w:rPr>
        <w:t>Reduce product cost due to improved functionality (Prosolv Technical Report,</w:t>
      </w:r>
      <w:r>
        <w:rPr>
          <w:spacing w:val="1"/>
          <w:sz w:val="24"/>
        </w:rPr>
        <w:t> </w:t>
      </w:r>
      <w:r>
        <w:rPr>
          <w:sz w:val="24"/>
        </w:rPr>
        <w:t>2001)</w:t>
      </w:r>
      <w:r>
        <w:rPr>
          <w:spacing w:val="-2"/>
          <w:sz w:val="24"/>
        </w:rPr>
        <w:t> </w:t>
      </w:r>
      <w:r>
        <w:rPr>
          <w:sz w:val="24"/>
        </w:rPr>
        <w:t>and fewer</w:t>
      </w:r>
      <w:r>
        <w:rPr>
          <w:spacing w:val="-1"/>
          <w:sz w:val="24"/>
        </w:rPr>
        <w:t> </w:t>
      </w:r>
      <w:r>
        <w:rPr>
          <w:sz w:val="24"/>
        </w:rPr>
        <w:t>test requirements compared</w:t>
      </w:r>
      <w:r>
        <w:rPr>
          <w:spacing w:val="-1"/>
          <w:sz w:val="24"/>
        </w:rPr>
        <w:t> </w:t>
      </w:r>
      <w:r>
        <w:rPr>
          <w:sz w:val="24"/>
        </w:rPr>
        <w:t>with individual excipients.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1"/>
          <w:numId w:val="13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bookmarkStart w:name="_TOC_250066" w:id="40"/>
      <w:r>
        <w:rPr/>
        <w:t>Co-processed</w:t>
      </w:r>
      <w:r>
        <w:rPr>
          <w:spacing w:val="-3"/>
        </w:rPr>
        <w:t> </w:t>
      </w:r>
      <w:r>
        <w:rPr/>
        <w:t>excipients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direct</w:t>
      </w:r>
      <w:r>
        <w:rPr>
          <w:spacing w:val="-2"/>
        </w:rPr>
        <w:t> </w:t>
      </w:r>
      <w:bookmarkEnd w:id="40"/>
      <w:r>
        <w:rPr/>
        <w:t>compression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5" w:right="1252"/>
        <w:jc w:val="both"/>
      </w:pPr>
      <w:r>
        <w:rPr/>
        <w:t>The development of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co-processing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excipients available for direct compression. The performance requirements of flow and</w:t>
      </w:r>
      <w:r>
        <w:rPr>
          <w:spacing w:val="1"/>
        </w:rPr>
        <w:t> </w:t>
      </w:r>
      <w:r>
        <w:rPr/>
        <w:t>compressibility are two critical properties that have been enhanced by co-processing</w:t>
      </w:r>
      <w:r>
        <w:rPr>
          <w:spacing w:val="1"/>
        </w:rPr>
        <w:t> </w:t>
      </w:r>
      <w:r>
        <w:rPr/>
        <w:t>(Kittipongpatana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Kittipongpatana,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Currently,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commercialized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direct</w:t>
      </w:r>
      <w:r>
        <w:rPr>
          <w:spacing w:val="-57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either lactose-based or cellulose-based</w:t>
      </w:r>
      <w:r>
        <w:rPr>
          <w:spacing w:val="-1"/>
        </w:rPr>
        <w:t> </w:t>
      </w:r>
      <w:r>
        <w:rPr/>
        <w:t>excipients.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numPr>
          <w:ilvl w:val="2"/>
          <w:numId w:val="13"/>
        </w:numPr>
        <w:tabs>
          <w:tab w:pos="1185" w:val="left" w:leader="none"/>
          <w:tab w:pos="1186" w:val="left" w:leader="none"/>
        </w:tabs>
        <w:spacing w:line="240" w:lineRule="auto" w:before="76" w:after="0"/>
        <w:ind w:left="1185" w:right="0" w:hanging="721"/>
        <w:jc w:val="left"/>
      </w:pPr>
      <w:bookmarkStart w:name="_TOC_250065" w:id="41"/>
      <w:r>
        <w:rPr/>
        <w:t>Lactose-based</w:t>
      </w:r>
      <w:r>
        <w:rPr>
          <w:spacing w:val="-2"/>
        </w:rPr>
        <w:t> </w:t>
      </w:r>
      <w:bookmarkEnd w:id="41"/>
      <w:r>
        <w:rPr/>
        <w:t>excipients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7"/>
        <w:jc w:val="both"/>
      </w:pPr>
      <w:r>
        <w:rPr/>
        <w:t>In solid dosage forms, lactose is the diluent of choice in tablet formulations. However,</w:t>
      </w:r>
      <w:r>
        <w:rPr>
          <w:spacing w:val="1"/>
        </w:rPr>
        <w:t> </w:t>
      </w:r>
      <w:r>
        <w:rPr/>
        <w:t>the inadequate compressibility and poor flow properties of α-lactose monohydrate have</w:t>
      </w:r>
      <w:r>
        <w:rPr>
          <w:spacing w:val="1"/>
        </w:rPr>
        <w:t> </w:t>
      </w:r>
      <w:r>
        <w:rPr/>
        <w:t>placed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restriction</w:t>
      </w:r>
      <w:r>
        <w:rPr>
          <w:spacing w:val="-1"/>
        </w:rPr>
        <w:t> </w:t>
      </w:r>
      <w:r>
        <w:rPr/>
        <w:t>on its use</w:t>
      </w:r>
      <w:r>
        <w:rPr>
          <w:spacing w:val="-1"/>
        </w:rPr>
        <w:t> </w:t>
      </w:r>
      <w:r>
        <w:rPr/>
        <w:t>as a filler-binder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/>
        <w:t>direct</w:t>
      </w:r>
      <w:r>
        <w:rPr>
          <w:spacing w:val="-1"/>
        </w:rPr>
        <w:t> </w:t>
      </w:r>
      <w:r>
        <w:rPr/>
        <w:t>compression (DC).</w:t>
      </w:r>
    </w:p>
    <w:p>
      <w:pPr>
        <w:pStyle w:val="BodyText"/>
        <w:spacing w:line="480" w:lineRule="auto" w:before="120"/>
        <w:ind w:left="465" w:right="1254"/>
        <w:jc w:val="both"/>
      </w:pPr>
      <w:r>
        <w:rPr/>
        <w:t>Many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crystalline</w:t>
      </w:r>
      <w:r>
        <w:rPr>
          <w:spacing w:val="1"/>
        </w:rPr>
        <w:t> </w:t>
      </w:r>
      <w:r>
        <w:rPr/>
        <w:t>α-lactose</w:t>
      </w:r>
      <w:r>
        <w:rPr>
          <w:spacing w:val="1"/>
        </w:rPr>
        <w:t> </w:t>
      </w:r>
      <w:r>
        <w:rPr/>
        <w:t>monohydrate 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a product</w:t>
      </w:r>
      <w:r>
        <w:rPr>
          <w:spacing w:val="1"/>
        </w:rPr>
        <w:t> </w:t>
      </w:r>
      <w:r>
        <w:rPr/>
        <w:t>exhibiting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compactibility,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capping</w:t>
      </w:r>
      <w:r>
        <w:rPr>
          <w:spacing w:val="1"/>
        </w:rPr>
        <w:t> </w:t>
      </w:r>
      <w:r>
        <w:rPr/>
        <w:t>tendency and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DC</w:t>
      </w:r>
      <w:r>
        <w:rPr>
          <w:spacing w:val="-57"/>
        </w:rPr>
        <w:t> </w:t>
      </w:r>
      <w:r>
        <w:rPr/>
        <w:t>(Wagner</w:t>
      </w:r>
      <w:r>
        <w:rPr>
          <w:spacing w:val="-2"/>
        </w:rPr>
        <w:t> </w:t>
      </w:r>
      <w:r>
        <w:rPr/>
        <w:t>and Dressler, 2003).</w:t>
      </w:r>
    </w:p>
    <w:p>
      <w:pPr>
        <w:pStyle w:val="BodyText"/>
        <w:spacing w:line="480" w:lineRule="auto" w:before="121"/>
        <w:ind w:left="465" w:right="1254"/>
        <w:jc w:val="both"/>
      </w:pPr>
      <w:r>
        <w:rPr/>
        <w:t>Processing of lactose into small α-lactose monohydrate agglomerates (e.g. Tablettose,</w:t>
      </w:r>
      <w:r>
        <w:rPr>
          <w:spacing w:val="1"/>
        </w:rPr>
        <w:t> </w:t>
      </w:r>
      <w:r>
        <w:rPr/>
        <w:t>Pharmatose DCL 15) or spray-dried lactose was done to improve its direct compression</w:t>
      </w:r>
      <w:r>
        <w:rPr>
          <w:spacing w:val="1"/>
        </w:rPr>
        <w:t> </w:t>
      </w:r>
      <w:r>
        <w:rPr/>
        <w:t>properties. This processed lactose had better fluidity and compactibility than native</w:t>
      </w:r>
      <w:r>
        <w:rPr>
          <w:spacing w:val="1"/>
        </w:rPr>
        <w:t> </w:t>
      </w:r>
      <w:r>
        <w:rPr/>
        <w:t>lactose.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spray-dried</w:t>
      </w:r>
      <w:r>
        <w:rPr>
          <w:spacing w:val="1"/>
        </w:rPr>
        <w:t> </w:t>
      </w:r>
      <w:r>
        <w:rPr/>
        <w:t>lactose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limited,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dilution</w:t>
      </w:r>
      <w:r>
        <w:rPr>
          <w:spacing w:val="1"/>
        </w:rPr>
        <w:t> </w:t>
      </w:r>
      <w:r>
        <w:rPr/>
        <w:t>potential.</w:t>
      </w:r>
      <w:r>
        <w:rPr>
          <w:spacing w:val="1"/>
        </w:rPr>
        <w:t> </w:t>
      </w:r>
      <w:r>
        <w:rPr/>
        <w:t>Spray-dried</w:t>
      </w:r>
      <w:r>
        <w:rPr>
          <w:spacing w:val="1"/>
        </w:rPr>
        <w:t> </w:t>
      </w:r>
      <w:r>
        <w:rPr/>
        <w:t>lactose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amenable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reworked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lose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compressibility</w:t>
      </w:r>
      <w:r>
        <w:rPr>
          <w:spacing w:val="1"/>
        </w:rPr>
        <w:t> </w:t>
      </w:r>
      <w:r>
        <w:rPr/>
        <w:t>after</w:t>
      </w:r>
      <w:r>
        <w:rPr>
          <w:spacing w:val="60"/>
        </w:rPr>
        <w:t> </w:t>
      </w:r>
      <w:r>
        <w:rPr/>
        <w:t>initial</w:t>
      </w:r>
      <w:r>
        <w:rPr>
          <w:spacing w:val="1"/>
        </w:rPr>
        <w:t> </w:t>
      </w:r>
      <w:r>
        <w:rPr/>
        <w:t>compaction</w:t>
      </w:r>
      <w:r>
        <w:rPr>
          <w:spacing w:val="-1"/>
        </w:rPr>
        <w:t> </w:t>
      </w:r>
      <w:r>
        <w:rPr/>
        <w:t>(Shangraw,</w:t>
      </w:r>
      <w:r>
        <w:rPr>
          <w:spacing w:val="1"/>
        </w:rPr>
        <w:t> </w:t>
      </w:r>
      <w:r>
        <w:rPr/>
        <w:t>1990).</w:t>
      </w:r>
    </w:p>
    <w:p>
      <w:pPr>
        <w:pStyle w:val="BodyText"/>
        <w:spacing w:line="480" w:lineRule="auto" w:before="121"/>
        <w:ind w:left="465" w:right="1255"/>
        <w:jc w:val="both"/>
      </w:pPr>
      <w:r>
        <w:rPr/>
        <w:t>Much later, binary mixtures of crystalline α-lactose monohydrate with microcrystalline</w:t>
      </w:r>
      <w:r>
        <w:rPr>
          <w:spacing w:val="1"/>
        </w:rPr>
        <w:t> </w:t>
      </w:r>
      <w:r>
        <w:rPr/>
        <w:t>cellulose (MCC), povidone or starch were tried but the results only led to an increase in</w:t>
      </w:r>
      <w:r>
        <w:rPr>
          <w:spacing w:val="1"/>
        </w:rPr>
        <w:t> </w:t>
      </w:r>
      <w:r>
        <w:rPr/>
        <w:t>compressibility of the mixture with no concurrent improvement in its flow properties as</w:t>
      </w:r>
      <w:r>
        <w:rPr>
          <w:spacing w:val="1"/>
        </w:rPr>
        <w:t> </w:t>
      </w:r>
      <w:r>
        <w:rPr/>
        <w:t>compared to pure α-lactose monohydrate (Wagner and Dressler, 2003). Hence, efforts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2"/>
        </w:rPr>
        <w:t> </w:t>
      </w:r>
      <w:r>
        <w:rPr/>
        <w:t>geared towards development of</w:t>
      </w:r>
      <w:r>
        <w:rPr>
          <w:spacing w:val="-1"/>
        </w:rPr>
        <w:t> </w:t>
      </w:r>
      <w:r>
        <w:rPr/>
        <w:t>co-processed lactose.</w:t>
      </w:r>
    </w:p>
    <w:p>
      <w:pPr>
        <w:pStyle w:val="BodyText"/>
        <w:spacing w:line="480" w:lineRule="auto" w:before="118"/>
        <w:ind w:left="465" w:right="1257"/>
        <w:jc w:val="both"/>
      </w:pPr>
      <w:r>
        <w:rPr/>
        <w:t>Co-processing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α-lactose</w:t>
      </w:r>
      <w:r>
        <w:rPr>
          <w:spacing w:val="1"/>
        </w:rPr>
        <w:t> </w:t>
      </w:r>
      <w:r>
        <w:rPr/>
        <w:t>monohydrate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povidone</w:t>
      </w:r>
      <w:r>
        <w:rPr>
          <w:spacing w:val="1"/>
        </w:rPr>
        <w:t> </w:t>
      </w:r>
      <w:r>
        <w:rPr/>
        <w:t>(PVP)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crospovidone</w:t>
      </w:r>
      <w:r>
        <w:rPr>
          <w:spacing w:val="1"/>
        </w:rPr>
        <w:t> </w:t>
      </w:r>
      <w:r>
        <w:rPr/>
        <w:t>produced Ludipress</w:t>
      </w:r>
      <w:r>
        <w:rPr>
          <w:vertAlign w:val="superscript"/>
        </w:rPr>
        <w:t>®</w:t>
      </w:r>
      <w:r>
        <w:rPr>
          <w:vertAlign w:val="baseline"/>
        </w:rPr>
        <w:t> (BASF AG, Ludwigshafen, Germany), making it suitable filler for</w:t>
      </w:r>
      <w:r>
        <w:rPr>
          <w:spacing w:val="-57"/>
          <w:vertAlign w:val="baseline"/>
        </w:rPr>
        <w:t> </w:t>
      </w:r>
      <w:r>
        <w:rPr>
          <w:vertAlign w:val="baseline"/>
        </w:rPr>
        <w:t>direct compression on high-speed tableting machines. It is an odourless, tasteless, white</w:t>
      </w:r>
      <w:r>
        <w:rPr>
          <w:spacing w:val="1"/>
          <w:vertAlign w:val="baseline"/>
        </w:rPr>
        <w:t> </w:t>
      </w:r>
      <w:r>
        <w:rPr>
          <w:vertAlign w:val="baseline"/>
        </w:rPr>
        <w:t>free-flowing</w:t>
      </w:r>
      <w:r>
        <w:rPr>
          <w:spacing w:val="20"/>
          <w:vertAlign w:val="baseline"/>
        </w:rPr>
        <w:t> </w:t>
      </w:r>
      <w:r>
        <w:rPr>
          <w:vertAlign w:val="baseline"/>
        </w:rPr>
        <w:t>granules</w:t>
      </w:r>
      <w:r>
        <w:rPr>
          <w:spacing w:val="20"/>
          <w:vertAlign w:val="baseline"/>
        </w:rPr>
        <w:t> </w:t>
      </w:r>
      <w:r>
        <w:rPr>
          <w:vertAlign w:val="baseline"/>
        </w:rPr>
        <w:t>designed</w:t>
      </w:r>
      <w:r>
        <w:rPr>
          <w:spacing w:val="20"/>
          <w:vertAlign w:val="baseline"/>
        </w:rPr>
        <w:t> </w:t>
      </w:r>
      <w:r>
        <w:rPr>
          <w:vertAlign w:val="baseline"/>
        </w:rPr>
        <w:t>specifically</w:t>
      </w:r>
      <w:r>
        <w:rPr>
          <w:spacing w:val="15"/>
          <w:vertAlign w:val="baseline"/>
        </w:rPr>
        <w:t> </w:t>
      </w:r>
      <w:r>
        <w:rPr>
          <w:vertAlign w:val="baseline"/>
        </w:rPr>
        <w:t>for</w:t>
      </w:r>
      <w:r>
        <w:rPr>
          <w:spacing w:val="20"/>
          <w:vertAlign w:val="baseline"/>
        </w:rPr>
        <w:t> </w:t>
      </w:r>
      <w:r>
        <w:rPr>
          <w:vertAlign w:val="baseline"/>
        </w:rPr>
        <w:t>direct</w:t>
      </w:r>
      <w:r>
        <w:rPr>
          <w:spacing w:val="20"/>
          <w:vertAlign w:val="baseline"/>
        </w:rPr>
        <w:t> </w:t>
      </w:r>
      <w:r>
        <w:rPr>
          <w:vertAlign w:val="baseline"/>
        </w:rPr>
        <w:t>compression</w:t>
      </w:r>
      <w:r>
        <w:rPr>
          <w:spacing w:val="20"/>
          <w:vertAlign w:val="baseline"/>
        </w:rPr>
        <w:t> </w:t>
      </w:r>
      <w:r>
        <w:rPr>
          <w:vertAlign w:val="baseline"/>
        </w:rPr>
        <w:t>but</w:t>
      </w:r>
      <w:r>
        <w:rPr>
          <w:spacing w:val="20"/>
          <w:vertAlign w:val="baseline"/>
        </w:rPr>
        <w:t> </w:t>
      </w:r>
      <w:r>
        <w:rPr>
          <w:vertAlign w:val="baseline"/>
        </w:rPr>
        <w:t>equally</w:t>
      </w:r>
      <w:r>
        <w:rPr>
          <w:spacing w:val="16"/>
          <w:vertAlign w:val="baseline"/>
        </w:rPr>
        <w:t> </w:t>
      </w:r>
      <w:r>
        <w:rPr>
          <w:vertAlign w:val="baseline"/>
        </w:rPr>
        <w:t>suitable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4"/>
        <w:jc w:val="both"/>
      </w:pPr>
      <w:r>
        <w:rPr/>
        <w:t>as a filler for hard gelatin capsules. The formation of a layer of PVP and crospovidone</w:t>
      </w:r>
      <w:r>
        <w:rPr>
          <w:spacing w:val="1"/>
        </w:rPr>
        <w:t> </w:t>
      </w:r>
      <w:r>
        <w:rPr/>
        <w:t>on the surface of lactose powder imparted excellent flowability and low degree of</w:t>
      </w:r>
      <w:r>
        <w:rPr>
          <w:spacing w:val="1"/>
        </w:rPr>
        <w:t> </w:t>
      </w:r>
      <w:r>
        <w:rPr/>
        <w:t>hygroscopicity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lactose.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independent of machine speed. The binding properties of Ludipress</w:t>
      </w:r>
      <w:r>
        <w:rPr>
          <w:vertAlign w:val="superscript"/>
        </w:rPr>
        <w:t>®</w:t>
      </w:r>
      <w:r>
        <w:rPr>
          <w:vertAlign w:val="baseline"/>
        </w:rPr>
        <w:t>, both unlubricated</w:t>
      </w:r>
      <w:r>
        <w:rPr>
          <w:spacing w:val="1"/>
          <w:vertAlign w:val="baseline"/>
        </w:rPr>
        <w:t> </w:t>
      </w:r>
      <w:r>
        <w:rPr>
          <w:vertAlign w:val="baseline"/>
        </w:rPr>
        <w:t>and lubricated with 1 % magnesium stearate was good and was found to be better than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15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16"/>
          <w:vertAlign w:val="baseline"/>
        </w:rPr>
        <w:t> </w:t>
      </w:r>
      <w:r>
        <w:rPr>
          <w:vertAlign w:val="baseline"/>
        </w:rPr>
        <w:t>(Bolhuis</w:t>
      </w:r>
      <w:r>
        <w:rPr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Chowhan,</w:t>
      </w:r>
      <w:r>
        <w:rPr>
          <w:spacing w:val="14"/>
          <w:vertAlign w:val="baseline"/>
        </w:rPr>
        <w:t> </w:t>
      </w:r>
      <w:r>
        <w:rPr>
          <w:vertAlign w:val="baseline"/>
        </w:rPr>
        <w:t>1996).</w:t>
      </w:r>
      <w:r>
        <w:rPr>
          <w:spacing w:val="17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14"/>
          <w:vertAlign w:val="baseline"/>
        </w:rPr>
        <w:t> </w:t>
      </w:r>
      <w:r>
        <w:rPr>
          <w:vertAlign w:val="baseline"/>
        </w:rPr>
        <w:t>containing</w:t>
      </w:r>
      <w:r>
        <w:rPr>
          <w:spacing w:val="15"/>
          <w:vertAlign w:val="baseline"/>
        </w:rPr>
        <w:t> </w:t>
      </w:r>
      <w:r>
        <w:rPr>
          <w:vertAlign w:val="baseline"/>
        </w:rPr>
        <w:t>Ludipress</w:t>
      </w:r>
      <w:r>
        <w:rPr>
          <w:vertAlign w:val="superscript"/>
        </w:rPr>
        <w:t>®</w:t>
      </w:r>
      <w:r>
        <w:rPr>
          <w:spacing w:val="13"/>
          <w:vertAlign w:val="baseline"/>
        </w:rPr>
        <w:t> </w:t>
      </w:r>
      <w:r>
        <w:rPr>
          <w:vertAlign w:val="baseline"/>
        </w:rPr>
        <w:t>had</w:t>
      </w:r>
      <w:r>
        <w:rPr>
          <w:spacing w:val="-58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much</w:t>
      </w:r>
      <w:r>
        <w:rPr>
          <w:spacing w:val="1"/>
          <w:vertAlign w:val="baseline"/>
        </w:rPr>
        <w:t> </w:t>
      </w:r>
      <w:r>
        <w:rPr>
          <w:vertAlign w:val="baseline"/>
        </w:rPr>
        <w:t>longer</w:t>
      </w:r>
      <w:r>
        <w:rPr>
          <w:spacing w:val="1"/>
          <w:vertAlign w:val="baseline"/>
        </w:rPr>
        <w:t> </w:t>
      </w:r>
      <w:r>
        <w:rPr>
          <w:vertAlign w:val="baseline"/>
        </w:rPr>
        <w:t>disintegration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comparison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α-lactose</w:t>
      </w:r>
      <w:r>
        <w:rPr>
          <w:spacing w:val="1"/>
          <w:vertAlign w:val="baseline"/>
        </w:rPr>
        <w:t> </w:t>
      </w:r>
      <w:r>
        <w:rPr>
          <w:vertAlign w:val="baseline"/>
        </w:rPr>
        <w:t>monohydrate, anhydrous β-lactose, spray-dried lactose or Tablettose. This prolonged</w:t>
      </w:r>
      <w:r>
        <w:rPr>
          <w:spacing w:val="1"/>
          <w:vertAlign w:val="baseline"/>
        </w:rPr>
        <w:t> </w:t>
      </w:r>
      <w:r>
        <w:rPr>
          <w:vertAlign w:val="baseline"/>
        </w:rPr>
        <w:t>disintegration was adduced to the presence of PVP (Baykara </w:t>
      </w:r>
      <w:r>
        <w:rPr>
          <w:i/>
          <w:vertAlign w:val="baseline"/>
        </w:rPr>
        <w:t>et al.</w:t>
      </w:r>
      <w:r>
        <w:rPr>
          <w:vertAlign w:val="baseline"/>
        </w:rPr>
        <w:t>, 1991). Ashrafi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</w:t>
      </w:r>
      <w:r>
        <w:rPr>
          <w:vertAlign w:val="baseline"/>
        </w:rPr>
        <w:t>(2005) had also reported the sustaining effect of Ludipress</w:t>
      </w:r>
      <w:r>
        <w:rPr>
          <w:vertAlign w:val="superscript"/>
        </w:rPr>
        <w:t>®</w:t>
      </w:r>
      <w:r>
        <w:rPr>
          <w:vertAlign w:val="baseline"/>
        </w:rPr>
        <w:t> when</w:t>
      </w:r>
      <w:r>
        <w:rPr>
          <w:spacing w:val="1"/>
          <w:vertAlign w:val="baseline"/>
        </w:rPr>
        <w:t> </w:t>
      </w:r>
      <w:r>
        <w:rPr>
          <w:vertAlign w:val="baseline"/>
        </w:rPr>
        <w:t>used in large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in a</w:t>
      </w:r>
      <w:r>
        <w:rPr>
          <w:spacing w:val="-1"/>
          <w:vertAlign w:val="baseline"/>
        </w:rPr>
        <w:t> </w:t>
      </w:r>
      <w:r>
        <w:rPr>
          <w:vertAlign w:val="baseline"/>
        </w:rPr>
        <w:t>formulation.</w:t>
      </w:r>
    </w:p>
    <w:p>
      <w:pPr>
        <w:pStyle w:val="BodyText"/>
        <w:spacing w:line="480" w:lineRule="auto" w:before="121"/>
        <w:ind w:left="465" w:right="1257"/>
        <w:jc w:val="both"/>
      </w:pPr>
      <w:r>
        <w:rPr/>
        <w:t>Ludipress</w:t>
      </w:r>
      <w:r>
        <w:rPr>
          <w:vertAlign w:val="superscript"/>
        </w:rPr>
        <w:t>®</w:t>
      </w:r>
      <w:r>
        <w:rPr>
          <w:vertAlign w:val="baseline"/>
        </w:rPr>
        <w:t> exhibited a better flow rate when compared to Avicel PH 101 and possessed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1"/>
          <w:vertAlign w:val="baseline"/>
        </w:rPr>
        <w:t> </w:t>
      </w:r>
      <w:r>
        <w:rPr>
          <w:vertAlign w:val="baseline"/>
        </w:rPr>
        <w:t>flow</w:t>
      </w:r>
      <w:r>
        <w:rPr>
          <w:spacing w:val="1"/>
          <w:vertAlign w:val="baseline"/>
        </w:rPr>
        <w:t> </w:t>
      </w:r>
      <w:r>
        <w:rPr>
          <w:vertAlign w:val="baseline"/>
        </w:rPr>
        <w:t>index</w:t>
      </w:r>
      <w:r>
        <w:rPr>
          <w:spacing w:val="1"/>
          <w:vertAlign w:val="baseline"/>
        </w:rPr>
        <w:t> </w:t>
      </w:r>
      <w:r>
        <w:rPr>
          <w:vertAlign w:val="baseline"/>
        </w:rPr>
        <w:t>among</w:t>
      </w:r>
      <w:r>
        <w:rPr>
          <w:spacing w:val="1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1"/>
          <w:vertAlign w:val="baseline"/>
        </w:rPr>
        <w:t> </w:t>
      </w:r>
      <w:r>
        <w:rPr>
          <w:vertAlign w:val="baseline"/>
        </w:rPr>
        <w:t>lactose-based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compressible</w:t>
      </w:r>
      <w:r>
        <w:rPr>
          <w:spacing w:val="61"/>
          <w:vertAlign w:val="baseline"/>
        </w:rPr>
        <w:t> </w:t>
      </w:r>
      <w:r>
        <w:rPr>
          <w:vertAlign w:val="baseline"/>
        </w:rPr>
        <w:t>excipients</w:t>
      </w:r>
      <w:r>
        <w:rPr>
          <w:spacing w:val="1"/>
          <w:vertAlign w:val="baseline"/>
        </w:rPr>
        <w:t> </w:t>
      </w:r>
      <w:r>
        <w:rPr>
          <w:vertAlign w:val="baseline"/>
        </w:rPr>
        <w:t>(Cellactose, Tablettose) as extrapolated from its lower static and dynamic angle of</w:t>
      </w:r>
      <w:r>
        <w:rPr>
          <w:spacing w:val="1"/>
          <w:vertAlign w:val="baseline"/>
        </w:rPr>
        <w:t> </w:t>
      </w:r>
      <w:r>
        <w:rPr>
          <w:vertAlign w:val="baseline"/>
        </w:rPr>
        <w:t>repose</w:t>
      </w:r>
      <w:r>
        <w:rPr>
          <w:spacing w:val="-2"/>
          <w:vertAlign w:val="baseline"/>
        </w:rPr>
        <w:t> </w:t>
      </w:r>
      <w:r>
        <w:rPr>
          <w:vertAlign w:val="baseline"/>
        </w:rPr>
        <w:t>(Munoz-Ruiz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 al.</w:t>
      </w:r>
      <w:r>
        <w:rPr>
          <w:vertAlign w:val="baseline"/>
        </w:rPr>
        <w:t>, 1992; Munoz-Ruiz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al.</w:t>
      </w:r>
      <w:r>
        <w:rPr>
          <w:vertAlign w:val="baseline"/>
        </w:rPr>
        <w:t>, 1993).</w:t>
      </w:r>
    </w:p>
    <w:p>
      <w:pPr>
        <w:pStyle w:val="BodyText"/>
        <w:spacing w:line="480" w:lineRule="auto" w:before="121"/>
        <w:ind w:left="465" w:right="1253"/>
        <w:jc w:val="both"/>
      </w:pPr>
      <w:r>
        <w:rPr/>
        <w:t>The ability of Ludipress</w:t>
      </w:r>
      <w:r>
        <w:rPr>
          <w:vertAlign w:val="superscript"/>
        </w:rPr>
        <w:t>®</w:t>
      </w:r>
      <w:r>
        <w:rPr>
          <w:vertAlign w:val="baseline"/>
        </w:rPr>
        <w:t>to form tablets was similar to Cellactose and Avicel PH 200,</w:t>
      </w:r>
      <w:r>
        <w:rPr>
          <w:spacing w:val="1"/>
          <w:vertAlign w:val="baseline"/>
        </w:rPr>
        <w:t> </w:t>
      </w:r>
      <w:r>
        <w:rPr>
          <w:vertAlign w:val="baseline"/>
        </w:rPr>
        <w:t>whereas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1"/>
          <w:vertAlign w:val="baseline"/>
        </w:rPr>
        <w:t> </w:t>
      </w:r>
      <w:r>
        <w:rPr>
          <w:vertAlign w:val="baseline"/>
        </w:rPr>
        <w:t>made 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 physical</w:t>
      </w:r>
      <w:r>
        <w:rPr>
          <w:spacing w:val="1"/>
          <w:vertAlign w:val="baseline"/>
        </w:rPr>
        <w:t> </w:t>
      </w:r>
      <w:r>
        <w:rPr>
          <w:vertAlign w:val="baseline"/>
        </w:rPr>
        <w:t>blend</w:t>
      </w:r>
      <w:r>
        <w:rPr>
          <w:spacing w:val="1"/>
          <w:vertAlign w:val="baseline"/>
        </w:rPr>
        <w:t> </w:t>
      </w:r>
      <w:r>
        <w:rPr>
          <w:vertAlign w:val="baseline"/>
        </w:rPr>
        <w:t>were much softer. At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compaction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pressure of 100 MPa, friability of Ludipress</w:t>
      </w:r>
      <w:r>
        <w:rPr>
          <w:vertAlign w:val="superscript"/>
        </w:rPr>
        <w:t>®</w:t>
      </w:r>
      <w:r>
        <w:rPr>
          <w:vertAlign w:val="baseline"/>
        </w:rPr>
        <w:t> compacts was ~ 0.2 %. A compaction load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200</w:t>
      </w:r>
      <w:r>
        <w:rPr>
          <w:spacing w:val="1"/>
          <w:vertAlign w:val="baseline"/>
        </w:rPr>
        <w:t> </w:t>
      </w:r>
      <w:r>
        <w:rPr>
          <w:vertAlign w:val="baseline"/>
        </w:rPr>
        <w:t>MN/m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necessary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Tablettose.</w:t>
      </w:r>
      <w:r>
        <w:rPr>
          <w:spacing w:val="1"/>
          <w:vertAlign w:val="baseline"/>
        </w:rPr>
        <w:t> </w:t>
      </w:r>
      <w:r>
        <w:rPr>
          <w:vertAlign w:val="baseline"/>
        </w:rPr>
        <w:t>Ludipress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displayed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potential</w:t>
      </w:r>
      <w:r>
        <w:rPr>
          <w:spacing w:val="1"/>
          <w:vertAlign w:val="baseline"/>
        </w:rPr>
        <w:t> </w:t>
      </w:r>
      <w:r>
        <w:rPr>
          <w:vertAlign w:val="baseline"/>
        </w:rPr>
        <w:t>multipurpose</w:t>
      </w:r>
      <w:r>
        <w:rPr>
          <w:spacing w:val="1"/>
          <w:vertAlign w:val="baseline"/>
        </w:rPr>
        <w:t> </w:t>
      </w:r>
      <w:r>
        <w:rPr>
          <w:vertAlign w:val="baseline"/>
        </w:rPr>
        <w:t>excipient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low-dose</w:t>
      </w:r>
      <w:r>
        <w:rPr>
          <w:spacing w:val="1"/>
          <w:vertAlign w:val="baseline"/>
        </w:rPr>
        <w:t> </w:t>
      </w:r>
      <w:r>
        <w:rPr>
          <w:vertAlign w:val="baseline"/>
        </w:rPr>
        <w:t>drugs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Ludipress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1"/>
          <w:vertAlign w:val="baseline"/>
        </w:rPr>
        <w:t> </w:t>
      </w:r>
      <w:r>
        <w:rPr>
          <w:vertAlign w:val="baseline"/>
        </w:rPr>
        <w:t>exhibited</w:t>
      </w:r>
      <w:r>
        <w:rPr>
          <w:spacing w:val="1"/>
          <w:vertAlign w:val="baseline"/>
        </w:rPr>
        <w:t> </w:t>
      </w:r>
      <w:r>
        <w:rPr>
          <w:vertAlign w:val="baseline"/>
        </w:rPr>
        <w:t>optimum</w:t>
      </w:r>
      <w:r>
        <w:rPr>
          <w:spacing w:val="-57"/>
          <w:vertAlign w:val="baseline"/>
        </w:rPr>
        <w:t> </w:t>
      </w:r>
      <w:r>
        <w:rPr>
          <w:vertAlign w:val="baseline"/>
        </w:rPr>
        <w:t>disintegration time and compression pressure independent dissolution of glibenclamide</w:t>
      </w:r>
      <w:r>
        <w:rPr>
          <w:spacing w:val="1"/>
          <w:vertAlign w:val="baseline"/>
        </w:rPr>
        <w:t> </w:t>
      </w:r>
      <w:r>
        <w:rPr>
          <w:vertAlign w:val="baseline"/>
        </w:rPr>
        <w:t>(Schmidt</w:t>
      </w:r>
      <w:r>
        <w:rPr>
          <w:spacing w:val="-1"/>
          <w:vertAlign w:val="baseline"/>
        </w:rPr>
        <w:t> </w:t>
      </w:r>
      <w:r>
        <w:rPr>
          <w:vertAlign w:val="baseline"/>
        </w:rPr>
        <w:t>and Rubensdorfer, 1994b).</w:t>
      </w:r>
    </w:p>
    <w:p>
      <w:pPr>
        <w:pStyle w:val="BodyText"/>
        <w:spacing w:line="480" w:lineRule="auto" w:before="118"/>
        <w:ind w:left="465" w:right="1251"/>
        <w:jc w:val="both"/>
      </w:pPr>
      <w:r>
        <w:rPr/>
        <w:t>Schimdt and Rubensdorfer(1994a; 1994b) evaluated the powder and tableting properties</w:t>
      </w:r>
      <w:r>
        <w:rPr>
          <w:spacing w:val="-57"/>
        </w:rPr>
        <w:t> </w:t>
      </w:r>
      <w:r>
        <w:rPr/>
        <w:t>of</w:t>
      </w:r>
      <w:r>
        <w:rPr>
          <w:spacing w:val="31"/>
        </w:rPr>
        <w:t> </w:t>
      </w:r>
      <w:r>
        <w:rPr/>
        <w:t>Ludipress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found</w:t>
      </w:r>
      <w:r>
        <w:rPr>
          <w:spacing w:val="29"/>
        </w:rPr>
        <w:t> </w:t>
      </w:r>
      <w:r>
        <w:rPr/>
        <w:t>that</w:t>
      </w:r>
      <w:r>
        <w:rPr>
          <w:spacing w:val="32"/>
        </w:rPr>
        <w:t> </w:t>
      </w:r>
      <w:r>
        <w:rPr/>
        <w:t>Ludipress</w:t>
      </w:r>
      <w:r>
        <w:rPr>
          <w:spacing w:val="33"/>
        </w:rPr>
        <w:t> </w:t>
      </w:r>
      <w:r>
        <w:rPr/>
        <w:t>samples</w:t>
      </w:r>
      <w:r>
        <w:rPr>
          <w:spacing w:val="30"/>
        </w:rPr>
        <w:t> </w:t>
      </w:r>
      <w:r>
        <w:rPr/>
        <w:t>exhibited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good</w:t>
      </w:r>
      <w:r>
        <w:rPr>
          <w:spacing w:val="29"/>
        </w:rPr>
        <w:t> </w:t>
      </w:r>
      <w:r>
        <w:rPr/>
        <w:t>batch-to-batch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60"/>
        <w:jc w:val="both"/>
      </w:pPr>
      <w:r>
        <w:rPr/>
        <w:t>uniformity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blends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excipients</w:t>
      </w:r>
      <w:r>
        <w:rPr>
          <w:spacing w:val="-1"/>
        </w:rPr>
        <w:t> </w:t>
      </w:r>
      <w:r>
        <w:rPr/>
        <w:t>investigated.</w:t>
      </w:r>
    </w:p>
    <w:p>
      <w:pPr>
        <w:pStyle w:val="BodyText"/>
        <w:spacing w:line="480" w:lineRule="auto" w:before="120"/>
        <w:ind w:left="465" w:right="1255"/>
        <w:jc w:val="both"/>
      </w:pPr>
      <w:r>
        <w:rPr/>
        <w:t>To further improve the compressibility of lactose, crystalline α-lactose monohydrate has</w:t>
      </w:r>
      <w:r>
        <w:rPr>
          <w:spacing w:val="-57"/>
        </w:rPr>
        <w:t> </w:t>
      </w:r>
      <w:r>
        <w:rPr/>
        <w:t>been co-processed with powdered cellulose (Cellactose, Meggle)</w:t>
      </w:r>
      <w:r>
        <w:rPr>
          <w:spacing w:val="1"/>
        </w:rPr>
        <w:t> </w:t>
      </w:r>
      <w:r>
        <w:rPr/>
        <w:t>(Armstrong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1996)or microcrystalline cellulose (Microcelac, Meggle) (Saha and Shahiwala, 2009) to</w:t>
      </w:r>
      <w:r>
        <w:rPr>
          <w:spacing w:val="1"/>
        </w:rPr>
        <w:t> </w:t>
      </w:r>
      <w:r>
        <w:rPr/>
        <w:t>obtain products with improved bonding ability and excellent flow properties (Wagner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Dressler, 2003).</w:t>
      </w:r>
    </w:p>
    <w:p>
      <w:pPr>
        <w:pStyle w:val="BodyText"/>
        <w:spacing w:line="480" w:lineRule="auto" w:before="121"/>
        <w:ind w:left="465" w:right="1252"/>
        <w:jc w:val="both"/>
      </w:pPr>
      <w:r>
        <w:rPr/>
        <w:t>Cellactose was designed primarily for direct tableting and it combines the filler and</w:t>
      </w:r>
      <w:r>
        <w:rPr>
          <w:spacing w:val="1"/>
        </w:rPr>
        <w:t> </w:t>
      </w:r>
      <w:r>
        <w:rPr/>
        <w:t>binding properties</w:t>
      </w:r>
      <w:r>
        <w:rPr>
          <w:spacing w:val="1"/>
        </w:rPr>
        <w:t> </w:t>
      </w:r>
      <w:r>
        <w:rPr/>
        <w:t>of lactose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performance</w:t>
      </w:r>
      <w:r>
        <w:rPr>
          <w:spacing w:val="60"/>
        </w:rPr>
        <w:t> </w:t>
      </w:r>
      <w:r>
        <w:rPr/>
        <w:t>at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cost.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flowability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favourable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(Armstrong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compactibility of Cellactose is explained by the consolidation mechanism of plastic</w:t>
      </w:r>
      <w:r>
        <w:rPr>
          <w:spacing w:val="1"/>
        </w:rPr>
        <w:t> </w:t>
      </w:r>
      <w:r>
        <w:rPr/>
        <w:t>deformation of cellulose and brittle fracture of lactose (Garr and Rubinstein, 1991).</w:t>
      </w:r>
      <w:r>
        <w:rPr>
          <w:spacing w:val="1"/>
        </w:rPr>
        <w:t> </w:t>
      </w:r>
      <w:r>
        <w:rPr/>
        <w:t>Also, Cellactose was shown to have a higher dilution potential than the physical mixture</w:t>
      </w:r>
      <w:r>
        <w:rPr>
          <w:spacing w:val="-57"/>
        </w:rPr>
        <w:t> </w:t>
      </w:r>
      <w:r>
        <w:rPr/>
        <w:t>of its constituent excipients (Flores </w:t>
      </w:r>
      <w:r>
        <w:rPr>
          <w:i/>
        </w:rPr>
        <w:t>et al.</w:t>
      </w:r>
      <w:r>
        <w:rPr/>
        <w:t>, 2000). The presence of cellulose fibres in the</w:t>
      </w:r>
      <w:r>
        <w:rPr>
          <w:spacing w:val="1"/>
        </w:rPr>
        <w:t> </w:t>
      </w:r>
      <w:r>
        <w:rPr/>
        <w:t>macroporous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Cellactose.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moisture sorption capacity of Cellactose is much lower than that of cellulose alone as it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coated with lactose (Bolhuis and</w:t>
      </w:r>
      <w:r>
        <w:rPr>
          <w:spacing w:val="-1"/>
        </w:rPr>
        <w:t> </w:t>
      </w:r>
      <w:r>
        <w:rPr/>
        <w:t>Chowhan, 1996).</w:t>
      </w:r>
    </w:p>
    <w:p>
      <w:pPr>
        <w:pStyle w:val="BodyText"/>
        <w:spacing w:line="480" w:lineRule="auto" w:before="119"/>
        <w:ind w:left="465" w:right="1253"/>
        <w:jc w:val="both"/>
      </w:pPr>
      <w:r>
        <w:rPr/>
        <w:t>Improved tablet strength with Cellactose was attributed to the enhanced interparticle</w:t>
      </w:r>
      <w:r>
        <w:rPr>
          <w:spacing w:val="1"/>
        </w:rPr>
        <w:t> </w:t>
      </w:r>
      <w:r>
        <w:rPr/>
        <w:t>bonding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excipient.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interparticle</w:t>
      </w:r>
      <w:r>
        <w:rPr>
          <w:spacing w:val="1"/>
        </w:rPr>
        <w:t> </w:t>
      </w:r>
      <w:r>
        <w:rPr/>
        <w:t>bonding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 of a lubricant film on the particles and the relaxation of lubricated tablets was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unlubricated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interparticle</w:t>
      </w:r>
      <w:r>
        <w:rPr>
          <w:spacing w:val="1"/>
        </w:rPr>
        <w:t> </w:t>
      </w:r>
      <w:r>
        <w:rPr/>
        <w:t>attractions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large.</w:t>
      </w:r>
      <w:r>
        <w:rPr>
          <w:spacing w:val="-57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stearate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interparticle</w:t>
      </w:r>
      <w:r>
        <w:rPr>
          <w:spacing w:val="1"/>
        </w:rPr>
        <w:t> </w:t>
      </w:r>
      <w:r>
        <w:rPr/>
        <w:t>bonding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Cellactose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smaller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(Arida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Al-</w:t>
      </w:r>
      <w:r>
        <w:rPr>
          <w:spacing w:val="1"/>
        </w:rPr>
        <w:t> </w:t>
      </w:r>
      <w:r>
        <w:rPr/>
        <w:t>Tabakha,</w:t>
      </w:r>
      <w:r>
        <w:rPr>
          <w:spacing w:val="-1"/>
        </w:rPr>
        <w:t> </w:t>
      </w:r>
      <w:r>
        <w:rPr/>
        <w:t>2008).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2"/>
        <w:jc w:val="both"/>
      </w:pPr>
      <w:r>
        <w:rPr/>
        <w:t>The process of melt granulation technique was used to prepare a directly compressible</w:t>
      </w:r>
      <w:r>
        <w:rPr>
          <w:spacing w:val="1"/>
        </w:rPr>
        <w:t> </w:t>
      </w:r>
      <w:r>
        <w:rPr/>
        <w:t>co-processed excipient composed of lactose and MCC (3:1) base, incorporating 12.5 %</w:t>
      </w:r>
      <w:r>
        <w:rPr>
          <w:spacing w:val="1"/>
        </w:rPr>
        <w:t> </w:t>
      </w:r>
      <w:r>
        <w:rPr/>
        <w:t>of the melted basis of the polymer blend of PVP: PEG</w:t>
      </w:r>
      <w:r>
        <w:rPr>
          <w:spacing w:val="60"/>
        </w:rPr>
        <w:t> </w:t>
      </w:r>
      <w:r>
        <w:rPr/>
        <w:t>(1:9) as binder (Gohel and</w:t>
      </w:r>
      <w:r>
        <w:rPr>
          <w:spacing w:val="1"/>
        </w:rPr>
        <w:t> </w:t>
      </w:r>
      <w:r>
        <w:rPr/>
        <w:t>Jogani, 2003a). The prepared agglomerates were evaluated for percentage fines, Carr‟s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compressed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strength,</w:t>
      </w:r>
      <w:r>
        <w:rPr>
          <w:spacing w:val="1"/>
        </w:rPr>
        <w:t> </w:t>
      </w:r>
      <w:r>
        <w:rPr/>
        <w:t>friability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disintegration time. It was concluded by the authors that melt granulation technique can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replace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spray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for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multi-functional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compressible</w:t>
      </w:r>
      <w:r>
        <w:rPr>
          <w:spacing w:val="1"/>
        </w:rPr>
        <w:t> </w:t>
      </w:r>
      <w:r>
        <w:rPr/>
        <w:t>adjuvant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pharmaceutical</w:t>
      </w:r>
      <w:r>
        <w:rPr>
          <w:spacing w:val="-1"/>
        </w:rPr>
        <w:t> </w:t>
      </w:r>
      <w:r>
        <w:rPr/>
        <w:t>formulations.</w:t>
      </w:r>
    </w:p>
    <w:p>
      <w:pPr>
        <w:pStyle w:val="BodyText"/>
        <w:spacing w:line="480" w:lineRule="auto" w:before="121"/>
        <w:ind w:left="465" w:right="1253"/>
        <w:jc w:val="both"/>
      </w:pPr>
      <w:r>
        <w:rPr/>
        <w:t>Microcelac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marketed</w:t>
      </w:r>
      <w:r>
        <w:rPr>
          <w:spacing w:val="1"/>
        </w:rPr>
        <w:t> </w:t>
      </w:r>
      <w:r>
        <w:rPr/>
        <w:t>spray-dried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α-lactose</w:t>
      </w:r>
      <w:r>
        <w:rPr>
          <w:spacing w:val="1"/>
        </w:rPr>
        <w:t> </w:t>
      </w:r>
      <w:r>
        <w:rPr/>
        <w:t>monohydrate (75 %) and MCC (25 %) (Michoel </w:t>
      </w:r>
      <w:r>
        <w:rPr>
          <w:i/>
        </w:rPr>
        <w:t>et al.</w:t>
      </w:r>
      <w:r>
        <w:rPr/>
        <w:t>, 2002).A study conducted by</w:t>
      </w:r>
      <w:r>
        <w:rPr>
          <w:spacing w:val="1"/>
        </w:rPr>
        <w:t> </w:t>
      </w:r>
      <w:r>
        <w:rPr/>
        <w:t>Muzikova and Zvolankova (2007) revealed that the tablet strength of pure Cellactose 80</w:t>
      </w:r>
      <w:r>
        <w:rPr>
          <w:spacing w:val="-57"/>
        </w:rPr>
        <w:t> </w:t>
      </w:r>
      <w:r>
        <w:rPr/>
        <w:t>compacts was lower than that of Microcelac 100, both with and without lubricant at</w:t>
      </w:r>
      <w:r>
        <w:rPr>
          <w:spacing w:val="1"/>
        </w:rPr>
        <w:t> </w:t>
      </w:r>
      <w:r>
        <w:rPr/>
        <w:t>compression force of 6 and 8 kN. Disintegration time of the tablets from Cellactose 80</w:t>
      </w:r>
      <w:r>
        <w:rPr>
          <w:spacing w:val="1"/>
        </w:rPr>
        <w:t> </w:t>
      </w:r>
      <w:r>
        <w:rPr/>
        <w:t>was longer than those of Microcelac 100, except for tablets containing 0.4 % sodium</w:t>
      </w:r>
      <w:r>
        <w:rPr>
          <w:spacing w:val="1"/>
        </w:rPr>
        <w:t> </w:t>
      </w:r>
      <w:r>
        <w:rPr/>
        <w:t>stearyl fumarate with a compression force of 6 kN(Muzikova and Zvolankova, 2007).</w:t>
      </w:r>
      <w:r>
        <w:rPr>
          <w:spacing w:val="1"/>
        </w:rPr>
        <w:t> </w:t>
      </w:r>
      <w:r>
        <w:rPr/>
        <w:t>Michoel </w:t>
      </w:r>
      <w:r>
        <w:rPr>
          <w:i/>
        </w:rPr>
        <w:t>et al</w:t>
      </w:r>
      <w:r>
        <w:rPr/>
        <w:t>(2002) demonstrated that Microcelac 100 has superior flow and binding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unchanged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folic</w:t>
      </w:r>
      <w:r>
        <w:rPr>
          <w:spacing w:val="1"/>
        </w:rPr>
        <w:t> </w:t>
      </w:r>
      <w:r>
        <w:rPr/>
        <w:t>acid.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were explained by</w:t>
      </w:r>
      <w:r>
        <w:rPr>
          <w:spacing w:val="-3"/>
        </w:rPr>
        <w:t> </w:t>
      </w:r>
      <w:r>
        <w:rPr/>
        <w:t>spray-drying</w:t>
      </w:r>
      <w:r>
        <w:rPr>
          <w:spacing w:val="-2"/>
        </w:rPr>
        <w:t> </w:t>
      </w:r>
      <w:r>
        <w:rPr/>
        <w:t>(Michoel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2002).</w:t>
      </w:r>
    </w:p>
    <w:p>
      <w:pPr>
        <w:pStyle w:val="BodyText"/>
        <w:spacing w:line="480" w:lineRule="auto" w:before="119"/>
        <w:ind w:left="465" w:right="1253"/>
        <w:jc w:val="both"/>
      </w:pPr>
      <w:r>
        <w:rPr/>
        <w:t>Another lactose-based excipient that was developed recently is StarLac. It is a co-</w:t>
      </w:r>
      <w:r>
        <w:rPr>
          <w:spacing w:val="1"/>
        </w:rPr>
        <w:t> </w:t>
      </w:r>
      <w:r>
        <w:rPr/>
        <w:t>processed filler-binder consisting of 85 % α-lactose monohydrate and 15 % native corn</w:t>
      </w:r>
      <w:r>
        <w:rPr>
          <w:spacing w:val="1"/>
        </w:rPr>
        <w:t> </w:t>
      </w:r>
      <w:r>
        <w:rPr/>
        <w:t>starch. Starch is a bifunctional excipient, used as a binder and disintegrant; however, it</w:t>
      </w:r>
      <w:r>
        <w:rPr>
          <w:spacing w:val="1"/>
        </w:rPr>
        <w:t> </w:t>
      </w:r>
      <w:r>
        <w:rPr/>
        <w:t>exhibits the lowest elastic recovery at high binding capacity. When starch was co-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α-lactose</w:t>
      </w:r>
      <w:r>
        <w:rPr>
          <w:spacing w:val="1"/>
        </w:rPr>
        <w:t> </w:t>
      </w:r>
      <w:r>
        <w:rPr/>
        <w:t>monohydrate,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compactibility</w:t>
      </w:r>
      <w:r>
        <w:rPr>
          <w:spacing w:val="-5"/>
        </w:rPr>
        <w:t> </w:t>
      </w:r>
      <w:r>
        <w:rPr/>
        <w:t>(Wagner</w:t>
      </w:r>
      <w:r>
        <w:rPr>
          <w:spacing w:val="2"/>
        </w:rPr>
        <w:t> </w:t>
      </w:r>
      <w:r>
        <w:rPr/>
        <w:t>and Dressler, 2003).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4"/>
        <w:jc w:val="both"/>
      </w:pPr>
      <w:r>
        <w:rPr/>
        <w:t>The</w:t>
      </w:r>
      <w:r>
        <w:rPr>
          <w:spacing w:val="1"/>
        </w:rPr>
        <w:t> </w:t>
      </w:r>
      <w:r>
        <w:rPr/>
        <w:t>deformation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StarLac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lactose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Flowability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StarLac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spray-drying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 of starch imparts a rapid disintegrating property to the product. StarLac was</w:t>
      </w:r>
      <w:r>
        <w:rPr>
          <w:spacing w:val="1"/>
        </w:rPr>
        <w:t> </w:t>
      </w:r>
      <w:r>
        <w:rPr/>
        <w:t>proven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have</w:t>
      </w:r>
      <w:r>
        <w:rPr>
          <w:spacing w:val="22"/>
        </w:rPr>
        <w:t> </w:t>
      </w:r>
      <w:r>
        <w:rPr/>
        <w:t>improved</w:t>
      </w:r>
      <w:r>
        <w:rPr>
          <w:spacing w:val="22"/>
        </w:rPr>
        <w:t> </w:t>
      </w:r>
      <w:r>
        <w:rPr/>
        <w:t>compactibility</w:t>
      </w:r>
      <w:r>
        <w:rPr>
          <w:spacing w:val="18"/>
        </w:rPr>
        <w:t> </w:t>
      </w:r>
      <w:r>
        <w:rPr/>
        <w:t>and</w:t>
      </w:r>
      <w:r>
        <w:rPr>
          <w:spacing w:val="22"/>
        </w:rPr>
        <w:t> </w:t>
      </w:r>
      <w:r>
        <w:rPr/>
        <w:t>flowability</w:t>
      </w:r>
      <w:r>
        <w:rPr>
          <w:spacing w:val="18"/>
        </w:rPr>
        <w:t> </w:t>
      </w:r>
      <w:r>
        <w:rPr/>
        <w:t>when</w:t>
      </w:r>
      <w:r>
        <w:rPr>
          <w:spacing w:val="22"/>
        </w:rPr>
        <w:t> </w:t>
      </w:r>
      <w:r>
        <w:rPr/>
        <w:t>compared</w:t>
      </w:r>
      <w:r>
        <w:rPr>
          <w:spacing w:val="25"/>
        </w:rPr>
        <w:t> </w:t>
      </w:r>
      <w:r>
        <w:rPr/>
        <w:t>to</w:t>
      </w:r>
      <w:r>
        <w:rPr>
          <w:spacing w:val="23"/>
        </w:rPr>
        <w:t> </w:t>
      </w:r>
      <w:r>
        <w:rPr/>
        <w:t>starch</w:t>
      </w:r>
      <w:r>
        <w:rPr>
          <w:spacing w:val="23"/>
        </w:rPr>
        <w:t> </w:t>
      </w:r>
      <w:r>
        <w:rPr/>
        <w:t>and</w:t>
      </w:r>
      <w:r>
        <w:rPr>
          <w:spacing w:val="-58"/>
        </w:rPr>
        <w:t> </w:t>
      </w:r>
      <w:r>
        <w:rPr/>
        <w:t>its</w:t>
      </w:r>
      <w:r>
        <w:rPr>
          <w:spacing w:val="-1"/>
        </w:rPr>
        <w:t> </w:t>
      </w:r>
      <w:r>
        <w:rPr/>
        <w:t>physical mixtures</w:t>
      </w:r>
      <w:r>
        <w:rPr>
          <w:spacing w:val="2"/>
        </w:rPr>
        <w:t> </w:t>
      </w:r>
      <w:r>
        <w:rPr/>
        <w:t>(Hauschild and Picker, 2004).</w:t>
      </w:r>
    </w:p>
    <w:p>
      <w:pPr>
        <w:pStyle w:val="BodyText"/>
        <w:spacing w:line="480" w:lineRule="auto" w:before="120"/>
        <w:ind w:left="465" w:right="1256"/>
        <w:jc w:val="both"/>
      </w:pPr>
      <w:r>
        <w:rPr/>
        <w:t>Gohel and Jogani (2003b) demonstrated the use of several linear regressions in 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lactose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starch.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lactose:starch ratio increased, Carr‟s index of the product and crushing strength of 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simultaneously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friability.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 starch paste had an inverse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on the friability.</w:t>
      </w:r>
    </w:p>
    <w:p>
      <w:pPr>
        <w:pStyle w:val="BodyText"/>
        <w:spacing w:line="480" w:lineRule="auto" w:before="121"/>
        <w:ind w:left="465" w:right="1253"/>
        <w:jc w:val="both"/>
      </w:pPr>
      <w:r>
        <w:rPr/>
        <w:t>Co-processing of anhydrous lactose (95 %) with lactilol (5 %) into Pharmatose DCL 40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lactose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moisture.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enhanced</w:t>
      </w:r>
      <w:r>
        <w:rPr>
          <w:spacing w:val="-57"/>
        </w:rPr>
        <w:t> </w:t>
      </w:r>
      <w:r>
        <w:rPr/>
        <w:t>because of its spherical shape and favourable particle size distribution. The water uptake</w:t>
      </w:r>
      <w:r>
        <w:rPr>
          <w:spacing w:val="-57"/>
        </w:rPr>
        <w:t> </w:t>
      </w:r>
      <w:r>
        <w:rPr/>
        <w:t>of Pharmatose DCL 40 was found to be very low at increasing relative humidity. Its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dilution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known</w:t>
      </w:r>
      <w:r>
        <w:rPr>
          <w:spacing w:val="-57"/>
        </w:rPr>
        <w:t> </w:t>
      </w:r>
      <w:r>
        <w:rPr/>
        <w:t>lactose-based products (Bolhuis and Chowhan, 1996). A list of commercially available</w:t>
      </w:r>
      <w:r>
        <w:rPr>
          <w:spacing w:val="1"/>
        </w:rPr>
        <w:t> </w:t>
      </w:r>
      <w:r>
        <w:rPr/>
        <w:t>co-processed</w:t>
      </w:r>
      <w:r>
        <w:rPr>
          <w:spacing w:val="-1"/>
        </w:rPr>
        <w:t> </w:t>
      </w:r>
      <w:r>
        <w:rPr/>
        <w:t>excipients is given below in Table 2.1.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ind w:left="465"/>
      </w:pPr>
      <w:r>
        <w:rPr/>
        <w:pict>
          <v:shape style="position:absolute;margin-left:93.864006pt;margin-top:58.823112pt;width:436.1pt;height:.5pt;mso-position-horizontal-relative:page;mso-position-vertical-relative:paragraph;z-index:-20875264" coordorigin="1877,1176" coordsize="8722,10" path="m4712,1176l3238,1176,3228,1176,3228,1176,1877,1176,1877,1186,3228,1186,3228,1186,3238,1186,4712,1186,4712,1176xm8186,1176l6606,1176,6597,1176,6597,1176,4722,1176,4712,1176,4712,1186,4722,1186,6597,1186,6597,1186,6606,1186,8186,1186,8186,1176xm10598,1176l9300,1176,9290,1176,8196,1176,8186,1176,8186,1186,8196,1186,9290,1186,9300,1186,10598,1186,10598,1176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2.1:List</w:t>
      </w:r>
      <w:r>
        <w:rPr>
          <w:spacing w:val="-2"/>
        </w:rPr>
        <w:t> </w:t>
      </w:r>
      <w:r>
        <w:rPr/>
        <w:t>of commercially</w:t>
      </w:r>
      <w:r>
        <w:rPr>
          <w:spacing w:val="-2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co-processed</w:t>
      </w:r>
      <w:r>
        <w:rPr>
          <w:spacing w:val="-2"/>
        </w:rPr>
        <w:t> </w:t>
      </w:r>
      <w:r>
        <w:rPr/>
        <w:t>excipients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5"/>
        <w:gridCol w:w="1521"/>
        <w:gridCol w:w="1837"/>
        <w:gridCol w:w="1661"/>
        <w:gridCol w:w="871"/>
        <w:gridCol w:w="1543"/>
      </w:tblGrid>
      <w:tr>
        <w:trPr>
          <w:trHeight w:val="595" w:hRule="atLeast"/>
        </w:trPr>
        <w:tc>
          <w:tcPr>
            <w:tcW w:w="130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2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  <w:tc>
          <w:tcPr>
            <w:tcW w:w="1521" w:type="dxa"/>
            <w:tcBorders>
              <w:top w:val="single" w:sz="12" w:space="0" w:color="000000"/>
            </w:tcBorders>
          </w:tcPr>
          <w:p>
            <w:pPr>
              <w:pStyle w:val="TableParagraph"/>
              <w:ind w:left="169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183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2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Manufacturer</w:t>
            </w:r>
          </w:p>
        </w:tc>
        <w:tc>
          <w:tcPr>
            <w:tcW w:w="166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2" w:lineRule="exact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Ingredients</w:t>
            </w:r>
          </w:p>
        </w:tc>
        <w:tc>
          <w:tcPr>
            <w:tcW w:w="87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54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2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Processing</w:t>
            </w:r>
          </w:p>
        </w:tc>
      </w:tr>
      <w:tr>
        <w:trPr>
          <w:trHeight w:val="636" w:hRule="atLeast"/>
        </w:trPr>
        <w:tc>
          <w:tcPr>
            <w:tcW w:w="1305" w:type="dxa"/>
          </w:tcPr>
          <w:p>
            <w:pPr>
              <w:pStyle w:val="TableParagraph"/>
              <w:spacing w:line="270" w:lineRule="atLeast" w:before="64"/>
              <w:ind w:left="122" w:right="403"/>
              <w:rPr>
                <w:b/>
                <w:sz w:val="24"/>
              </w:rPr>
            </w:pPr>
            <w:r>
              <w:rPr>
                <w:b/>
                <w:sz w:val="24"/>
              </w:rPr>
              <w:t>Starch-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based</w:t>
            </w:r>
          </w:p>
        </w:tc>
        <w:tc>
          <w:tcPr>
            <w:tcW w:w="1521" w:type="dxa"/>
          </w:tcPr>
          <w:p>
            <w:pPr>
              <w:pStyle w:val="TableParagraph"/>
              <w:spacing w:line="270" w:lineRule="atLeast" w:before="64"/>
              <w:ind w:left="169" w:right="437"/>
              <w:rPr>
                <w:sz w:val="24"/>
              </w:rPr>
            </w:pPr>
            <w:r>
              <w:rPr>
                <w:sz w:val="24"/>
              </w:rPr>
              <w:t>StarCap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1500</w:t>
            </w:r>
          </w:p>
        </w:tc>
        <w:tc>
          <w:tcPr>
            <w:tcW w:w="1837" w:type="dxa"/>
          </w:tcPr>
          <w:p>
            <w:pPr>
              <w:pStyle w:val="TableParagraph"/>
              <w:spacing w:before="77"/>
              <w:ind w:left="131"/>
              <w:rPr>
                <w:sz w:val="24"/>
              </w:rPr>
            </w:pPr>
            <w:r>
              <w:rPr>
                <w:sz w:val="24"/>
              </w:rPr>
              <w:t>Colorcon</w:t>
            </w:r>
          </w:p>
        </w:tc>
        <w:tc>
          <w:tcPr>
            <w:tcW w:w="1661" w:type="dxa"/>
          </w:tcPr>
          <w:p>
            <w:pPr>
              <w:pStyle w:val="TableParagraph"/>
              <w:spacing w:before="77"/>
              <w:ind w:left="178"/>
              <w:rPr>
                <w:sz w:val="24"/>
              </w:rPr>
            </w:pPr>
            <w:r>
              <w:rPr>
                <w:sz w:val="24"/>
              </w:rPr>
              <w:t>Corn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  <w:tc>
          <w:tcPr>
            <w:tcW w:w="871" w:type="dxa"/>
          </w:tcPr>
          <w:p>
            <w:pPr>
              <w:pStyle w:val="TableParagraph"/>
              <w:spacing w:before="77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43" w:type="dxa"/>
          </w:tcPr>
          <w:p>
            <w:pPr>
              <w:pStyle w:val="TableParagraph"/>
              <w:spacing w:line="270" w:lineRule="atLeast" w:before="64"/>
              <w:ind w:left="340" w:right="549"/>
              <w:rPr>
                <w:sz w:val="24"/>
              </w:rPr>
            </w:pPr>
            <w:r>
              <w:rPr>
                <w:spacing w:val="-1"/>
                <w:sz w:val="24"/>
              </w:rPr>
              <w:t>Spray-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drying</w:t>
            </w:r>
          </w:p>
        </w:tc>
      </w:tr>
      <w:tr>
        <w:trPr>
          <w:trHeight w:val="552" w:hRule="atLeast"/>
        </w:trPr>
        <w:tc>
          <w:tcPr>
            <w:tcW w:w="13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78"/>
              <w:rPr>
                <w:sz w:val="24"/>
              </w:rPr>
            </w:pPr>
            <w:r>
              <w:rPr>
                <w:sz w:val="24"/>
              </w:rPr>
              <w:t>Pregelatinized</w:t>
            </w:r>
          </w:p>
          <w:p>
            <w:pPr>
              <w:pStyle w:val="TableParagraph"/>
              <w:spacing w:line="264" w:lineRule="exact"/>
              <w:ind w:left="178"/>
              <w:rPr>
                <w:sz w:val="24"/>
              </w:rPr>
            </w:pPr>
            <w:r>
              <w:rPr>
                <w:sz w:val="24"/>
              </w:rPr>
              <w:t>starch</w:t>
            </w:r>
          </w:p>
        </w:tc>
        <w:tc>
          <w:tcPr>
            <w:tcW w:w="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9" w:hRule="atLeast"/>
        </w:trPr>
        <w:tc>
          <w:tcPr>
            <w:tcW w:w="13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122"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>Cellulose-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based</w:t>
            </w:r>
          </w:p>
        </w:tc>
        <w:tc>
          <w:tcPr>
            <w:tcW w:w="15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169" w:right="570"/>
              <w:rPr>
                <w:sz w:val="24"/>
              </w:rPr>
            </w:pPr>
            <w:r>
              <w:rPr>
                <w:sz w:val="24"/>
              </w:rPr>
              <w:t>Avicel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w w:val="10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HFE</w:t>
            </w:r>
          </w:p>
        </w:tc>
        <w:tc>
          <w:tcPr>
            <w:tcW w:w="18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FMC</w:t>
            </w:r>
          </w:p>
        </w:tc>
        <w:tc>
          <w:tcPr>
            <w:tcW w:w="16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MCC</w:t>
            </w:r>
          </w:p>
        </w:tc>
        <w:tc>
          <w:tcPr>
            <w:tcW w:w="8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340" w:right="549"/>
              <w:rPr>
                <w:sz w:val="24"/>
              </w:rPr>
            </w:pPr>
            <w:r>
              <w:rPr>
                <w:spacing w:val="-1"/>
                <w:sz w:val="24"/>
              </w:rPr>
              <w:t>Spray-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drying</w:t>
            </w:r>
          </w:p>
        </w:tc>
      </w:tr>
      <w:tr>
        <w:trPr>
          <w:trHeight w:val="391" w:hRule="atLeast"/>
        </w:trPr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line="268" w:lineRule="exact"/>
              <w:ind w:left="178"/>
              <w:rPr>
                <w:sz w:val="24"/>
              </w:rPr>
            </w:pPr>
            <w:r>
              <w:rPr>
                <w:sz w:val="24"/>
              </w:rPr>
              <w:t>Mannitol</w:t>
            </w:r>
          </w:p>
        </w:tc>
        <w:tc>
          <w:tcPr>
            <w:tcW w:w="87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6" w:hRule="atLeast"/>
        </w:trPr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spacing w:before="153"/>
              <w:ind w:left="169" w:right="125"/>
              <w:rPr>
                <w:sz w:val="24"/>
              </w:rPr>
            </w:pPr>
            <w:r>
              <w:rPr>
                <w:sz w:val="24"/>
              </w:rPr>
              <w:t>Avicel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1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RC-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591</w:t>
            </w:r>
          </w:p>
        </w:tc>
        <w:tc>
          <w:tcPr>
            <w:tcW w:w="1837" w:type="dxa"/>
          </w:tcPr>
          <w:p>
            <w:pPr>
              <w:pStyle w:val="TableParagraph"/>
              <w:spacing w:before="153"/>
              <w:ind w:left="131"/>
              <w:rPr>
                <w:sz w:val="24"/>
              </w:rPr>
            </w:pPr>
            <w:r>
              <w:rPr>
                <w:sz w:val="24"/>
              </w:rPr>
              <w:t>FMC</w:t>
            </w:r>
          </w:p>
        </w:tc>
        <w:tc>
          <w:tcPr>
            <w:tcW w:w="1661" w:type="dxa"/>
          </w:tcPr>
          <w:p>
            <w:pPr>
              <w:pStyle w:val="TableParagraph"/>
              <w:spacing w:before="153"/>
              <w:ind w:left="178"/>
              <w:rPr>
                <w:sz w:val="24"/>
              </w:rPr>
            </w:pPr>
            <w:r>
              <w:rPr>
                <w:sz w:val="24"/>
              </w:rPr>
              <w:t>MCC</w:t>
            </w:r>
          </w:p>
        </w:tc>
        <w:tc>
          <w:tcPr>
            <w:tcW w:w="871" w:type="dxa"/>
          </w:tcPr>
          <w:p>
            <w:pPr>
              <w:pStyle w:val="TableParagraph"/>
              <w:spacing w:before="153"/>
              <w:ind w:left="107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543" w:type="dxa"/>
          </w:tcPr>
          <w:p>
            <w:pPr>
              <w:pStyle w:val="TableParagraph"/>
              <w:spacing w:line="270" w:lineRule="atLeast" w:before="138"/>
              <w:ind w:left="340" w:right="421"/>
              <w:rPr>
                <w:sz w:val="24"/>
              </w:rPr>
            </w:pPr>
            <w:r>
              <w:rPr>
                <w:sz w:val="24"/>
              </w:rPr>
              <w:t>Milling, spray-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drying</w:t>
            </w:r>
          </w:p>
        </w:tc>
      </w:tr>
      <w:tr>
        <w:trPr>
          <w:trHeight w:val="392" w:hRule="atLeast"/>
        </w:trPr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line="271" w:lineRule="exact"/>
              <w:ind w:left="178"/>
              <w:rPr>
                <w:sz w:val="24"/>
              </w:rPr>
            </w:pPr>
            <w:r>
              <w:rPr>
                <w:sz w:val="24"/>
              </w:rPr>
              <w:t>NaCMC</w:t>
            </w:r>
          </w:p>
        </w:tc>
        <w:tc>
          <w:tcPr>
            <w:tcW w:w="87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4" w:hRule="atLeast"/>
        </w:trPr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spacing w:before="151"/>
              <w:ind w:left="169" w:right="125"/>
              <w:rPr>
                <w:sz w:val="24"/>
              </w:rPr>
            </w:pPr>
            <w:r>
              <w:rPr>
                <w:sz w:val="24"/>
              </w:rPr>
              <w:t>Avicel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1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RC-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581</w:t>
            </w:r>
          </w:p>
        </w:tc>
        <w:tc>
          <w:tcPr>
            <w:tcW w:w="1837" w:type="dxa"/>
          </w:tcPr>
          <w:p>
            <w:pPr>
              <w:pStyle w:val="TableParagraph"/>
              <w:spacing w:before="151"/>
              <w:ind w:left="131"/>
              <w:rPr>
                <w:sz w:val="24"/>
              </w:rPr>
            </w:pPr>
            <w:r>
              <w:rPr>
                <w:sz w:val="24"/>
              </w:rPr>
              <w:t>FMC</w:t>
            </w:r>
          </w:p>
        </w:tc>
        <w:tc>
          <w:tcPr>
            <w:tcW w:w="1661" w:type="dxa"/>
          </w:tcPr>
          <w:p>
            <w:pPr>
              <w:pStyle w:val="TableParagraph"/>
              <w:spacing w:before="151"/>
              <w:ind w:left="178"/>
              <w:rPr>
                <w:sz w:val="24"/>
              </w:rPr>
            </w:pPr>
            <w:r>
              <w:rPr>
                <w:sz w:val="24"/>
              </w:rPr>
              <w:t>MCC</w:t>
            </w:r>
          </w:p>
        </w:tc>
        <w:tc>
          <w:tcPr>
            <w:tcW w:w="871" w:type="dxa"/>
          </w:tcPr>
          <w:p>
            <w:pPr>
              <w:pStyle w:val="TableParagraph"/>
              <w:spacing w:before="151"/>
              <w:ind w:left="107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543" w:type="dxa"/>
          </w:tcPr>
          <w:p>
            <w:pPr>
              <w:pStyle w:val="TableParagraph"/>
              <w:spacing w:line="270" w:lineRule="atLeast" w:before="136"/>
              <w:ind w:left="340" w:right="421"/>
              <w:rPr>
                <w:sz w:val="24"/>
              </w:rPr>
            </w:pPr>
            <w:r>
              <w:rPr>
                <w:sz w:val="24"/>
              </w:rPr>
              <w:t>Milling, spray-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drying</w:t>
            </w:r>
          </w:p>
        </w:tc>
      </w:tr>
      <w:tr>
        <w:trPr>
          <w:trHeight w:val="394" w:hRule="atLeast"/>
        </w:trPr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line="271" w:lineRule="exact"/>
              <w:ind w:left="178"/>
              <w:rPr>
                <w:sz w:val="24"/>
              </w:rPr>
            </w:pPr>
            <w:r>
              <w:rPr>
                <w:sz w:val="24"/>
              </w:rPr>
              <w:t>NaCMC</w:t>
            </w:r>
          </w:p>
        </w:tc>
        <w:tc>
          <w:tcPr>
            <w:tcW w:w="87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10" w:hRule="atLeast"/>
        </w:trPr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spacing w:line="270" w:lineRule="atLeast" w:before="138"/>
              <w:ind w:left="169" w:right="132"/>
              <w:rPr>
                <w:sz w:val="24"/>
              </w:rPr>
            </w:pPr>
            <w:r>
              <w:rPr>
                <w:spacing w:val="-1"/>
                <w:sz w:val="24"/>
              </w:rPr>
              <w:t>Avicel</w:t>
            </w:r>
            <w:r>
              <w:rPr>
                <w:spacing w:val="-1"/>
                <w:sz w:val="24"/>
                <w:vertAlign w:val="superscript"/>
              </w:rPr>
              <w:t>®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CL-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611</w:t>
            </w:r>
          </w:p>
        </w:tc>
        <w:tc>
          <w:tcPr>
            <w:tcW w:w="1837" w:type="dxa"/>
          </w:tcPr>
          <w:p>
            <w:pPr>
              <w:pStyle w:val="TableParagraph"/>
              <w:spacing w:before="153"/>
              <w:ind w:left="131"/>
              <w:rPr>
                <w:sz w:val="24"/>
              </w:rPr>
            </w:pPr>
            <w:r>
              <w:rPr>
                <w:sz w:val="24"/>
              </w:rPr>
              <w:t>FMC</w:t>
            </w:r>
          </w:p>
        </w:tc>
        <w:tc>
          <w:tcPr>
            <w:tcW w:w="1661" w:type="dxa"/>
          </w:tcPr>
          <w:p>
            <w:pPr>
              <w:pStyle w:val="TableParagraph"/>
              <w:spacing w:before="153"/>
              <w:ind w:left="178"/>
              <w:rPr>
                <w:sz w:val="24"/>
              </w:rPr>
            </w:pPr>
            <w:r>
              <w:rPr>
                <w:sz w:val="24"/>
              </w:rPr>
              <w:t>MCC</w:t>
            </w:r>
          </w:p>
        </w:tc>
        <w:tc>
          <w:tcPr>
            <w:tcW w:w="871" w:type="dxa"/>
          </w:tcPr>
          <w:p>
            <w:pPr>
              <w:pStyle w:val="TableParagraph"/>
              <w:spacing w:before="153"/>
              <w:ind w:left="107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543" w:type="dxa"/>
          </w:tcPr>
          <w:p>
            <w:pPr>
              <w:pStyle w:val="TableParagraph"/>
              <w:spacing w:line="270" w:lineRule="atLeast" w:before="138"/>
              <w:ind w:left="340" w:right="549"/>
              <w:rPr>
                <w:sz w:val="24"/>
              </w:rPr>
            </w:pPr>
            <w:r>
              <w:rPr>
                <w:spacing w:val="-1"/>
                <w:sz w:val="24"/>
              </w:rPr>
              <w:t>Spray-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drying</w:t>
            </w:r>
          </w:p>
        </w:tc>
      </w:tr>
      <w:tr>
        <w:trPr>
          <w:trHeight w:val="394" w:hRule="atLeast"/>
        </w:trPr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line="271" w:lineRule="exact"/>
              <w:ind w:left="178"/>
              <w:rPr>
                <w:sz w:val="24"/>
              </w:rPr>
            </w:pPr>
            <w:r>
              <w:rPr>
                <w:sz w:val="24"/>
              </w:rPr>
              <w:t>NaCMC</w:t>
            </w:r>
          </w:p>
        </w:tc>
        <w:tc>
          <w:tcPr>
            <w:tcW w:w="87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9" w:hRule="atLeast"/>
        </w:trPr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spacing w:line="270" w:lineRule="atLeast" w:before="138"/>
              <w:ind w:left="169" w:right="212"/>
              <w:rPr>
                <w:sz w:val="24"/>
              </w:rPr>
            </w:pPr>
            <w:r>
              <w:rPr>
                <w:spacing w:val="-1"/>
                <w:sz w:val="24"/>
              </w:rPr>
              <w:t>Avicel</w:t>
            </w:r>
            <w:r>
              <w:rPr>
                <w:spacing w:val="-1"/>
                <w:sz w:val="24"/>
                <w:vertAlign w:val="superscript"/>
              </w:rPr>
              <w:t>®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CE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15</w:t>
            </w:r>
          </w:p>
        </w:tc>
        <w:tc>
          <w:tcPr>
            <w:tcW w:w="1837" w:type="dxa"/>
          </w:tcPr>
          <w:p>
            <w:pPr>
              <w:pStyle w:val="TableParagraph"/>
              <w:spacing w:before="153"/>
              <w:ind w:left="131"/>
              <w:rPr>
                <w:sz w:val="24"/>
              </w:rPr>
            </w:pPr>
            <w:r>
              <w:rPr>
                <w:sz w:val="24"/>
              </w:rPr>
              <w:t>FMC</w:t>
            </w:r>
          </w:p>
        </w:tc>
        <w:tc>
          <w:tcPr>
            <w:tcW w:w="1661" w:type="dxa"/>
          </w:tcPr>
          <w:p>
            <w:pPr>
              <w:pStyle w:val="TableParagraph"/>
              <w:spacing w:before="153"/>
              <w:ind w:left="178"/>
              <w:rPr>
                <w:sz w:val="24"/>
              </w:rPr>
            </w:pPr>
            <w:r>
              <w:rPr>
                <w:sz w:val="24"/>
              </w:rPr>
              <w:t>MCC</w:t>
            </w:r>
          </w:p>
        </w:tc>
        <w:tc>
          <w:tcPr>
            <w:tcW w:w="871" w:type="dxa"/>
          </w:tcPr>
          <w:p>
            <w:pPr>
              <w:pStyle w:val="TableParagraph"/>
              <w:spacing w:before="153"/>
              <w:ind w:left="107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543" w:type="dxa"/>
          </w:tcPr>
          <w:p>
            <w:pPr>
              <w:pStyle w:val="TableParagraph"/>
              <w:spacing w:line="270" w:lineRule="atLeast" w:before="138"/>
              <w:ind w:left="340" w:right="549"/>
              <w:rPr>
                <w:sz w:val="24"/>
              </w:rPr>
            </w:pPr>
            <w:r>
              <w:rPr>
                <w:spacing w:val="-1"/>
                <w:sz w:val="24"/>
              </w:rPr>
              <w:t>Spray-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drying</w:t>
            </w:r>
          </w:p>
        </w:tc>
      </w:tr>
      <w:tr>
        <w:trPr>
          <w:trHeight w:val="394" w:hRule="atLeast"/>
        </w:trPr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line="271" w:lineRule="exact"/>
              <w:ind w:left="178"/>
              <w:rPr>
                <w:sz w:val="24"/>
              </w:rPr>
            </w:pPr>
            <w:r>
              <w:rPr>
                <w:sz w:val="24"/>
              </w:rPr>
              <w:t>Guar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gum</w:t>
            </w:r>
          </w:p>
        </w:tc>
        <w:tc>
          <w:tcPr>
            <w:tcW w:w="87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9" w:hRule="atLeast"/>
        </w:trPr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spacing w:line="270" w:lineRule="atLeast" w:before="138"/>
              <w:ind w:left="169" w:right="377"/>
              <w:rPr>
                <w:sz w:val="24"/>
              </w:rPr>
            </w:pPr>
            <w:r>
              <w:rPr>
                <w:sz w:val="24"/>
              </w:rPr>
              <w:t>Prosolv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SMCC</w:t>
            </w:r>
            <w:r>
              <w:rPr>
                <w:spacing w:val="-1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50</w:t>
            </w:r>
          </w:p>
        </w:tc>
        <w:tc>
          <w:tcPr>
            <w:tcW w:w="1837" w:type="dxa"/>
          </w:tcPr>
          <w:p>
            <w:pPr>
              <w:pStyle w:val="TableParagraph"/>
              <w:spacing w:before="153"/>
              <w:ind w:left="131"/>
              <w:rPr>
                <w:sz w:val="24"/>
              </w:rPr>
            </w:pPr>
            <w:r>
              <w:rPr>
                <w:sz w:val="24"/>
              </w:rPr>
              <w:t>JRS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Pharma</w:t>
            </w:r>
          </w:p>
        </w:tc>
        <w:tc>
          <w:tcPr>
            <w:tcW w:w="1661" w:type="dxa"/>
          </w:tcPr>
          <w:p>
            <w:pPr>
              <w:pStyle w:val="TableParagraph"/>
              <w:spacing w:before="153"/>
              <w:ind w:left="178"/>
              <w:rPr>
                <w:sz w:val="24"/>
              </w:rPr>
            </w:pPr>
            <w:r>
              <w:rPr>
                <w:sz w:val="24"/>
              </w:rPr>
              <w:t>MCC</w:t>
            </w:r>
          </w:p>
        </w:tc>
        <w:tc>
          <w:tcPr>
            <w:tcW w:w="871" w:type="dxa"/>
          </w:tcPr>
          <w:p>
            <w:pPr>
              <w:pStyle w:val="TableParagraph"/>
              <w:spacing w:before="153"/>
              <w:ind w:left="107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543" w:type="dxa"/>
          </w:tcPr>
          <w:p>
            <w:pPr>
              <w:pStyle w:val="TableParagraph"/>
              <w:spacing w:line="270" w:lineRule="atLeast" w:before="138"/>
              <w:ind w:left="340" w:right="549"/>
              <w:rPr>
                <w:sz w:val="24"/>
              </w:rPr>
            </w:pPr>
            <w:r>
              <w:rPr>
                <w:spacing w:val="-1"/>
                <w:sz w:val="24"/>
              </w:rPr>
              <w:t>Spray-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drying</w:t>
            </w:r>
          </w:p>
        </w:tc>
      </w:tr>
      <w:tr>
        <w:trPr>
          <w:trHeight w:val="946" w:hRule="atLeast"/>
        </w:trPr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ind w:left="178" w:right="569"/>
              <w:rPr>
                <w:sz w:val="24"/>
              </w:rPr>
            </w:pPr>
            <w:r>
              <w:rPr>
                <w:sz w:val="24"/>
              </w:rPr>
              <w:t>Colloidal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silicon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dioxide</w:t>
            </w:r>
          </w:p>
        </w:tc>
        <w:tc>
          <w:tcPr>
            <w:tcW w:w="87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10" w:hRule="atLeast"/>
        </w:trPr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spacing w:line="270" w:lineRule="atLeast" w:before="138"/>
              <w:ind w:left="169" w:right="377"/>
              <w:rPr>
                <w:sz w:val="24"/>
              </w:rPr>
            </w:pPr>
            <w:r>
              <w:rPr>
                <w:sz w:val="24"/>
              </w:rPr>
              <w:t>Prosolv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SMCC</w:t>
            </w:r>
            <w:r>
              <w:rPr>
                <w:spacing w:val="-1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90</w:t>
            </w:r>
          </w:p>
        </w:tc>
        <w:tc>
          <w:tcPr>
            <w:tcW w:w="1837" w:type="dxa"/>
          </w:tcPr>
          <w:p>
            <w:pPr>
              <w:pStyle w:val="TableParagraph"/>
              <w:spacing w:before="153"/>
              <w:ind w:left="131"/>
              <w:rPr>
                <w:sz w:val="24"/>
              </w:rPr>
            </w:pPr>
            <w:r>
              <w:rPr>
                <w:sz w:val="24"/>
              </w:rPr>
              <w:t>JRS Pharma</w:t>
            </w:r>
          </w:p>
        </w:tc>
        <w:tc>
          <w:tcPr>
            <w:tcW w:w="1661" w:type="dxa"/>
          </w:tcPr>
          <w:p>
            <w:pPr>
              <w:pStyle w:val="TableParagraph"/>
              <w:spacing w:before="153"/>
              <w:ind w:left="178"/>
              <w:rPr>
                <w:sz w:val="24"/>
              </w:rPr>
            </w:pPr>
            <w:r>
              <w:rPr>
                <w:sz w:val="24"/>
              </w:rPr>
              <w:t>MCC</w:t>
            </w:r>
          </w:p>
        </w:tc>
        <w:tc>
          <w:tcPr>
            <w:tcW w:w="871" w:type="dxa"/>
          </w:tcPr>
          <w:p>
            <w:pPr>
              <w:pStyle w:val="TableParagraph"/>
              <w:spacing w:before="153"/>
              <w:ind w:left="107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543" w:type="dxa"/>
          </w:tcPr>
          <w:p>
            <w:pPr>
              <w:pStyle w:val="TableParagraph"/>
              <w:spacing w:line="270" w:lineRule="atLeast" w:before="138"/>
              <w:ind w:left="340" w:right="549"/>
              <w:rPr>
                <w:sz w:val="24"/>
              </w:rPr>
            </w:pPr>
            <w:r>
              <w:rPr>
                <w:spacing w:val="-1"/>
                <w:sz w:val="24"/>
              </w:rPr>
              <w:t>Spray-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drying</w:t>
            </w:r>
          </w:p>
        </w:tc>
      </w:tr>
      <w:tr>
        <w:trPr>
          <w:trHeight w:val="830" w:hRule="atLeast"/>
        </w:trPr>
        <w:tc>
          <w:tcPr>
            <w:tcW w:w="13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78" w:right="569"/>
              <w:rPr>
                <w:sz w:val="24"/>
              </w:rPr>
            </w:pPr>
            <w:r>
              <w:rPr>
                <w:sz w:val="24"/>
              </w:rPr>
              <w:t>Colloidal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silicon</w:t>
            </w:r>
          </w:p>
          <w:p>
            <w:pPr>
              <w:pStyle w:val="TableParagraph"/>
              <w:spacing w:line="264" w:lineRule="exact"/>
              <w:ind w:left="178"/>
              <w:rPr>
                <w:sz w:val="24"/>
              </w:rPr>
            </w:pPr>
            <w:r>
              <w:rPr>
                <w:sz w:val="24"/>
              </w:rPr>
              <w:t>dioxide</w:t>
            </w:r>
          </w:p>
        </w:tc>
        <w:tc>
          <w:tcPr>
            <w:tcW w:w="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13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122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Lactose-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based</w:t>
            </w:r>
          </w:p>
        </w:tc>
        <w:tc>
          <w:tcPr>
            <w:tcW w:w="15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67"/>
              <w:ind w:left="169"/>
              <w:rPr>
                <w:sz w:val="24"/>
              </w:rPr>
            </w:pPr>
            <w:r>
              <w:rPr>
                <w:sz w:val="24"/>
              </w:rPr>
              <w:t>Cellactose</w:t>
            </w:r>
            <w:r>
              <w:rPr>
                <w:sz w:val="24"/>
                <w:vertAlign w:val="superscript"/>
              </w:rPr>
              <w:t>®</w:t>
            </w:r>
          </w:p>
        </w:tc>
        <w:tc>
          <w:tcPr>
            <w:tcW w:w="18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Meggle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Pharma</w:t>
            </w:r>
          </w:p>
        </w:tc>
        <w:tc>
          <w:tcPr>
            <w:tcW w:w="16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178" w:right="196"/>
              <w:rPr>
                <w:sz w:val="24"/>
              </w:rPr>
            </w:pPr>
            <w:r>
              <w:rPr>
                <w:sz w:val="24"/>
              </w:rPr>
              <w:t>α-lactose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monohydrate</w:t>
            </w:r>
          </w:p>
        </w:tc>
        <w:tc>
          <w:tcPr>
            <w:tcW w:w="8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340" w:right="549"/>
              <w:rPr>
                <w:sz w:val="24"/>
              </w:rPr>
            </w:pPr>
            <w:r>
              <w:rPr>
                <w:spacing w:val="-1"/>
                <w:sz w:val="24"/>
              </w:rPr>
              <w:t>Spray-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drying</w:t>
            </w:r>
          </w:p>
        </w:tc>
      </w:tr>
      <w:tr>
        <w:trPr>
          <w:trHeight w:val="391" w:hRule="atLeast"/>
        </w:trPr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line="268" w:lineRule="exact"/>
              <w:ind w:left="178"/>
              <w:rPr>
                <w:sz w:val="24"/>
              </w:rPr>
            </w:pPr>
            <w:r>
              <w:rPr>
                <w:sz w:val="24"/>
              </w:rPr>
              <w:t>Crospovidone</w:t>
            </w:r>
          </w:p>
        </w:tc>
        <w:tc>
          <w:tcPr>
            <w:tcW w:w="87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10" w:hRule="atLeast"/>
        </w:trPr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spacing w:before="153"/>
              <w:ind w:left="169"/>
              <w:rPr>
                <w:sz w:val="24"/>
              </w:rPr>
            </w:pPr>
            <w:r>
              <w:rPr>
                <w:sz w:val="24"/>
              </w:rPr>
              <w:t>Ludipress</w:t>
            </w:r>
            <w:r>
              <w:rPr>
                <w:sz w:val="24"/>
                <w:vertAlign w:val="superscript"/>
              </w:rPr>
              <w:t>®</w:t>
            </w:r>
          </w:p>
        </w:tc>
        <w:tc>
          <w:tcPr>
            <w:tcW w:w="1837" w:type="dxa"/>
          </w:tcPr>
          <w:p>
            <w:pPr>
              <w:pStyle w:val="TableParagraph"/>
              <w:spacing w:before="153"/>
              <w:ind w:left="131"/>
              <w:rPr>
                <w:sz w:val="24"/>
              </w:rPr>
            </w:pPr>
            <w:r>
              <w:rPr>
                <w:sz w:val="24"/>
              </w:rPr>
              <w:t>BASF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</w:t>
            </w:r>
          </w:p>
        </w:tc>
        <w:tc>
          <w:tcPr>
            <w:tcW w:w="1661" w:type="dxa"/>
          </w:tcPr>
          <w:p>
            <w:pPr>
              <w:pStyle w:val="TableParagraph"/>
              <w:spacing w:line="270" w:lineRule="atLeast" w:before="138"/>
              <w:ind w:left="178" w:right="196"/>
              <w:rPr>
                <w:sz w:val="24"/>
              </w:rPr>
            </w:pPr>
            <w:r>
              <w:rPr>
                <w:sz w:val="24"/>
              </w:rPr>
              <w:t>α-lactose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monohydrate</w:t>
            </w:r>
          </w:p>
        </w:tc>
        <w:tc>
          <w:tcPr>
            <w:tcW w:w="871" w:type="dxa"/>
          </w:tcPr>
          <w:p>
            <w:pPr>
              <w:pStyle w:val="TableParagraph"/>
              <w:spacing w:before="153"/>
              <w:ind w:left="107"/>
              <w:rPr>
                <w:sz w:val="24"/>
              </w:rPr>
            </w:pPr>
            <w:r>
              <w:rPr>
                <w:sz w:val="24"/>
              </w:rPr>
              <w:t>93.4</w:t>
            </w:r>
          </w:p>
        </w:tc>
        <w:tc>
          <w:tcPr>
            <w:tcW w:w="1543" w:type="dxa"/>
          </w:tcPr>
          <w:p>
            <w:pPr>
              <w:pStyle w:val="TableParagraph"/>
              <w:spacing w:line="270" w:lineRule="atLeast" w:before="138"/>
              <w:ind w:left="340" w:right="556"/>
              <w:rPr>
                <w:sz w:val="24"/>
              </w:rPr>
            </w:pPr>
            <w:r>
              <w:rPr>
                <w:sz w:val="24"/>
              </w:rPr>
              <w:t>Roller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drying</w:t>
            </w:r>
          </w:p>
        </w:tc>
      </w:tr>
      <w:tr>
        <w:trPr>
          <w:trHeight w:val="281" w:hRule="atLeast"/>
        </w:trPr>
        <w:tc>
          <w:tcPr>
            <w:tcW w:w="13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78"/>
              <w:rPr>
                <w:sz w:val="24"/>
              </w:rPr>
            </w:pPr>
            <w:r>
              <w:rPr>
                <w:sz w:val="24"/>
              </w:rPr>
              <w:t>Crospovidone</w:t>
            </w:r>
          </w:p>
        </w:tc>
        <w:tc>
          <w:tcPr>
            <w:tcW w:w="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5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87" w:top="1320" w:bottom="1260" w:left="1520" w:right="160"/>
        </w:sectPr>
      </w:pPr>
    </w:p>
    <w:tbl>
      <w:tblPr>
        <w:tblW w:w="0" w:type="auto"/>
        <w:jc w:val="left"/>
        <w:tblInd w:w="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6"/>
        <w:gridCol w:w="1882"/>
        <w:gridCol w:w="1537"/>
        <w:gridCol w:w="834"/>
        <w:gridCol w:w="1632"/>
      </w:tblGrid>
      <w:tr>
        <w:trPr>
          <w:trHeight w:val="391" w:hRule="atLeast"/>
        </w:trPr>
        <w:tc>
          <w:tcPr>
            <w:tcW w:w="284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PVP</w:t>
            </w:r>
          </w:p>
        </w:tc>
        <w:tc>
          <w:tcPr>
            <w:tcW w:w="8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63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10" w:hRule="atLeast"/>
        </w:trPr>
        <w:tc>
          <w:tcPr>
            <w:tcW w:w="2846" w:type="dxa"/>
          </w:tcPr>
          <w:p>
            <w:pPr>
              <w:pStyle w:val="TableParagraph"/>
              <w:spacing w:before="153"/>
              <w:ind w:left="1470"/>
              <w:rPr>
                <w:sz w:val="24"/>
              </w:rPr>
            </w:pPr>
            <w:r>
              <w:rPr>
                <w:sz w:val="24"/>
              </w:rPr>
              <w:t>Microcellac</w:t>
            </w:r>
            <w:r>
              <w:rPr>
                <w:sz w:val="24"/>
                <w:vertAlign w:val="superscript"/>
              </w:rPr>
              <w:t>®</w:t>
            </w:r>
          </w:p>
        </w:tc>
        <w:tc>
          <w:tcPr>
            <w:tcW w:w="1882" w:type="dxa"/>
          </w:tcPr>
          <w:p>
            <w:pPr>
              <w:pStyle w:val="TableParagraph"/>
              <w:spacing w:before="153"/>
              <w:ind w:left="107"/>
              <w:rPr>
                <w:sz w:val="24"/>
              </w:rPr>
            </w:pPr>
            <w:r>
              <w:rPr>
                <w:sz w:val="24"/>
              </w:rPr>
              <w:t>Meggle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Pharma</w:t>
            </w:r>
          </w:p>
        </w:tc>
        <w:tc>
          <w:tcPr>
            <w:tcW w:w="1537" w:type="dxa"/>
          </w:tcPr>
          <w:p>
            <w:pPr>
              <w:pStyle w:val="TableParagraph"/>
              <w:spacing w:line="270" w:lineRule="atLeast" w:before="138"/>
              <w:ind w:left="110" w:right="151"/>
              <w:rPr>
                <w:sz w:val="24"/>
              </w:rPr>
            </w:pPr>
            <w:r>
              <w:rPr>
                <w:sz w:val="24"/>
              </w:rPr>
              <w:t>α-lactose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monohydrate</w:t>
            </w:r>
          </w:p>
        </w:tc>
        <w:tc>
          <w:tcPr>
            <w:tcW w:w="834" w:type="dxa"/>
          </w:tcPr>
          <w:p>
            <w:pPr>
              <w:pStyle w:val="TableParagraph"/>
              <w:spacing w:before="153"/>
              <w:ind w:left="16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32" w:type="dxa"/>
          </w:tcPr>
          <w:p>
            <w:pPr>
              <w:pStyle w:val="TableParagraph"/>
              <w:spacing w:line="270" w:lineRule="atLeast" w:before="138"/>
              <w:ind w:left="432" w:right="546"/>
              <w:rPr>
                <w:sz w:val="24"/>
              </w:rPr>
            </w:pPr>
            <w:r>
              <w:rPr>
                <w:spacing w:val="-1"/>
                <w:sz w:val="24"/>
              </w:rPr>
              <w:t>Spray-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drying</w:t>
            </w:r>
          </w:p>
        </w:tc>
      </w:tr>
      <w:tr>
        <w:trPr>
          <w:trHeight w:val="394" w:hRule="atLeast"/>
        </w:trPr>
        <w:tc>
          <w:tcPr>
            <w:tcW w:w="28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MCC</w:t>
            </w:r>
          </w:p>
        </w:tc>
        <w:tc>
          <w:tcPr>
            <w:tcW w:w="834" w:type="dxa"/>
          </w:tcPr>
          <w:p>
            <w:pPr>
              <w:pStyle w:val="TableParagraph"/>
              <w:spacing w:line="271" w:lineRule="exact"/>
              <w:ind w:left="1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9" w:hRule="atLeast"/>
        </w:trPr>
        <w:tc>
          <w:tcPr>
            <w:tcW w:w="2846" w:type="dxa"/>
          </w:tcPr>
          <w:p>
            <w:pPr>
              <w:pStyle w:val="TableParagraph"/>
              <w:spacing w:line="270" w:lineRule="atLeast" w:before="138"/>
              <w:ind w:left="1470" w:right="114"/>
              <w:rPr>
                <w:sz w:val="24"/>
              </w:rPr>
            </w:pPr>
            <w:r>
              <w:rPr>
                <w:sz w:val="24"/>
              </w:rPr>
              <w:t>Pharmatose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DCL</w:t>
            </w:r>
            <w:r>
              <w:rPr>
                <w:spacing w:val="-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40</w:t>
            </w:r>
          </w:p>
        </w:tc>
        <w:tc>
          <w:tcPr>
            <w:tcW w:w="1882" w:type="dxa"/>
          </w:tcPr>
          <w:p>
            <w:pPr>
              <w:pStyle w:val="TableParagraph"/>
              <w:spacing w:before="153"/>
              <w:ind w:left="107"/>
              <w:rPr>
                <w:sz w:val="24"/>
              </w:rPr>
            </w:pPr>
            <w:r>
              <w:rPr>
                <w:sz w:val="24"/>
              </w:rPr>
              <w:t>DMV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Vengel</w:t>
            </w:r>
          </w:p>
        </w:tc>
        <w:tc>
          <w:tcPr>
            <w:tcW w:w="1537" w:type="dxa"/>
          </w:tcPr>
          <w:p>
            <w:pPr>
              <w:pStyle w:val="TableParagraph"/>
              <w:spacing w:before="153"/>
              <w:ind w:left="110"/>
              <w:rPr>
                <w:sz w:val="24"/>
              </w:rPr>
            </w:pPr>
            <w:r>
              <w:rPr>
                <w:sz w:val="24"/>
              </w:rPr>
              <w:t>β-lactose</w:t>
            </w:r>
          </w:p>
        </w:tc>
        <w:tc>
          <w:tcPr>
            <w:tcW w:w="834" w:type="dxa"/>
          </w:tcPr>
          <w:p>
            <w:pPr>
              <w:pStyle w:val="TableParagraph"/>
              <w:spacing w:before="153"/>
              <w:ind w:left="162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632" w:type="dxa"/>
          </w:tcPr>
          <w:p>
            <w:pPr>
              <w:pStyle w:val="TableParagraph"/>
              <w:spacing w:line="270" w:lineRule="atLeast" w:before="138"/>
              <w:ind w:left="432" w:right="546"/>
              <w:rPr>
                <w:sz w:val="24"/>
              </w:rPr>
            </w:pPr>
            <w:r>
              <w:rPr>
                <w:spacing w:val="-1"/>
                <w:sz w:val="24"/>
              </w:rPr>
              <w:t>Spray-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drying</w:t>
            </w:r>
          </w:p>
        </w:tc>
      </w:tr>
      <w:tr>
        <w:trPr>
          <w:trHeight w:val="670" w:hRule="atLeast"/>
        </w:trPr>
        <w:tc>
          <w:tcPr>
            <w:tcW w:w="28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ind w:left="110" w:right="340"/>
              <w:rPr>
                <w:sz w:val="24"/>
              </w:rPr>
            </w:pPr>
            <w:r>
              <w:rPr>
                <w:sz w:val="24"/>
              </w:rPr>
              <w:t>Anhydrous lactitol</w:t>
            </w:r>
          </w:p>
        </w:tc>
        <w:tc>
          <w:tcPr>
            <w:tcW w:w="834" w:type="dxa"/>
          </w:tcPr>
          <w:p>
            <w:pPr>
              <w:pStyle w:val="TableParagraph"/>
              <w:spacing w:line="271" w:lineRule="exact"/>
              <w:ind w:left="16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10" w:hRule="atLeast"/>
        </w:trPr>
        <w:tc>
          <w:tcPr>
            <w:tcW w:w="2846" w:type="dxa"/>
          </w:tcPr>
          <w:p>
            <w:pPr>
              <w:pStyle w:val="TableParagraph"/>
              <w:spacing w:before="153"/>
              <w:ind w:left="1470"/>
              <w:rPr>
                <w:sz w:val="24"/>
              </w:rPr>
            </w:pPr>
            <w:r>
              <w:rPr>
                <w:sz w:val="24"/>
              </w:rPr>
              <w:t>StarLac</w:t>
            </w:r>
            <w:r>
              <w:rPr>
                <w:sz w:val="24"/>
                <w:vertAlign w:val="superscript"/>
              </w:rPr>
              <w:t>®</w:t>
            </w:r>
          </w:p>
        </w:tc>
        <w:tc>
          <w:tcPr>
            <w:tcW w:w="1882" w:type="dxa"/>
          </w:tcPr>
          <w:p>
            <w:pPr>
              <w:pStyle w:val="TableParagraph"/>
              <w:spacing w:before="153"/>
              <w:ind w:left="107"/>
              <w:rPr>
                <w:sz w:val="24"/>
              </w:rPr>
            </w:pPr>
            <w:r>
              <w:rPr>
                <w:sz w:val="24"/>
              </w:rPr>
              <w:t>Meggle/Roquette</w:t>
            </w:r>
          </w:p>
        </w:tc>
        <w:tc>
          <w:tcPr>
            <w:tcW w:w="1537" w:type="dxa"/>
          </w:tcPr>
          <w:p>
            <w:pPr>
              <w:pStyle w:val="TableParagraph"/>
              <w:spacing w:line="270" w:lineRule="atLeast" w:before="138"/>
              <w:ind w:left="110" w:right="151"/>
              <w:rPr>
                <w:sz w:val="24"/>
              </w:rPr>
            </w:pPr>
            <w:r>
              <w:rPr>
                <w:sz w:val="24"/>
              </w:rPr>
              <w:t>α-lactose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monohydrate</w:t>
            </w:r>
          </w:p>
        </w:tc>
        <w:tc>
          <w:tcPr>
            <w:tcW w:w="834" w:type="dxa"/>
          </w:tcPr>
          <w:p>
            <w:pPr>
              <w:pStyle w:val="TableParagraph"/>
              <w:spacing w:before="153"/>
              <w:ind w:left="16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632" w:type="dxa"/>
          </w:tcPr>
          <w:p>
            <w:pPr>
              <w:pStyle w:val="TableParagraph"/>
              <w:spacing w:line="270" w:lineRule="atLeast" w:before="138"/>
              <w:ind w:left="432" w:right="546"/>
              <w:rPr>
                <w:sz w:val="24"/>
              </w:rPr>
            </w:pPr>
            <w:r>
              <w:rPr>
                <w:spacing w:val="-1"/>
                <w:sz w:val="24"/>
              </w:rPr>
              <w:t>Spray-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drying</w:t>
            </w:r>
          </w:p>
        </w:tc>
      </w:tr>
      <w:tr>
        <w:trPr>
          <w:trHeight w:val="278" w:hRule="atLeast"/>
        </w:trPr>
        <w:tc>
          <w:tcPr>
            <w:tcW w:w="2846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82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  <w:tc>
          <w:tcPr>
            <w:tcW w:w="83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9" w:lineRule="exact"/>
              <w:ind w:left="16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32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line="268" w:lineRule="exact"/>
        <w:ind w:left="465"/>
      </w:pPr>
      <w:r>
        <w:rPr/>
        <w:t>(Source:</w:t>
      </w:r>
      <w:r>
        <w:rPr>
          <w:spacing w:val="-2"/>
        </w:rPr>
        <w:t> </w:t>
      </w:r>
      <w:r>
        <w:rPr/>
        <w:t>Camargo,</w:t>
      </w:r>
      <w:r>
        <w:rPr>
          <w:spacing w:val="-2"/>
        </w:rPr>
        <w:t> </w:t>
      </w:r>
      <w:r>
        <w:rPr/>
        <w:t>2011)</w:t>
      </w:r>
    </w:p>
    <w:p>
      <w:pPr>
        <w:spacing w:after="0" w:line="268" w:lineRule="exact"/>
        <w:sectPr>
          <w:pgSz w:w="11910" w:h="16840"/>
          <w:pgMar w:header="0" w:footer="987" w:top="1400" w:bottom="1260" w:left="1520" w:right="160"/>
        </w:sectPr>
      </w:pPr>
    </w:p>
    <w:p>
      <w:pPr>
        <w:pStyle w:val="Heading3"/>
        <w:numPr>
          <w:ilvl w:val="2"/>
          <w:numId w:val="13"/>
        </w:numPr>
        <w:tabs>
          <w:tab w:pos="1185" w:val="left" w:leader="none"/>
          <w:tab w:pos="1186" w:val="left" w:leader="none"/>
        </w:tabs>
        <w:spacing w:line="240" w:lineRule="auto" w:before="76" w:after="0"/>
        <w:ind w:left="1185" w:right="0" w:hanging="721"/>
        <w:jc w:val="left"/>
      </w:pPr>
      <w:bookmarkStart w:name="_TOC_250064" w:id="42"/>
      <w:r>
        <w:rPr/>
        <w:t>Cellulose-based</w:t>
      </w:r>
      <w:r>
        <w:rPr>
          <w:spacing w:val="-2"/>
        </w:rPr>
        <w:t> </w:t>
      </w:r>
      <w:bookmarkEnd w:id="42"/>
      <w:r>
        <w:rPr/>
        <w:t>excipients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4"/>
        <w:jc w:val="both"/>
      </w:pPr>
      <w:r>
        <w:rPr/>
        <w:t>Microcrystalline cellulose (MCC) is a direct compression binder with good lubricity and</w:t>
      </w:r>
      <w:r>
        <w:rPr>
          <w:spacing w:val="-57"/>
        </w:rPr>
        <w:t> </w:t>
      </w:r>
      <w:r>
        <w:rPr/>
        <w:t>low hygroscopicity. When compressed, MCC particles deform plastically due to the</w:t>
      </w:r>
      <w:r>
        <w:rPr>
          <w:spacing w:val="1"/>
        </w:rPr>
        <w:t> </w:t>
      </w:r>
      <w:r>
        <w:rPr/>
        <w:t>presence of slip planes and dislocations on a microscale, and the deformation of the</w:t>
      </w:r>
      <w:r>
        <w:rPr>
          <w:spacing w:val="1"/>
        </w:rPr>
        <w:t> </w:t>
      </w:r>
      <w:r>
        <w:rPr/>
        <w:t>spray-dried agglomerates on a macroscale (Shangraw, 1990). However, MCC loses its</w:t>
      </w:r>
      <w:r>
        <w:rPr>
          <w:spacing w:val="1"/>
        </w:rPr>
        <w:t> </w:t>
      </w:r>
      <w:r>
        <w:rPr/>
        <w:t>compressibility in the presence of water during wet granulation. This phenomenon is</w:t>
      </w:r>
      <w:r>
        <w:rPr>
          <w:spacing w:val="1"/>
        </w:rPr>
        <w:t> </w:t>
      </w:r>
      <w:r>
        <w:rPr/>
        <w:t>known as “quasi-hornification” (Nachaegari and Bansal, 2004). This becomes a real</w:t>
      </w:r>
      <w:r>
        <w:rPr>
          <w:spacing w:val="1"/>
        </w:rPr>
        <w:t> </w:t>
      </w:r>
      <w:r>
        <w:rPr/>
        <w:t>challenge</w:t>
      </w:r>
      <w:r>
        <w:rPr>
          <w:spacing w:val="-2"/>
        </w:rPr>
        <w:t> </w:t>
      </w:r>
      <w:r>
        <w:rPr/>
        <w:t>when MCC occupies</w:t>
      </w:r>
      <w:r>
        <w:rPr>
          <w:spacing w:val="-1"/>
        </w:rPr>
        <w:t> </w:t>
      </w:r>
      <w:r>
        <w:rPr/>
        <w:t>a greater</w:t>
      </w:r>
      <w:r>
        <w:rPr>
          <w:spacing w:val="-2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tablet.</w:t>
      </w:r>
    </w:p>
    <w:p>
      <w:pPr>
        <w:pStyle w:val="BodyText"/>
        <w:spacing w:line="480" w:lineRule="auto" w:before="121"/>
        <w:ind w:left="465" w:right="1255"/>
        <w:jc w:val="both"/>
      </w:pPr>
      <w:r>
        <w:rPr/>
        <w:t>The fluidity of MCC is poor compared to other direct compression fillers because of its</w:t>
      </w:r>
      <w:r>
        <w:rPr>
          <w:spacing w:val="1"/>
        </w:rPr>
        <w:t> </w:t>
      </w:r>
      <w:r>
        <w:rPr/>
        <w:t>relatively small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size.</w:t>
      </w:r>
      <w:r>
        <w:rPr>
          <w:spacing w:val="1"/>
        </w:rPr>
        <w:t> </w:t>
      </w:r>
      <w:r>
        <w:rPr/>
        <w:t>Co-processing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MCC</w:t>
      </w:r>
      <w:r>
        <w:rPr>
          <w:spacing w:val="1"/>
        </w:rPr>
        <w:t> </w:t>
      </w:r>
      <w:r>
        <w:rPr/>
        <w:t>(98</w:t>
      </w:r>
      <w:r>
        <w:rPr>
          <w:spacing w:val="1"/>
        </w:rPr>
        <w:t> </w:t>
      </w:r>
      <w:r>
        <w:rPr/>
        <w:t>%)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fumed</w:t>
      </w:r>
      <w:r>
        <w:rPr>
          <w:spacing w:val="60"/>
        </w:rPr>
        <w:t> </w:t>
      </w:r>
      <w:r>
        <w:rPr/>
        <w:t>colloidal</w:t>
      </w:r>
      <w:r>
        <w:rPr>
          <w:spacing w:val="1"/>
        </w:rPr>
        <w:t> </w:t>
      </w:r>
      <w:r>
        <w:rPr/>
        <w:t>silicon dioxide (2 %) into SMCC (Prosolv</w:t>
      </w:r>
      <w:r>
        <w:rPr>
          <w:vertAlign w:val="superscript"/>
        </w:rPr>
        <w:t>®</w:t>
      </w:r>
      <w:r>
        <w:rPr>
          <w:vertAlign w:val="baseline"/>
        </w:rPr>
        <w:t>) improves the strength of tablet compacts</w:t>
      </w:r>
      <w:r>
        <w:rPr>
          <w:spacing w:val="1"/>
          <w:vertAlign w:val="baseline"/>
        </w:rPr>
        <w:t> </w:t>
      </w:r>
      <w:r>
        <w:rPr>
          <w:vertAlign w:val="baseline"/>
        </w:rPr>
        <w:t>and reduced the sensitivity of MCC to wet granulation (Nachaegari and Bansal, 2004;</w:t>
      </w:r>
      <w:r>
        <w:rPr>
          <w:spacing w:val="1"/>
          <w:vertAlign w:val="baseline"/>
        </w:rPr>
        <w:t> </w:t>
      </w:r>
      <w:r>
        <w:rPr>
          <w:vertAlign w:val="baseline"/>
        </w:rPr>
        <w:t>Sherwood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Becker,</w:t>
      </w:r>
      <w:r>
        <w:rPr>
          <w:spacing w:val="1"/>
          <w:vertAlign w:val="baseline"/>
        </w:rPr>
        <w:t> </w:t>
      </w:r>
      <w:r>
        <w:rPr>
          <w:vertAlign w:val="baseline"/>
        </w:rPr>
        <w:t>1998).</w:t>
      </w:r>
      <w:r>
        <w:rPr>
          <w:spacing w:val="1"/>
          <w:vertAlign w:val="baseline"/>
        </w:rPr>
        <w:t> </w:t>
      </w:r>
      <w:r>
        <w:rPr>
          <w:vertAlign w:val="baseline"/>
        </w:rPr>
        <w:t>SMCC</w:t>
      </w:r>
      <w:r>
        <w:rPr>
          <w:spacing w:val="1"/>
          <w:vertAlign w:val="baseline"/>
        </w:rPr>
        <w:t> </w:t>
      </w:r>
      <w:r>
        <w:rPr>
          <w:vertAlign w:val="baseline"/>
        </w:rPr>
        <w:t>exhibited</w:t>
      </w:r>
      <w:r>
        <w:rPr>
          <w:spacing w:val="1"/>
          <w:vertAlign w:val="baseline"/>
        </w:rPr>
        <w:t> </w:t>
      </w:r>
      <w:r>
        <w:rPr>
          <w:vertAlign w:val="baseline"/>
        </w:rPr>
        <w:t>better</w:t>
      </w:r>
      <w:r>
        <w:rPr>
          <w:spacing w:val="1"/>
          <w:vertAlign w:val="baseline"/>
        </w:rPr>
        <w:t> </w:t>
      </w:r>
      <w:r>
        <w:rPr>
          <w:vertAlign w:val="baseline"/>
        </w:rPr>
        <w:t>flow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MCC</w:t>
      </w:r>
      <w:r>
        <w:rPr>
          <w:spacing w:val="61"/>
          <w:vertAlign w:val="baseline"/>
        </w:rPr>
        <w:t> </w:t>
      </w:r>
      <w:r>
        <w:rPr>
          <w:vertAlign w:val="baseline"/>
        </w:rPr>
        <w:t>alone</w:t>
      </w:r>
      <w:r>
        <w:rPr>
          <w:spacing w:val="-57"/>
          <w:vertAlign w:val="baseline"/>
        </w:rPr>
        <w:t> </w:t>
      </w:r>
      <w:r>
        <w:rPr>
          <w:vertAlign w:val="baseline"/>
        </w:rPr>
        <w:t>(Luukkonen </w:t>
      </w:r>
      <w:r>
        <w:rPr>
          <w:i/>
          <w:vertAlign w:val="baseline"/>
        </w:rPr>
        <w:t>et al.</w:t>
      </w:r>
      <w:r>
        <w:rPr>
          <w:vertAlign w:val="baseline"/>
        </w:rPr>
        <w:t>, 1999). Tobyn </w:t>
      </w:r>
      <w:r>
        <w:rPr>
          <w:i/>
          <w:vertAlign w:val="baseline"/>
        </w:rPr>
        <w:t>et al </w:t>
      </w:r>
      <w:r>
        <w:rPr>
          <w:vertAlign w:val="baseline"/>
        </w:rPr>
        <w:t>(1998) had earlier reported that there was no</w:t>
      </w:r>
      <w:r>
        <w:rPr>
          <w:spacing w:val="1"/>
          <w:vertAlign w:val="baseline"/>
        </w:rPr>
        <w:t> </w:t>
      </w:r>
      <w:r>
        <w:rPr>
          <w:vertAlign w:val="baseline"/>
        </w:rPr>
        <w:t>discernible chemical or polymorphic difference among the SMCC, MCC and dry mixes</w:t>
      </w:r>
      <w:r>
        <w:rPr>
          <w:spacing w:val="1"/>
          <w:vertAlign w:val="baseline"/>
        </w:rPr>
        <w:t> </w:t>
      </w:r>
      <w:r>
        <w:rPr>
          <w:vertAlign w:val="baseline"/>
        </w:rPr>
        <w:t>of MCC and silicon dioxide, indicating that the material produced by silicification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 is chemically and physically very similar to standard MCC. In spite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similarity in structure, analytical techniques such as IR have not been able to provide</w:t>
      </w:r>
      <w:r>
        <w:rPr>
          <w:spacing w:val="1"/>
          <w:vertAlign w:val="baseline"/>
        </w:rPr>
        <w:t> </w:t>
      </w:r>
      <w:r>
        <w:rPr>
          <w:vertAlign w:val="baseline"/>
        </w:rPr>
        <w:t>reasons</w:t>
      </w:r>
      <w:r>
        <w:rPr>
          <w:spacing w:val="16"/>
          <w:vertAlign w:val="baseline"/>
        </w:rPr>
        <w:t> </w:t>
      </w:r>
      <w:r>
        <w:rPr>
          <w:vertAlign w:val="baseline"/>
        </w:rPr>
        <w:t>for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improvement</w:t>
      </w:r>
      <w:r>
        <w:rPr>
          <w:spacing w:val="15"/>
          <w:vertAlign w:val="baseline"/>
        </w:rPr>
        <w:t> </w:t>
      </w:r>
      <w:r>
        <w:rPr>
          <w:vertAlign w:val="baseline"/>
        </w:rPr>
        <w:t>in</w:t>
      </w:r>
      <w:r>
        <w:rPr>
          <w:spacing w:val="16"/>
          <w:vertAlign w:val="baseline"/>
        </w:rPr>
        <w:t> </w:t>
      </w:r>
      <w:r>
        <w:rPr>
          <w:vertAlign w:val="baseline"/>
        </w:rPr>
        <w:t>compressibility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14"/>
          <w:vertAlign w:val="baseline"/>
        </w:rPr>
        <w:t> </w:t>
      </w:r>
      <w:r>
        <w:rPr>
          <w:vertAlign w:val="baseline"/>
        </w:rPr>
        <w:t>SMCC</w:t>
      </w:r>
      <w:r>
        <w:rPr>
          <w:spacing w:val="16"/>
          <w:vertAlign w:val="baseline"/>
        </w:rPr>
        <w:t> </w:t>
      </w:r>
      <w:r>
        <w:rPr>
          <w:vertAlign w:val="baseline"/>
        </w:rPr>
        <w:t>over</w:t>
      </w:r>
      <w:r>
        <w:rPr>
          <w:spacing w:val="14"/>
          <w:vertAlign w:val="baseline"/>
        </w:rPr>
        <w:t> </w:t>
      </w:r>
      <w:r>
        <w:rPr>
          <w:vertAlign w:val="baseline"/>
        </w:rPr>
        <w:t>MCC.</w:t>
      </w:r>
      <w:r>
        <w:rPr>
          <w:spacing w:val="17"/>
          <w:vertAlign w:val="baseline"/>
        </w:rPr>
        <w:t> </w:t>
      </w:r>
      <w:r>
        <w:rPr>
          <w:vertAlign w:val="baseline"/>
        </w:rPr>
        <w:t>Internal</w:t>
      </w:r>
      <w:r>
        <w:rPr>
          <w:spacing w:val="17"/>
          <w:vertAlign w:val="baseline"/>
        </w:rPr>
        <w:t> </w:t>
      </w:r>
      <w:r>
        <w:rPr>
          <w:vertAlign w:val="baseline"/>
        </w:rPr>
        <w:t>bonding</w:t>
      </w:r>
      <w:r>
        <w:rPr>
          <w:spacing w:val="-58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SMCC</w:t>
      </w:r>
      <w:r>
        <w:rPr>
          <w:spacing w:val="1"/>
          <w:vertAlign w:val="baseline"/>
        </w:rPr>
        <w:t> </w:t>
      </w:r>
      <w:r>
        <w:rPr>
          <w:vertAlign w:val="baseline"/>
        </w:rPr>
        <w:t>accounts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compressibility from</w:t>
      </w:r>
      <w:r>
        <w:rPr>
          <w:spacing w:val="1"/>
          <w:vertAlign w:val="baseline"/>
        </w:rPr>
        <w:t> </w:t>
      </w:r>
      <w:r>
        <w:rPr>
          <w:vertAlign w:val="baseline"/>
        </w:rPr>
        <w:t>MCC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wet</w:t>
      </w:r>
      <w:r>
        <w:rPr>
          <w:spacing w:val="1"/>
          <w:vertAlign w:val="baseline"/>
        </w:rPr>
        <w:t> </w:t>
      </w:r>
      <w:r>
        <w:rPr>
          <w:vertAlign w:val="baseline"/>
        </w:rPr>
        <w:t>granulation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(Buckton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al.</w:t>
      </w:r>
      <w:r>
        <w:rPr>
          <w:vertAlign w:val="baseline"/>
        </w:rPr>
        <w:t>, 1999).</w:t>
      </w:r>
    </w:p>
    <w:p>
      <w:pPr>
        <w:pStyle w:val="BodyText"/>
        <w:spacing w:line="480" w:lineRule="auto" w:before="119"/>
        <w:ind w:left="465" w:right="1255"/>
        <w:jc w:val="both"/>
      </w:pPr>
      <w:r>
        <w:rPr/>
        <w:t>A study was carried out by Luukkonen </w:t>
      </w:r>
      <w:r>
        <w:rPr>
          <w:i/>
        </w:rPr>
        <w:t>et al </w:t>
      </w:r>
      <w:r>
        <w:rPr/>
        <w:t>(1999) on the rheological behaviour of the</w:t>
      </w:r>
      <w:r>
        <w:rPr>
          <w:spacing w:val="1"/>
        </w:rPr>
        <w:t> </w:t>
      </w:r>
      <w:r>
        <w:rPr/>
        <w:t>wet powder masses of SMCC (Prosolv</w:t>
      </w:r>
      <w:r>
        <w:rPr>
          <w:vertAlign w:val="superscript"/>
        </w:rPr>
        <w:t>®</w:t>
      </w:r>
      <w:r>
        <w:rPr>
          <w:vertAlign w:val="baseline"/>
        </w:rPr>
        <w:t>), and standard grades of MCC (EMCOCEL 50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Avicel</w:t>
      </w:r>
      <w:r>
        <w:rPr>
          <w:spacing w:val="9"/>
          <w:vertAlign w:val="baseline"/>
        </w:rPr>
        <w:t> </w:t>
      </w:r>
      <w:r>
        <w:rPr>
          <w:vertAlign w:val="baseline"/>
        </w:rPr>
        <w:t>PH</w:t>
      </w:r>
      <w:r>
        <w:rPr>
          <w:spacing w:val="7"/>
          <w:vertAlign w:val="baseline"/>
        </w:rPr>
        <w:t> </w:t>
      </w:r>
      <w:r>
        <w:rPr>
          <w:vertAlign w:val="baseline"/>
        </w:rPr>
        <w:t>101)</w:t>
      </w:r>
      <w:r>
        <w:rPr>
          <w:spacing w:val="8"/>
          <w:vertAlign w:val="baseline"/>
        </w:rPr>
        <w:t> </w:t>
      </w:r>
      <w:r>
        <w:rPr>
          <w:vertAlign w:val="baseline"/>
        </w:rPr>
        <w:t>as</w:t>
      </w:r>
      <w:r>
        <w:rPr>
          <w:spacing w:val="9"/>
          <w:vertAlign w:val="baseline"/>
        </w:rPr>
        <w:t> </w:t>
      </w:r>
      <w:r>
        <w:rPr>
          <w:vertAlign w:val="baseline"/>
        </w:rPr>
        <w:t>a</w:t>
      </w:r>
      <w:r>
        <w:rPr>
          <w:spacing w:val="7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mixing</w:t>
      </w:r>
      <w:r>
        <w:rPr>
          <w:spacing w:val="10"/>
          <w:vertAlign w:val="baseline"/>
        </w:rPr>
        <w:t> </w:t>
      </w:r>
      <w:r>
        <w:rPr>
          <w:vertAlign w:val="baseline"/>
        </w:rPr>
        <w:t>time</w:t>
      </w:r>
      <w:r>
        <w:rPr>
          <w:spacing w:val="6"/>
          <w:vertAlign w:val="baseline"/>
        </w:rPr>
        <w:t> </w:t>
      </w:r>
      <w:r>
        <w:rPr>
          <w:vertAlign w:val="baseline"/>
        </w:rPr>
        <w:t>using</w:t>
      </w:r>
      <w:r>
        <w:rPr>
          <w:spacing w:val="7"/>
          <w:vertAlign w:val="baseline"/>
        </w:rPr>
        <w:t> </w:t>
      </w:r>
      <w:r>
        <w:rPr>
          <w:vertAlign w:val="baseline"/>
        </w:rPr>
        <w:t>a</w:t>
      </w:r>
      <w:r>
        <w:rPr>
          <w:spacing w:val="7"/>
          <w:vertAlign w:val="baseline"/>
        </w:rPr>
        <w:t> </w:t>
      </w:r>
      <w:r>
        <w:rPr>
          <w:vertAlign w:val="baseline"/>
        </w:rPr>
        <w:t>mixer</w:t>
      </w:r>
      <w:r>
        <w:rPr>
          <w:spacing w:val="8"/>
          <w:vertAlign w:val="baseline"/>
        </w:rPr>
        <w:t> </w:t>
      </w:r>
      <w:r>
        <w:rPr>
          <w:vertAlign w:val="baseline"/>
        </w:rPr>
        <w:t>torque</w:t>
      </w:r>
      <w:r>
        <w:rPr>
          <w:spacing w:val="8"/>
          <w:vertAlign w:val="baseline"/>
        </w:rPr>
        <w:t> </w:t>
      </w:r>
      <w:r>
        <w:rPr>
          <w:vertAlign w:val="baseline"/>
        </w:rPr>
        <w:t>rheometer.</w:t>
      </w:r>
      <w:r>
        <w:rPr>
          <w:spacing w:val="7"/>
          <w:vertAlign w:val="baseline"/>
        </w:rPr>
        <w:t> </w:t>
      </w:r>
      <w:r>
        <w:rPr>
          <w:vertAlign w:val="baseline"/>
        </w:rPr>
        <w:t>They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64"/>
        <w:jc w:val="both"/>
      </w:pPr>
      <w:r>
        <w:rPr/>
        <w:t>found out that SMCC had improved flow properties and specific surface area with</w:t>
      </w:r>
      <w:r>
        <w:rPr>
          <w:spacing w:val="1"/>
        </w:rPr>
        <w:t> </w:t>
      </w:r>
      <w:r>
        <w:rPr/>
        <w:t>reduced</w:t>
      </w:r>
      <w:r>
        <w:rPr>
          <w:spacing w:val="-1"/>
        </w:rPr>
        <w:t> </w:t>
      </w:r>
      <w:r>
        <w:rPr/>
        <w:t>swelling capacity</w:t>
      </w:r>
      <w:r>
        <w:rPr>
          <w:spacing w:val="-3"/>
        </w:rPr>
        <w:t> </w:t>
      </w:r>
      <w:r>
        <w:rPr/>
        <w:t>compared to</w:t>
      </w:r>
      <w:r>
        <w:rPr>
          <w:spacing w:val="-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MCC grades.</w:t>
      </w:r>
    </w:p>
    <w:p>
      <w:pPr>
        <w:pStyle w:val="BodyText"/>
        <w:spacing w:line="480" w:lineRule="auto" w:before="120"/>
        <w:ind w:left="465" w:right="1251"/>
        <w:jc w:val="both"/>
      </w:pPr>
      <w:r>
        <w:rPr/>
        <w:t>Rojas and Kumar (2011)reported a small negative effect of colloidal silicon dioxide on</w:t>
      </w:r>
      <w:r>
        <w:rPr>
          <w:spacing w:val="1"/>
        </w:rPr>
        <w:t> </w:t>
      </w:r>
      <w:r>
        <w:rPr/>
        <w:t>the interparticle bonding strength of unlubricated SMCC. The strength of SMCC tablets</w:t>
      </w:r>
      <w:r>
        <w:rPr>
          <w:spacing w:val="1"/>
        </w:rPr>
        <w:t> </w:t>
      </w:r>
      <w:r>
        <w:rPr/>
        <w:t>increased significantly with increasing compression force (Muzikova and Novakova,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SMCC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cohesive,</w:t>
      </w:r>
      <w:r>
        <w:rPr>
          <w:spacing w:val="1"/>
        </w:rPr>
        <w:t> </w:t>
      </w:r>
      <w:r>
        <w:rPr/>
        <w:t>poorly</w:t>
      </w:r>
      <w:r>
        <w:rPr>
          <w:spacing w:val="1"/>
        </w:rPr>
        <w:t> </w:t>
      </w:r>
      <w:r>
        <w:rPr/>
        <w:t>compressible drugs were formulated into directly compressed tablets (Lahdenpaa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2001).</w:t>
      </w:r>
    </w:p>
    <w:p>
      <w:pPr>
        <w:pStyle w:val="BodyText"/>
        <w:spacing w:line="480" w:lineRule="auto" w:before="121"/>
        <w:ind w:left="465" w:right="1252"/>
        <w:jc w:val="both"/>
      </w:pPr>
      <w:r>
        <w:rPr/>
        <w:t>Kachrimanis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(2003)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slight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 increase in the disintegration time of Prosolv</w:t>
      </w:r>
      <w:r>
        <w:rPr>
          <w:vertAlign w:val="superscript"/>
        </w:rPr>
        <w:t>®</w:t>
      </w:r>
      <w:r>
        <w:rPr>
          <w:vertAlign w:val="baseline"/>
        </w:rPr>
        <w:t> compared with Avicel</w:t>
      </w:r>
      <w:r>
        <w:rPr>
          <w:vertAlign w:val="superscript"/>
        </w:rPr>
        <w:t>®</w:t>
      </w:r>
      <w:r>
        <w:rPr>
          <w:vertAlign w:val="baseline"/>
        </w:rPr>
        <w:t>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packing</w:t>
      </w:r>
      <w:r>
        <w:rPr>
          <w:spacing w:val="10"/>
          <w:vertAlign w:val="baseline"/>
        </w:rPr>
        <w:t> </w:t>
      </w:r>
      <w:r>
        <w:rPr>
          <w:vertAlign w:val="baseline"/>
        </w:rPr>
        <w:t>fraction</w:t>
      </w:r>
      <w:r>
        <w:rPr>
          <w:spacing w:val="14"/>
          <w:vertAlign w:val="baseline"/>
        </w:rPr>
        <w:t> </w:t>
      </w:r>
      <w:r>
        <w:rPr>
          <w:vertAlign w:val="baseline"/>
        </w:rPr>
        <w:t>range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0.7</w:t>
      </w:r>
      <w:r>
        <w:rPr>
          <w:spacing w:val="17"/>
          <w:vertAlign w:val="baseline"/>
        </w:rPr>
        <w:t> </w:t>
      </w:r>
      <w:r>
        <w:rPr>
          <w:vertAlign w:val="baseline"/>
        </w:rPr>
        <w:t>–</w:t>
      </w:r>
      <w:r>
        <w:rPr>
          <w:spacing w:val="14"/>
          <w:vertAlign w:val="baseline"/>
        </w:rPr>
        <w:t> </w:t>
      </w:r>
      <w:r>
        <w:rPr>
          <w:vertAlign w:val="baseline"/>
        </w:rPr>
        <w:t>0.9,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range</w:t>
      </w:r>
      <w:r>
        <w:rPr>
          <w:spacing w:val="13"/>
          <w:vertAlign w:val="baseline"/>
        </w:rPr>
        <w:t> </w:t>
      </w:r>
      <w:r>
        <w:rPr>
          <w:vertAlign w:val="baseline"/>
        </w:rPr>
        <w:t>for</w:t>
      </w:r>
      <w:r>
        <w:rPr>
          <w:spacing w:val="14"/>
          <w:vertAlign w:val="baseline"/>
        </w:rPr>
        <w:t> </w:t>
      </w:r>
      <w:r>
        <w:rPr>
          <w:vertAlign w:val="baseline"/>
        </w:rPr>
        <w:t>pharmaceutical</w:t>
      </w:r>
      <w:r>
        <w:rPr>
          <w:spacing w:val="14"/>
          <w:vertAlign w:val="baseline"/>
        </w:rPr>
        <w:t> </w:t>
      </w:r>
      <w:r>
        <w:rPr>
          <w:vertAlign w:val="baseline"/>
        </w:rPr>
        <w:t>tablets.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inclusion</w:t>
      </w:r>
      <w:r>
        <w:rPr>
          <w:spacing w:val="-57"/>
          <w:vertAlign w:val="baseline"/>
        </w:rPr>
        <w:t> </w:t>
      </w:r>
      <w:r>
        <w:rPr>
          <w:vertAlign w:val="baseline"/>
        </w:rPr>
        <w:t>of silicon dioxide acted as a barrier for the moisture sorbed only for relative humidity up</w:t>
      </w:r>
      <w:r>
        <w:rPr>
          <w:spacing w:val="-57"/>
          <w:vertAlign w:val="baseline"/>
        </w:rPr>
        <w:t> </w:t>
      </w:r>
      <w:r>
        <w:rPr>
          <w:vertAlign w:val="baseline"/>
        </w:rPr>
        <w:t>to 52 %. At higher relative humidity (72 %), the incorporated silicon dioxide did not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 the particle deformation and resulted in more extended disintegration time</w:t>
      </w:r>
      <w:r>
        <w:rPr>
          <w:spacing w:val="1"/>
          <w:vertAlign w:val="baseline"/>
        </w:rPr>
        <w:t> </w:t>
      </w:r>
      <w:r>
        <w:rPr>
          <w:vertAlign w:val="baseline"/>
        </w:rPr>
        <w:t>owing</w:t>
      </w:r>
      <w:r>
        <w:rPr>
          <w:spacing w:val="-4"/>
          <w:vertAlign w:val="baseline"/>
        </w:rPr>
        <w:t> </w:t>
      </w:r>
      <w:r>
        <w:rPr>
          <w:vertAlign w:val="baseline"/>
        </w:rPr>
        <w:t>to its probable saturation.</w:t>
      </w:r>
    </w:p>
    <w:p>
      <w:pPr>
        <w:pStyle w:val="BodyText"/>
        <w:spacing w:line="480" w:lineRule="auto" w:before="121"/>
        <w:ind w:left="465" w:right="1251"/>
        <w:jc w:val="both"/>
      </w:pPr>
      <w:r>
        <w:rPr/>
        <w:t>Avicel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is a co-processed excipient</w:t>
      </w:r>
      <w:r>
        <w:rPr>
          <w:spacing w:val="1"/>
        </w:rPr>
        <w:t> </w:t>
      </w:r>
      <w:r>
        <w:rPr/>
        <w:t>of MCC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guar gum,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used in</w:t>
      </w:r>
      <w:r>
        <w:rPr>
          <w:spacing w:val="1"/>
        </w:rPr>
        <w:t> </w:t>
      </w:r>
      <w:r>
        <w:rPr/>
        <w:t>chewable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(Rowe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Avicel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I5</w:t>
      </w:r>
      <w:r>
        <w:rPr>
          <w:spacing w:val="1"/>
        </w:rPr>
        <w:t> </w:t>
      </w:r>
      <w:r>
        <w:rPr/>
        <w:t>offers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palatability,</w:t>
      </w:r>
      <w:r>
        <w:rPr>
          <w:spacing w:val="1"/>
        </w:rPr>
        <w:t> </w:t>
      </w:r>
      <w:r>
        <w:rPr/>
        <w:t>creamier mouth feel with less grittiness and reduced tooth packing (Rowe </w:t>
      </w:r>
      <w:r>
        <w:rPr>
          <w:i/>
        </w:rPr>
        <w:t>et al.</w:t>
      </w:r>
      <w:r>
        <w:rPr/>
        <w:t>, 2005).</w:t>
      </w:r>
      <w:r>
        <w:rPr>
          <w:spacing w:val="1"/>
        </w:rPr>
        <w:t> </w:t>
      </w:r>
      <w:r>
        <w:rPr/>
        <w:t>When MCC was co-processed with mannitol, there was an improved compactibility</w:t>
      </w:r>
      <w:r>
        <w:rPr>
          <w:spacing w:val="1"/>
        </w:rPr>
        <w:t> </w:t>
      </w:r>
      <w:r>
        <w:rPr/>
        <w:t>profile,</w:t>
      </w:r>
      <w:r>
        <w:rPr>
          <w:spacing w:val="-1"/>
        </w:rPr>
        <w:t> </w:t>
      </w:r>
      <w:r>
        <w:rPr/>
        <w:t>lubricant</w:t>
      </w:r>
      <w:r>
        <w:rPr>
          <w:spacing w:val="-1"/>
        </w:rPr>
        <w:t> </w:t>
      </w:r>
      <w:r>
        <w:rPr/>
        <w:t>sensitivity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ejection</w:t>
      </w:r>
      <w:r>
        <w:rPr>
          <w:spacing w:val="-1"/>
        </w:rPr>
        <w:t> </w:t>
      </w:r>
      <w:r>
        <w:rPr/>
        <w:t>profile</w:t>
      </w:r>
      <w:r>
        <w:rPr>
          <w:spacing w:val="-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MCC (Li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2008).</w:t>
      </w:r>
    </w:p>
    <w:p>
      <w:pPr>
        <w:pStyle w:val="BodyText"/>
        <w:spacing w:line="480" w:lineRule="auto" w:before="118"/>
        <w:ind w:left="465" w:right="1254"/>
        <w:jc w:val="both"/>
      </w:pPr>
      <w:r>
        <w:rPr/>
        <w:t>An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lubricant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combination of MCC and calcium carbonate ranging from a weight ratio of 75:25 to</w:t>
      </w:r>
      <w:r>
        <w:rPr>
          <w:spacing w:val="1"/>
        </w:rPr>
        <w:t> </w:t>
      </w:r>
      <w:r>
        <w:rPr/>
        <w:t>35:65. The compression profile remained relatively unchanged when various lubricants</w:t>
      </w:r>
      <w:r>
        <w:rPr>
          <w:spacing w:val="1"/>
        </w:rPr>
        <w:t> </w:t>
      </w:r>
      <w:r>
        <w:rPr/>
        <w:t>were</w:t>
      </w:r>
      <w:r>
        <w:rPr>
          <w:spacing w:val="72"/>
        </w:rPr>
        <w:t> </w:t>
      </w:r>
      <w:r>
        <w:rPr/>
        <w:t>employed,</w:t>
      </w:r>
      <w:r>
        <w:rPr>
          <w:spacing w:val="73"/>
        </w:rPr>
        <w:t> </w:t>
      </w:r>
      <w:r>
        <w:rPr/>
        <w:t>irrespective</w:t>
      </w:r>
      <w:r>
        <w:rPr>
          <w:spacing w:val="72"/>
        </w:rPr>
        <w:t> </w:t>
      </w:r>
      <w:r>
        <w:rPr/>
        <w:t>of</w:t>
      </w:r>
      <w:r>
        <w:rPr>
          <w:spacing w:val="72"/>
        </w:rPr>
        <w:t> </w:t>
      </w:r>
      <w:r>
        <w:rPr/>
        <w:t>the</w:t>
      </w:r>
      <w:r>
        <w:rPr>
          <w:spacing w:val="72"/>
        </w:rPr>
        <w:t> </w:t>
      </w:r>
      <w:r>
        <w:rPr/>
        <w:t>lubricant</w:t>
      </w:r>
      <w:r>
        <w:rPr>
          <w:spacing w:val="76"/>
        </w:rPr>
        <w:t> </w:t>
      </w:r>
      <w:r>
        <w:rPr/>
        <w:t>concentration</w:t>
      </w:r>
      <w:r>
        <w:rPr>
          <w:spacing w:val="73"/>
        </w:rPr>
        <w:t> </w:t>
      </w:r>
      <w:r>
        <w:rPr/>
        <w:t>(Mehara</w:t>
      </w:r>
      <w:r>
        <w:rPr>
          <w:spacing w:val="80"/>
        </w:rPr>
        <w:t> </w:t>
      </w:r>
      <w:r>
        <w:rPr>
          <w:i/>
        </w:rPr>
        <w:t>et</w:t>
      </w:r>
      <w:r>
        <w:rPr>
          <w:i/>
          <w:spacing w:val="72"/>
        </w:rPr>
        <w:t> </w:t>
      </w:r>
      <w:r>
        <w:rPr>
          <w:i/>
        </w:rPr>
        <w:t>al.</w:t>
      </w:r>
      <w:r>
        <w:rPr/>
        <w:t>,</w:t>
      </w:r>
      <w:r>
        <w:rPr>
          <w:spacing w:val="73"/>
        </w:rPr>
        <w:t> </w:t>
      </w:r>
      <w:r>
        <w:rPr/>
        <w:t>1988).</w:t>
      </w:r>
    </w:p>
    <w:p>
      <w:pPr>
        <w:pStyle w:val="BodyText"/>
        <w:spacing w:before="1"/>
        <w:ind w:left="465"/>
        <w:jc w:val="both"/>
      </w:pPr>
      <w:r>
        <w:rPr/>
        <w:t>Limwong</w:t>
      </w:r>
      <w:r>
        <w:rPr>
          <w:spacing w:val="22"/>
        </w:rPr>
        <w:t> </w:t>
      </w:r>
      <w:r>
        <w:rPr>
          <w:i/>
        </w:rPr>
        <w:t>et</w:t>
      </w:r>
      <w:r>
        <w:rPr>
          <w:i/>
          <w:spacing w:val="23"/>
        </w:rPr>
        <w:t> </w:t>
      </w:r>
      <w:r>
        <w:rPr>
          <w:i/>
        </w:rPr>
        <w:t>al</w:t>
      </w:r>
      <w:r>
        <w:rPr/>
        <w:t>(2004)</w:t>
      </w:r>
      <w:r>
        <w:rPr>
          <w:spacing w:val="23"/>
        </w:rPr>
        <w:t> </w:t>
      </w:r>
      <w:r>
        <w:rPr/>
        <w:t>developed</w:t>
      </w:r>
      <w:r>
        <w:rPr>
          <w:spacing w:val="23"/>
        </w:rPr>
        <w:t> </w:t>
      </w:r>
      <w:r>
        <w:rPr/>
        <w:t>composite</w:t>
      </w:r>
      <w:r>
        <w:rPr>
          <w:spacing w:val="22"/>
        </w:rPr>
        <w:t> </w:t>
      </w:r>
      <w:r>
        <w:rPr/>
        <w:t>particles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rice</w:t>
      </w:r>
      <w:r>
        <w:rPr>
          <w:spacing w:val="22"/>
        </w:rPr>
        <w:t> </w:t>
      </w:r>
      <w:r>
        <w:rPr/>
        <w:t>starch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MCC</w:t>
      </w:r>
      <w:r>
        <w:rPr>
          <w:spacing w:val="24"/>
        </w:rPr>
        <w:t> </w:t>
      </w:r>
      <w:r>
        <w:rPr/>
        <w:t>by</w:t>
      </w:r>
      <w:r>
        <w:rPr>
          <w:spacing w:val="18"/>
        </w:rPr>
        <w:t> </w:t>
      </w:r>
      <w:r>
        <w:rPr/>
        <w:t>spray</w:t>
      </w:r>
    </w:p>
    <w:p>
      <w:pPr>
        <w:spacing w:after="0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61"/>
        <w:jc w:val="both"/>
      </w:pPr>
      <w:r>
        <w:rPr/>
        <w:t>drying technique and investigated its direct compression functionality. These composite</w:t>
      </w:r>
      <w:r>
        <w:rPr>
          <w:spacing w:val="1"/>
        </w:rPr>
        <w:t> </w:t>
      </w:r>
      <w:r>
        <w:rPr/>
        <w:t>particles demonstrated good compressibility and flowability while its tablets had low</w:t>
      </w:r>
      <w:r>
        <w:rPr>
          <w:spacing w:val="1"/>
        </w:rPr>
        <w:t> </w:t>
      </w:r>
      <w:r>
        <w:rPr/>
        <w:t>friability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good self-disintegrating</w:t>
      </w:r>
      <w:r>
        <w:rPr>
          <w:spacing w:val="-3"/>
        </w:rPr>
        <w:t> </w:t>
      </w:r>
      <w:r>
        <w:rPr/>
        <w:t>property.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1"/>
          <w:numId w:val="13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bookmarkStart w:name="_TOC_250063" w:id="43"/>
      <w:r>
        <w:rPr/>
        <w:t>Studies</w:t>
      </w:r>
      <w:r>
        <w:rPr>
          <w:spacing w:val="-2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on other</w:t>
      </w:r>
      <w:r>
        <w:rPr>
          <w:spacing w:val="-2"/>
        </w:rPr>
        <w:t> </w:t>
      </w:r>
      <w:r>
        <w:rPr/>
        <w:t>investigational</w:t>
      </w:r>
      <w:r>
        <w:rPr>
          <w:spacing w:val="-1"/>
        </w:rPr>
        <w:t> </w:t>
      </w:r>
      <w:r>
        <w:rPr/>
        <w:t>co-processed</w:t>
      </w:r>
      <w:r>
        <w:rPr>
          <w:spacing w:val="-1"/>
        </w:rPr>
        <w:t> </w:t>
      </w:r>
      <w:bookmarkEnd w:id="43"/>
      <w:r>
        <w:rPr/>
        <w:t>excipients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2"/>
        <w:jc w:val="both"/>
      </w:pPr>
      <w:r>
        <w:rPr/>
        <w:t>Other excipients with improved functionality have been developed via co-processing</w:t>
      </w:r>
      <w:r>
        <w:rPr>
          <w:spacing w:val="1"/>
        </w:rPr>
        <w:t> </w:t>
      </w:r>
      <w:r>
        <w:rPr/>
        <w:t>which have not been commercialized. Many researchers home and abroad have invested</w:t>
      </w:r>
      <w:r>
        <w:rPr>
          <w:spacing w:val="-57"/>
        </w:rPr>
        <w:t> </w:t>
      </w:r>
      <w:r>
        <w:rPr/>
        <w:t>much effort in exploring the potentials of co-processing. Some of their findings are</w:t>
      </w:r>
      <w:r>
        <w:rPr>
          <w:spacing w:val="1"/>
        </w:rPr>
        <w:t> </w:t>
      </w:r>
      <w:r>
        <w:rPr/>
        <w:t>documented</w:t>
      </w:r>
      <w:r>
        <w:rPr>
          <w:spacing w:val="-1"/>
        </w:rPr>
        <w:t> </w:t>
      </w:r>
      <w:r>
        <w:rPr/>
        <w:t>below.</w:t>
      </w:r>
    </w:p>
    <w:p>
      <w:pPr>
        <w:pStyle w:val="BodyText"/>
        <w:spacing w:line="480" w:lineRule="auto" w:before="121"/>
        <w:ind w:left="465" w:right="1255"/>
        <w:jc w:val="both"/>
      </w:pPr>
      <w:r>
        <w:rPr/>
        <w:t>Adeagbo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Alebiowu</w:t>
      </w:r>
      <w:r>
        <w:rPr>
          <w:spacing w:val="1"/>
        </w:rPr>
        <w:t> </w:t>
      </w:r>
      <w:r>
        <w:rPr/>
        <w:t>(2008) assessed</w:t>
      </w:r>
      <w:r>
        <w:rPr>
          <w:spacing w:val="1"/>
        </w:rPr>
        <w:t> </w:t>
      </w:r>
      <w:r>
        <w:rPr/>
        <w:t>the lubricant potential</w:t>
      </w:r>
      <w:r>
        <w:rPr>
          <w:spacing w:val="1"/>
        </w:rPr>
        <w:t> </w:t>
      </w:r>
      <w:r>
        <w:rPr/>
        <w:t>of cocoa butter co-</w:t>
      </w:r>
      <w:r>
        <w:rPr>
          <w:spacing w:val="1"/>
        </w:rPr>
        <w:t> </w:t>
      </w:r>
      <w:r>
        <w:rPr/>
        <w:t>processed with magnesium stearate plus talc in comparison with magnesium stearate</w:t>
      </w:r>
      <w:r>
        <w:rPr>
          <w:spacing w:val="1"/>
        </w:rPr>
        <w:t> </w:t>
      </w:r>
      <w:r>
        <w:rPr/>
        <w:t>plus talc using flow and compressional</w:t>
      </w:r>
      <w:r>
        <w:rPr>
          <w:spacing w:val="1"/>
        </w:rPr>
        <w:t> </w:t>
      </w:r>
      <w:r>
        <w:rPr/>
        <w:t>characteristics of paracetamol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mechanical properties of their tablets. The authors concluded that cocoa butter was an</w:t>
      </w:r>
      <w:r>
        <w:rPr>
          <w:spacing w:val="1"/>
        </w:rPr>
        <w:t> </w:t>
      </w:r>
      <w:r>
        <w:rPr/>
        <w:t>effective and viable lubricant that can be co-processed with magnesium stearate/talc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lubrication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reducing</w:t>
      </w:r>
      <w:r>
        <w:rPr>
          <w:spacing w:val="1"/>
        </w:rPr>
        <w:t> </w:t>
      </w:r>
      <w:r>
        <w:rPr/>
        <w:t>lamination and capping tendencies in formulations that are susceptible to these defects.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consolidation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co-</w:t>
      </w:r>
      <w:r>
        <w:rPr>
          <w:spacing w:val="-57"/>
        </w:rPr>
        <w:t> </w:t>
      </w:r>
      <w:r>
        <w:rPr/>
        <w:t>processing neem gum with either rice starch or lactose in varying proportions in a study</w:t>
      </w:r>
      <w:r>
        <w:rPr>
          <w:spacing w:val="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 by</w:t>
      </w:r>
      <w:r>
        <w:rPr>
          <w:spacing w:val="-3"/>
        </w:rPr>
        <w:t> </w:t>
      </w:r>
      <w:r>
        <w:rPr/>
        <w:t>Ogunjimi and Alebiowu (2013).</w:t>
      </w:r>
    </w:p>
    <w:p>
      <w:pPr>
        <w:pStyle w:val="BodyText"/>
        <w:spacing w:line="480" w:lineRule="auto" w:before="119"/>
        <w:ind w:left="465" w:right="1253"/>
        <w:jc w:val="both"/>
      </w:pPr>
      <w:r>
        <w:rPr/>
        <w:t>Gohel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(2007a)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crospovidone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glycolate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co-</w:t>
      </w:r>
      <w:r>
        <w:rPr>
          <w:spacing w:val="-57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superdisintegrant,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When this excipient was used in the formulation of cefixime trihydrate and ibuprofen</w:t>
      </w:r>
      <w:r>
        <w:rPr>
          <w:spacing w:val="1"/>
        </w:rPr>
        <w:t> </w:t>
      </w:r>
      <w:r>
        <w:rPr/>
        <w:t>tablets, a quick disintegration and improved dissolution rate were observed. Similarly,</w:t>
      </w:r>
      <w:r>
        <w:rPr>
          <w:spacing w:val="1"/>
        </w:rPr>
        <w:t> </w:t>
      </w:r>
      <w:r>
        <w:rPr/>
        <w:t>the</w:t>
      </w:r>
      <w:r>
        <w:rPr>
          <w:spacing w:val="52"/>
        </w:rPr>
        <w:t> </w:t>
      </w:r>
      <w:r>
        <w:rPr/>
        <w:t>same</w:t>
      </w:r>
      <w:r>
        <w:rPr>
          <w:spacing w:val="52"/>
        </w:rPr>
        <w:t> </w:t>
      </w:r>
      <w:r>
        <w:rPr/>
        <w:t>authors</w:t>
      </w:r>
      <w:r>
        <w:rPr>
          <w:spacing w:val="52"/>
        </w:rPr>
        <w:t> </w:t>
      </w:r>
      <w:r>
        <w:rPr/>
        <w:t>have</w:t>
      </w:r>
      <w:r>
        <w:rPr>
          <w:spacing w:val="52"/>
        </w:rPr>
        <w:t> </w:t>
      </w:r>
      <w:r>
        <w:rPr/>
        <w:t>shown</w:t>
      </w:r>
      <w:r>
        <w:rPr>
          <w:spacing w:val="53"/>
        </w:rPr>
        <w:t> </w:t>
      </w:r>
      <w:r>
        <w:rPr/>
        <w:t>that</w:t>
      </w:r>
      <w:r>
        <w:rPr>
          <w:spacing w:val="53"/>
        </w:rPr>
        <w:t> </w:t>
      </w:r>
      <w:r>
        <w:rPr/>
        <w:t>co-processed</w:t>
      </w:r>
      <w:r>
        <w:rPr>
          <w:spacing w:val="52"/>
        </w:rPr>
        <w:t> </w:t>
      </w:r>
      <w:r>
        <w:rPr/>
        <w:t>superdisintegrant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croscarmellose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60"/>
        <w:jc w:val="both"/>
      </w:pPr>
      <w:r>
        <w:rPr/>
        <w:t>sodium and crospovidone has better flow, crushing strength, disintegration time and</w:t>
      </w:r>
      <w:r>
        <w:rPr>
          <w:spacing w:val="1"/>
        </w:rPr>
        <w:t> </w:t>
      </w:r>
      <w:r>
        <w:rPr/>
        <w:t>drug</w:t>
      </w:r>
      <w:r>
        <w:rPr>
          <w:spacing w:val="-4"/>
        </w:rPr>
        <w:t> </w:t>
      </w:r>
      <w:r>
        <w:rPr/>
        <w:t>dissolution when compared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physical blend (Gohel</w:t>
      </w:r>
      <w:r>
        <w:rPr>
          <w:spacing w:val="2"/>
        </w:rPr>
        <w:t> </w:t>
      </w:r>
      <w:r>
        <w:rPr>
          <w:i/>
        </w:rPr>
        <w:t>et al.</w:t>
      </w:r>
      <w:r>
        <w:rPr/>
        <w:t>, 2007b).</w:t>
      </w:r>
    </w:p>
    <w:p>
      <w:pPr>
        <w:pStyle w:val="BodyText"/>
        <w:spacing w:line="480" w:lineRule="auto" w:before="120"/>
        <w:ind w:left="465" w:right="1251"/>
        <w:jc w:val="both"/>
      </w:pPr>
      <w:r>
        <w:rPr/>
        <w:t>Physically modified</w:t>
      </w:r>
      <w:r>
        <w:rPr>
          <w:spacing w:val="1"/>
        </w:rPr>
        <w:t> </w:t>
      </w:r>
      <w:r>
        <w:rPr/>
        <w:t>chitosan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silicon</w:t>
      </w:r>
      <w:r>
        <w:rPr>
          <w:spacing w:val="1"/>
        </w:rPr>
        <w:t> </w:t>
      </w:r>
      <w:r>
        <w:rPr/>
        <w:t>dioxide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yield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novel super disintegrating agent in a study carried out by El-Barghouthi</w:t>
      </w:r>
      <w:r>
        <w:rPr>
          <w:spacing w:val="60"/>
        </w:rPr>
        <w:t> </w:t>
      </w:r>
      <w:r>
        <w:rPr>
          <w:i/>
        </w:rPr>
        <w:t>et al </w:t>
      </w:r>
      <w:r>
        <w:rPr/>
        <w:t>(2008).</w:t>
      </w:r>
      <w:r>
        <w:rPr>
          <w:spacing w:val="1"/>
        </w:rPr>
        <w:t> </w:t>
      </w:r>
      <w:r>
        <w:rPr/>
        <w:t>The intimate physical association between chitosan and silica created</w:t>
      </w:r>
      <w:r>
        <w:rPr>
          <w:spacing w:val="1"/>
        </w:rPr>
        <w:t> </w:t>
      </w:r>
      <w:r>
        <w:rPr/>
        <w:t>an insoluble,</w:t>
      </w:r>
      <w:r>
        <w:rPr>
          <w:spacing w:val="1"/>
        </w:rPr>
        <w:t> </w:t>
      </w:r>
      <w:r>
        <w:rPr/>
        <w:t>hydrophilic, highly absorbent material responsible for the superior performance in water</w:t>
      </w:r>
      <w:r>
        <w:rPr>
          <w:spacing w:val="-57"/>
        </w:rPr>
        <w:t> </w:t>
      </w:r>
      <w:r>
        <w:rPr/>
        <w:t>uptake,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saturation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gelling</w:t>
      </w:r>
      <w:r>
        <w:rPr>
          <w:spacing w:val="1"/>
        </w:rPr>
        <w:t> </w:t>
      </w:r>
      <w:r>
        <w:rPr/>
        <w:t>formation,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compactability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superdisintegrant.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functionality in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disintegrant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in tablet formulation.</w:t>
      </w:r>
    </w:p>
    <w:p>
      <w:pPr>
        <w:pStyle w:val="BodyText"/>
        <w:spacing w:line="480" w:lineRule="auto" w:before="121"/>
        <w:ind w:left="465" w:right="1251"/>
        <w:jc w:val="both"/>
      </w:pPr>
      <w:r>
        <w:rPr/>
        <w:t>A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commercially</w:t>
      </w:r>
      <w:r>
        <w:rPr>
          <w:spacing w:val="1"/>
        </w:rPr>
        <w:t> </w:t>
      </w:r>
      <w:r>
        <w:rPr/>
        <w:t>available</w:t>
      </w:r>
      <w:r>
        <w:rPr>
          <w:spacing w:val="60"/>
        </w:rPr>
        <w:t> </w:t>
      </w:r>
      <w:r>
        <w:rPr/>
        <w:t>crystalline</w:t>
      </w:r>
      <w:r>
        <w:rPr>
          <w:spacing w:val="1"/>
        </w:rPr>
        <w:t> </w:t>
      </w:r>
      <w:r>
        <w:rPr/>
        <w:t>mannitol and α-chitin using direct compression as well as spray-drying, wet, and dry</w:t>
      </w:r>
      <w:r>
        <w:rPr>
          <w:spacing w:val="1"/>
        </w:rPr>
        <w:t> </w:t>
      </w:r>
      <w:r>
        <w:rPr/>
        <w:t>granulation (Daraghmeh </w:t>
      </w:r>
      <w:r>
        <w:rPr>
          <w:i/>
        </w:rPr>
        <w:t>et al.</w:t>
      </w:r>
      <w:r>
        <w:rPr/>
        <w:t>, 2010). α-chitin processed with mannitol formed non-</w:t>
      </w:r>
      <w:r>
        <w:rPr>
          <w:spacing w:val="1"/>
        </w:rPr>
        <w:t> </w:t>
      </w:r>
      <w:r>
        <w:rPr/>
        <w:t>hygroscopic,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compactable,</w:t>
      </w:r>
      <w:r>
        <w:rPr>
          <w:spacing w:val="1"/>
        </w:rPr>
        <w:t> </w:t>
      </w:r>
      <w:r>
        <w:rPr/>
        <w:t>disintegrable</w:t>
      </w:r>
      <w:r>
        <w:rPr>
          <w:spacing w:val="1"/>
        </w:rPr>
        <w:t> </w:t>
      </w:r>
      <w:r>
        <w:rPr/>
        <w:t>compacts.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properties of the excipient were obtained using a co-processed mannitol-chitin (2:8,</w:t>
      </w:r>
      <w:r>
        <w:rPr>
          <w:vertAlign w:val="superscript"/>
        </w:rPr>
        <w:t>w</w:t>
      </w:r>
      <w:r>
        <w:rPr>
          <w:vertAlign w:val="baseline"/>
        </w:rPr>
        <w:t>/</w:t>
      </w:r>
      <w:r>
        <w:rPr>
          <w:vertAlign w:val="subscript"/>
        </w:rPr>
        <w:t>w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mixture prepared by wet granulation. This co-processed excipient was</w:t>
      </w:r>
      <w:r>
        <w:rPr>
          <w:spacing w:val="60"/>
          <w:vertAlign w:val="baseline"/>
        </w:rPr>
        <w:t> </w:t>
      </w:r>
      <w:r>
        <w:rPr>
          <w:vertAlign w:val="baseline"/>
        </w:rPr>
        <w:t>found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useful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poorly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compressible,</w:t>
      </w:r>
      <w:r>
        <w:rPr>
          <w:spacing w:val="1"/>
          <w:vertAlign w:val="baseline"/>
        </w:rPr>
        <w:t> </w:t>
      </w:r>
      <w:r>
        <w:rPr>
          <w:vertAlign w:val="baseline"/>
        </w:rPr>
        <w:t>high-strength,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vertAlign w:val="baseline"/>
        </w:rPr>
        <w:t>low-strength</w:t>
      </w:r>
      <w:r>
        <w:rPr>
          <w:spacing w:val="1"/>
          <w:vertAlign w:val="baseline"/>
        </w:rPr>
        <w:t> </w:t>
      </w:r>
      <w:r>
        <w:rPr>
          <w:vertAlign w:val="baseline"/>
        </w:rPr>
        <w:t>active</w:t>
      </w:r>
      <w:r>
        <w:rPr>
          <w:spacing w:val="-2"/>
          <w:vertAlign w:val="baseline"/>
        </w:rPr>
        <w:t> </w:t>
      </w:r>
      <w:r>
        <w:rPr>
          <w:vertAlign w:val="baseline"/>
        </w:rPr>
        <w:t>pharmaceutical ingredients.</w:t>
      </w:r>
    </w:p>
    <w:p>
      <w:pPr>
        <w:pStyle w:val="BodyText"/>
        <w:spacing w:line="480" w:lineRule="auto" w:before="119"/>
        <w:ind w:left="465" w:right="1255"/>
        <w:jc w:val="both"/>
      </w:pPr>
      <w:r>
        <w:rPr/>
        <w:t>Novel chitin metal silicate (CMS) co-precipitate was developed by Hamed</w:t>
      </w:r>
      <w:r>
        <w:rPr>
          <w:i/>
        </w:rPr>
        <w:t>et al </w:t>
      </w:r>
      <w:r>
        <w:rPr/>
        <w:t>(2010)</w:t>
      </w:r>
      <w:r>
        <w:rPr>
          <w:spacing w:val="1"/>
        </w:rPr>
        <w:t> </w:t>
      </w:r>
      <w:r>
        <w:rPr/>
        <w:t>and employed</w:t>
      </w:r>
      <w:r>
        <w:rPr>
          <w:spacing w:val="1"/>
        </w:rPr>
        <w:t> </w:t>
      </w:r>
      <w:r>
        <w:rPr/>
        <w:t>as a single multifunctional excipient in the formulation of</w:t>
      </w:r>
      <w:r>
        <w:rPr>
          <w:spacing w:val="60"/>
        </w:rPr>
        <w:t> </w:t>
      </w:r>
      <w:r>
        <w:rPr/>
        <w:t>tablets either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granulation.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official</w:t>
      </w:r>
      <w:r>
        <w:rPr>
          <w:spacing w:val="1"/>
        </w:rPr>
        <w:t> </w:t>
      </w:r>
      <w:r>
        <w:rPr/>
        <w:t>requirements for acceptable tablets</w:t>
      </w:r>
      <w:r>
        <w:rPr>
          <w:spacing w:val="1"/>
        </w:rPr>
        <w:t> </w:t>
      </w:r>
      <w:r>
        <w:rPr/>
        <w:t>and confirmed the potential of this excipient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filler,</w:t>
      </w:r>
      <w:r>
        <w:rPr>
          <w:spacing w:val="1"/>
        </w:rPr>
        <w:t> </w:t>
      </w:r>
      <w:r>
        <w:rPr/>
        <w:t>binder,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superdisintegrant,</w:t>
      </w:r>
      <w:r>
        <w:rPr>
          <w:spacing w:val="1"/>
        </w:rPr>
        <w:t> </w:t>
      </w:r>
      <w:r>
        <w:rPr/>
        <w:t>all-in-one,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as well as</w:t>
      </w:r>
      <w:r>
        <w:rPr>
          <w:spacing w:val="2"/>
        </w:rPr>
        <w:t> </w:t>
      </w:r>
      <w:r>
        <w:rPr/>
        <w:t>wet granulation methods.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6"/>
        <w:jc w:val="both"/>
      </w:pPr>
      <w:r>
        <w:rPr/>
        <w:t>Al-Akayleh </w:t>
      </w:r>
      <w:r>
        <w:rPr>
          <w:i/>
        </w:rPr>
        <w:t>et al </w:t>
      </w:r>
      <w:r>
        <w:rPr/>
        <w:t>(2013) have equally developed a novel, multifunctional co-processed</w:t>
      </w:r>
      <w:r>
        <w:rPr>
          <w:spacing w:val="1"/>
        </w:rPr>
        <w:t> </w:t>
      </w:r>
      <w:r>
        <w:rPr/>
        <w:t>excipient via roller compaction of α-lactose monohydrate and magnesium silicate. The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deformation</w:t>
      </w:r>
      <w:r>
        <w:rPr>
          <w:spacing w:val="61"/>
        </w:rPr>
        <w:t> </w:t>
      </w:r>
      <w:r>
        <w:rPr/>
        <w:t>upon</w:t>
      </w:r>
      <w:r>
        <w:rPr>
          <w:spacing w:val="1"/>
        </w:rPr>
        <w:t> </w:t>
      </w:r>
      <w:r>
        <w:rPr/>
        <w:t>compression, good flowability and crushing strength and a shorter disintegration time.</w:t>
      </w:r>
      <w:r>
        <w:rPr>
          <w:spacing w:val="1"/>
        </w:rPr>
        <w:t> </w:t>
      </w:r>
      <w:r>
        <w:rPr/>
        <w:t>The suitability of this excipient as a single multifunctional excipient was confirmed by</w:t>
      </w:r>
      <w:r>
        <w:rPr>
          <w:spacing w:val="1"/>
        </w:rPr>
        <w:t> </w:t>
      </w:r>
      <w:r>
        <w:rPr/>
        <w:t>formulating tablets of Mebeverine HCl and Losartan Potassium. The tablets produced</w:t>
      </w:r>
      <w:r>
        <w:rPr>
          <w:spacing w:val="1"/>
        </w:rPr>
        <w:t> </w:t>
      </w:r>
      <w:r>
        <w:rPr/>
        <w:t>were characterized by rapid disintegration and dissolution profiles in comparison to the</w:t>
      </w:r>
      <w:r>
        <w:rPr>
          <w:spacing w:val="1"/>
        </w:rPr>
        <w:t> </w:t>
      </w:r>
      <w:r>
        <w:rPr/>
        <w:t>marketed</w:t>
      </w:r>
      <w:r>
        <w:rPr>
          <w:spacing w:val="-1"/>
        </w:rPr>
        <w:t> </w:t>
      </w:r>
      <w:r>
        <w:rPr/>
        <w:t>drugs.</w:t>
      </w:r>
    </w:p>
    <w:p>
      <w:pPr>
        <w:pStyle w:val="BodyText"/>
        <w:spacing w:line="480" w:lineRule="auto" w:before="121"/>
        <w:ind w:left="465" w:right="1254"/>
        <w:jc w:val="both"/>
      </w:pPr>
      <w:r>
        <w:rPr/>
        <w:t>Orally disintegrating tablets were prepared by a co-processed mixture of micronized</w:t>
      </w:r>
      <w:r>
        <w:rPr>
          <w:spacing w:val="1"/>
        </w:rPr>
        <w:t> </w:t>
      </w:r>
      <w:r>
        <w:rPr/>
        <w:t>crospovidone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mannitol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ball</w:t>
      </w:r>
      <w:r>
        <w:rPr>
          <w:spacing w:val="1"/>
        </w:rPr>
        <w:t> </w:t>
      </w:r>
      <w:r>
        <w:rPr/>
        <w:t>mill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compactability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tablet</w:t>
      </w:r>
      <w:r>
        <w:rPr>
          <w:spacing w:val="-57"/>
        </w:rPr>
        <w:t> </w:t>
      </w:r>
      <w:r>
        <w:rPr/>
        <w:t>stability.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humid</w:t>
      </w:r>
      <w:r>
        <w:rPr>
          <w:spacing w:val="-57"/>
        </w:rPr>
        <w:t> </w:t>
      </w:r>
      <w:r>
        <w:rPr/>
        <w:t>conditions</w:t>
      </w:r>
      <w:r>
        <w:rPr>
          <w:spacing w:val="58"/>
        </w:rPr>
        <w:t> </w:t>
      </w:r>
      <w:r>
        <w:rPr/>
        <w:t>with</w:t>
      </w:r>
      <w:r>
        <w:rPr>
          <w:spacing w:val="57"/>
        </w:rPr>
        <w:t> </w:t>
      </w:r>
      <w:r>
        <w:rPr/>
        <w:t>rapid</w:t>
      </w:r>
      <w:r>
        <w:rPr>
          <w:spacing w:val="57"/>
        </w:rPr>
        <w:t> </w:t>
      </w:r>
      <w:r>
        <w:rPr/>
        <w:t>disintegration</w:t>
      </w:r>
      <w:r>
        <w:rPr>
          <w:spacing w:val="59"/>
        </w:rPr>
        <w:t> </w:t>
      </w:r>
      <w:r>
        <w:rPr/>
        <w:t>(&lt;</w:t>
      </w:r>
      <w:r>
        <w:rPr>
          <w:spacing w:val="57"/>
        </w:rPr>
        <w:t> </w:t>
      </w:r>
      <w:r>
        <w:rPr/>
        <w:t>30</w:t>
      </w:r>
      <w:r>
        <w:rPr>
          <w:spacing w:val="57"/>
        </w:rPr>
        <w:t> </w:t>
      </w:r>
      <w:r>
        <w:rPr/>
        <w:t>s)</w:t>
      </w:r>
      <w:r>
        <w:rPr>
          <w:spacing w:val="59"/>
        </w:rPr>
        <w:t> </w:t>
      </w:r>
      <w:r>
        <w:rPr/>
        <w:t>and</w:t>
      </w:r>
      <w:r>
        <w:rPr>
          <w:spacing w:val="57"/>
        </w:rPr>
        <w:t> </w:t>
      </w:r>
      <w:r>
        <w:rPr/>
        <w:t>increased</w:t>
      </w:r>
      <w:r>
        <w:rPr>
          <w:spacing w:val="57"/>
        </w:rPr>
        <w:t> </w:t>
      </w:r>
      <w:r>
        <w:rPr/>
        <w:t>hardness</w:t>
      </w:r>
      <w:r>
        <w:rPr>
          <w:spacing w:val="1"/>
        </w:rPr>
        <w:t> </w:t>
      </w:r>
      <w:r>
        <w:rPr/>
        <w:t>of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tablets</w:t>
      </w:r>
      <w:r>
        <w:rPr>
          <w:spacing w:val="-58"/>
        </w:rPr>
        <w:t> </w:t>
      </w:r>
      <w:r>
        <w:rPr/>
        <w:t>(tensile</w:t>
      </w:r>
      <w:r>
        <w:rPr>
          <w:spacing w:val="-2"/>
        </w:rPr>
        <w:t> </w:t>
      </w:r>
      <w:r>
        <w:rPr/>
        <w:t>strength &gt;</w:t>
      </w:r>
      <w:r>
        <w:rPr>
          <w:spacing w:val="-1"/>
        </w:rPr>
        <w:t> </w:t>
      </w:r>
      <w:r>
        <w:rPr/>
        <w:t>1.0 MN/m</w:t>
      </w:r>
      <w:r>
        <w:rPr>
          <w:vertAlign w:val="superscript"/>
        </w:rPr>
        <w:t>2</w:t>
      </w:r>
      <w:r>
        <w:rPr>
          <w:vertAlign w:val="baseline"/>
        </w:rPr>
        <w:t>) (Katsuno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al.</w:t>
      </w:r>
      <w:r>
        <w:rPr>
          <w:vertAlign w:val="baseline"/>
        </w:rPr>
        <w:t>, 2013).</w:t>
      </w:r>
    </w:p>
    <w:p>
      <w:pPr>
        <w:pStyle w:val="Heading3"/>
        <w:numPr>
          <w:ilvl w:val="1"/>
          <w:numId w:val="13"/>
        </w:numPr>
        <w:tabs>
          <w:tab w:pos="1186" w:val="left" w:leader="none"/>
        </w:tabs>
        <w:spacing w:line="240" w:lineRule="auto" w:before="245" w:after="0"/>
        <w:ind w:left="1185" w:right="0" w:hanging="721"/>
        <w:jc w:val="both"/>
      </w:pPr>
      <w:bookmarkStart w:name="_TOC_250062" w:id="44"/>
      <w:r>
        <w:rPr/>
        <w:t>Research</w:t>
      </w:r>
      <w:r>
        <w:rPr>
          <w:spacing w:val="-2"/>
        </w:rPr>
        <w:t> </w:t>
      </w:r>
      <w:r>
        <w:rPr/>
        <w:t>output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starch-based</w:t>
      </w:r>
      <w:r>
        <w:rPr>
          <w:spacing w:val="-2"/>
        </w:rPr>
        <w:t> </w:t>
      </w:r>
      <w:r>
        <w:rPr/>
        <w:t>co-processed</w:t>
      </w:r>
      <w:r>
        <w:rPr>
          <w:spacing w:val="1"/>
        </w:rPr>
        <w:t> </w:t>
      </w:r>
      <w:bookmarkEnd w:id="44"/>
      <w:r>
        <w:rPr/>
        <w:t>excipients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2"/>
        <w:jc w:val="both"/>
      </w:pPr>
      <w:r>
        <w:rPr/>
        <w:t>Most of the co-processed excipients that have been developed and commercialized are</w:t>
      </w:r>
      <w:r>
        <w:rPr>
          <w:spacing w:val="1"/>
        </w:rPr>
        <w:t> </w:t>
      </w:r>
      <w:r>
        <w:rPr/>
        <w:t>either lactose-based or cellulose-based products. The only co-processed excipient with a</w:t>
      </w:r>
      <w:r>
        <w:rPr>
          <w:spacing w:val="-57"/>
        </w:rPr>
        <w:t> </w:t>
      </w:r>
      <w:r>
        <w:rPr/>
        <w:t>greater</w:t>
      </w:r>
      <w:r>
        <w:rPr>
          <w:spacing w:val="7"/>
        </w:rPr>
        <w:t> </w:t>
      </w:r>
      <w:r>
        <w:rPr/>
        <w:t>proportion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starch</w:t>
      </w:r>
      <w:r>
        <w:rPr>
          <w:spacing w:val="9"/>
        </w:rPr>
        <w:t> </w:t>
      </w:r>
      <w:r>
        <w:rPr/>
        <w:t>that</w:t>
      </w:r>
      <w:r>
        <w:rPr>
          <w:spacing w:val="8"/>
        </w:rPr>
        <w:t> </w:t>
      </w:r>
      <w:r>
        <w:rPr/>
        <w:t>has</w:t>
      </w:r>
      <w:r>
        <w:rPr>
          <w:spacing w:val="8"/>
        </w:rPr>
        <w:t> </w:t>
      </w:r>
      <w:r>
        <w:rPr/>
        <w:t>been</w:t>
      </w:r>
      <w:r>
        <w:rPr>
          <w:spacing w:val="8"/>
        </w:rPr>
        <w:t> </w:t>
      </w:r>
      <w:r>
        <w:rPr/>
        <w:t>marketed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StarCap</w:t>
      </w:r>
      <w:r>
        <w:rPr>
          <w:spacing w:val="8"/>
        </w:rPr>
        <w:t> </w:t>
      </w:r>
      <w:r>
        <w:rPr/>
        <w:t>1500</w:t>
      </w:r>
      <w:r>
        <w:rPr>
          <w:vertAlign w:val="superscript"/>
        </w:rPr>
        <w:t>®</w:t>
      </w:r>
      <w:r>
        <w:rPr>
          <w:vertAlign w:val="baseline"/>
        </w:rPr>
        <w:t>.</w:t>
      </w:r>
      <w:r>
        <w:rPr>
          <w:spacing w:val="8"/>
          <w:vertAlign w:val="baseline"/>
        </w:rPr>
        <w:t> </w:t>
      </w:r>
      <w:r>
        <w:rPr>
          <w:vertAlign w:val="baseline"/>
        </w:rPr>
        <w:t>StarCap</w:t>
      </w:r>
      <w:r>
        <w:rPr>
          <w:spacing w:val="9"/>
          <w:vertAlign w:val="baseline"/>
        </w:rPr>
        <w:t> </w:t>
      </w:r>
      <w:r>
        <w:rPr>
          <w:vertAlign w:val="baseline"/>
        </w:rPr>
        <w:t>1500</w:t>
      </w:r>
      <w:r>
        <w:rPr>
          <w:vertAlign w:val="superscript"/>
        </w:rPr>
        <w:t>®</w:t>
      </w:r>
      <w:r>
        <w:rPr>
          <w:spacing w:val="6"/>
          <w:vertAlign w:val="baseline"/>
        </w:rPr>
        <w:t> </w:t>
      </w:r>
      <w:r>
        <w:rPr>
          <w:vertAlign w:val="baseline"/>
        </w:rPr>
        <w:t>is</w:t>
      </w:r>
      <w:r>
        <w:rPr>
          <w:spacing w:val="-58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unique</w:t>
      </w:r>
      <w:r>
        <w:rPr>
          <w:spacing w:val="1"/>
          <w:vertAlign w:val="baseline"/>
        </w:rPr>
        <w:t> </w:t>
      </w:r>
      <w:r>
        <w:rPr>
          <w:vertAlign w:val="baseline"/>
        </w:rPr>
        <w:t>co-processed</w:t>
      </w:r>
      <w:r>
        <w:rPr>
          <w:spacing w:val="1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globally</w:t>
      </w:r>
      <w:r>
        <w:rPr>
          <w:spacing w:val="1"/>
          <w:vertAlign w:val="baseline"/>
        </w:rPr>
        <w:t> </w:t>
      </w:r>
      <w:r>
        <w:rPr>
          <w:vertAlign w:val="baseline"/>
        </w:rPr>
        <w:t>accepted</w:t>
      </w:r>
      <w:r>
        <w:rPr>
          <w:spacing w:val="1"/>
          <w:vertAlign w:val="baseline"/>
        </w:rPr>
        <w:t> </w:t>
      </w:r>
      <w:r>
        <w:rPr>
          <w:vertAlign w:val="baseline"/>
        </w:rPr>
        <w:t>excipients,</w:t>
      </w:r>
      <w:r>
        <w:rPr>
          <w:spacing w:val="1"/>
          <w:vertAlign w:val="baseline"/>
        </w:rPr>
        <w:t> </w:t>
      </w:r>
      <w:r>
        <w:rPr>
          <w:vertAlign w:val="baseline"/>
        </w:rPr>
        <w:t>corn</w:t>
      </w:r>
      <w:r>
        <w:rPr>
          <w:spacing w:val="1"/>
          <w:vertAlign w:val="baseline"/>
        </w:rPr>
        <w:t> </w:t>
      </w:r>
      <w:r>
        <w:rPr>
          <w:vertAlign w:val="baseline"/>
        </w:rPr>
        <w:t>starch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pregelatinized</w:t>
      </w:r>
      <w:r>
        <w:rPr>
          <w:spacing w:val="1"/>
          <w:vertAlign w:val="baseline"/>
        </w:rPr>
        <w:t> </w:t>
      </w:r>
      <w:r>
        <w:rPr>
          <w:vertAlign w:val="baseline"/>
        </w:rPr>
        <w:t>starch,</w:t>
      </w:r>
      <w:r>
        <w:rPr>
          <w:spacing w:val="1"/>
          <w:vertAlign w:val="baseline"/>
        </w:rPr>
        <w:t> </w:t>
      </w:r>
      <w:r>
        <w:rPr>
          <w:vertAlign w:val="baseline"/>
        </w:rPr>
        <w:t>designed</w:t>
      </w:r>
      <w:r>
        <w:rPr>
          <w:spacing w:val="1"/>
          <w:vertAlign w:val="baseline"/>
        </w:rPr>
        <w:t> </w:t>
      </w:r>
      <w:r>
        <w:rPr>
          <w:vertAlign w:val="baseline"/>
        </w:rPr>
        <w:t>for use in</w:t>
      </w:r>
      <w:r>
        <w:rPr>
          <w:spacing w:val="1"/>
          <w:vertAlign w:val="baseline"/>
        </w:rPr>
        <w:t> </w:t>
      </w:r>
      <w:r>
        <w:rPr>
          <w:vertAlign w:val="baseline"/>
        </w:rPr>
        <w:t>capsules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inert,</w:t>
      </w:r>
      <w:r>
        <w:rPr>
          <w:spacing w:val="1"/>
          <w:vertAlign w:val="baseline"/>
        </w:rPr>
        <w:t> </w:t>
      </w:r>
      <w:r>
        <w:rPr>
          <w:vertAlign w:val="baseline"/>
        </w:rPr>
        <w:t>free-</w:t>
      </w:r>
      <w:r>
        <w:rPr>
          <w:spacing w:val="1"/>
          <w:vertAlign w:val="baseline"/>
        </w:rPr>
        <w:t> </w:t>
      </w:r>
      <w:r>
        <w:rPr>
          <w:vertAlign w:val="baseline"/>
        </w:rPr>
        <w:t>flowing,</w:t>
      </w:r>
      <w:r>
        <w:rPr>
          <w:spacing w:val="24"/>
          <w:vertAlign w:val="baseline"/>
        </w:rPr>
        <w:t> </w:t>
      </w:r>
      <w:r>
        <w:rPr>
          <w:vertAlign w:val="baseline"/>
        </w:rPr>
        <w:t>low</w:t>
      </w:r>
      <w:r>
        <w:rPr>
          <w:spacing w:val="25"/>
          <w:vertAlign w:val="baseline"/>
        </w:rPr>
        <w:t> </w:t>
      </w:r>
      <w:r>
        <w:rPr>
          <w:vertAlign w:val="baseline"/>
        </w:rPr>
        <w:t>dust</w:t>
      </w:r>
      <w:r>
        <w:rPr>
          <w:spacing w:val="24"/>
          <w:vertAlign w:val="baseline"/>
        </w:rPr>
        <w:t> </w:t>
      </w:r>
      <w:r>
        <w:rPr>
          <w:vertAlign w:val="baseline"/>
        </w:rPr>
        <w:t>excipient</w:t>
      </w:r>
      <w:r>
        <w:rPr>
          <w:spacing w:val="25"/>
          <w:vertAlign w:val="baseline"/>
        </w:rPr>
        <w:t> </w:t>
      </w:r>
      <w:r>
        <w:rPr>
          <w:vertAlign w:val="baseline"/>
        </w:rPr>
        <w:t>with</w:t>
      </w:r>
      <w:r>
        <w:rPr>
          <w:spacing w:val="24"/>
          <w:vertAlign w:val="baseline"/>
        </w:rPr>
        <w:t> </w:t>
      </w:r>
      <w:r>
        <w:rPr>
          <w:vertAlign w:val="baseline"/>
        </w:rPr>
        <w:t>disintegration</w:t>
      </w:r>
      <w:r>
        <w:rPr>
          <w:spacing w:val="25"/>
          <w:vertAlign w:val="baseline"/>
        </w:rPr>
        <w:t> </w:t>
      </w:r>
      <w:r>
        <w:rPr>
          <w:vertAlign w:val="baseline"/>
        </w:rPr>
        <w:t>and</w:t>
      </w:r>
      <w:r>
        <w:rPr>
          <w:spacing w:val="25"/>
          <w:vertAlign w:val="baseline"/>
        </w:rPr>
        <w:t> </w:t>
      </w:r>
      <w:r>
        <w:rPr>
          <w:vertAlign w:val="baseline"/>
        </w:rPr>
        <w:t>dissolution</w:t>
      </w:r>
      <w:r>
        <w:rPr>
          <w:spacing w:val="24"/>
          <w:vertAlign w:val="baseline"/>
        </w:rPr>
        <w:t> </w:t>
      </w:r>
      <w:r>
        <w:rPr>
          <w:vertAlign w:val="baseline"/>
        </w:rPr>
        <w:t>properties</w:t>
      </w:r>
      <w:r>
        <w:rPr>
          <w:spacing w:val="24"/>
          <w:vertAlign w:val="baseline"/>
        </w:rPr>
        <w:t> </w:t>
      </w:r>
      <w:r>
        <w:rPr>
          <w:vertAlign w:val="baseline"/>
        </w:rPr>
        <w:t>independent</w:t>
      </w:r>
      <w:r>
        <w:rPr>
          <w:spacing w:val="-58"/>
          <w:vertAlign w:val="baseline"/>
        </w:rPr>
        <w:t> </w:t>
      </w:r>
      <w:r>
        <w:rPr>
          <w:vertAlign w:val="baseline"/>
        </w:rPr>
        <w:t>of the medium pH. It possesses better flow properties than MCC. It allows for minimal</w:t>
      </w:r>
      <w:r>
        <w:rPr>
          <w:spacing w:val="1"/>
          <w:vertAlign w:val="baseline"/>
        </w:rPr>
        <w:t> </w:t>
      </w:r>
      <w:r>
        <w:rPr>
          <w:vertAlign w:val="baseline"/>
        </w:rPr>
        <w:t>dusting or adherence to contact surfaces, leading to a cleaner filling operation and lower</w:t>
      </w:r>
      <w:r>
        <w:rPr>
          <w:spacing w:val="-57"/>
          <w:vertAlign w:val="baseline"/>
        </w:rPr>
        <w:t> </w:t>
      </w:r>
      <w:r>
        <w:rPr>
          <w:vertAlign w:val="baseline"/>
        </w:rPr>
        <w:t>tablet variation. StarCap 1500</w:t>
      </w:r>
      <w:r>
        <w:rPr>
          <w:vertAlign w:val="superscript"/>
        </w:rPr>
        <w:t>®</w:t>
      </w:r>
      <w:r>
        <w:rPr>
          <w:vertAlign w:val="baseline"/>
        </w:rPr>
        <w:t> at &gt; 75 % level makes the release profile of propranolol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0"/>
          <w:vertAlign w:val="baseline"/>
        </w:rPr>
        <w:t> </w:t>
      </w:r>
      <w:r>
        <w:rPr>
          <w:vertAlign w:val="baseline"/>
        </w:rPr>
        <w:t>dependent</w:t>
      </w:r>
      <w:r>
        <w:rPr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at</w:t>
      </w:r>
      <w:r>
        <w:rPr>
          <w:spacing w:val="12"/>
          <w:vertAlign w:val="baseline"/>
        </w:rPr>
        <w:t> </w:t>
      </w:r>
      <w:r>
        <w:rPr>
          <w:vertAlign w:val="baseline"/>
        </w:rPr>
        <w:t>24.75</w:t>
      </w:r>
      <w:r>
        <w:rPr>
          <w:spacing w:val="10"/>
          <w:vertAlign w:val="baseline"/>
        </w:rPr>
        <w:t> </w:t>
      </w:r>
      <w:r>
        <w:rPr>
          <w:vertAlign w:val="baseline"/>
        </w:rPr>
        <w:t>%</w:t>
      </w:r>
      <w:r>
        <w:rPr>
          <w:spacing w:val="11"/>
          <w:vertAlign w:val="baseline"/>
        </w:rPr>
        <w:t> </w:t>
      </w:r>
      <w:r>
        <w:rPr>
          <w:vertAlign w:val="baseline"/>
        </w:rPr>
        <w:t>level</w:t>
      </w:r>
      <w:r>
        <w:rPr>
          <w:spacing w:val="11"/>
          <w:vertAlign w:val="baseline"/>
        </w:rPr>
        <w:t> </w:t>
      </w:r>
      <w:r>
        <w:rPr>
          <w:vertAlign w:val="baseline"/>
        </w:rPr>
        <w:t>allows</w:t>
      </w:r>
      <w:r>
        <w:rPr>
          <w:spacing w:val="11"/>
          <w:vertAlign w:val="baseline"/>
        </w:rPr>
        <w:t> </w:t>
      </w:r>
      <w:r>
        <w:rPr>
          <w:vertAlign w:val="baseline"/>
        </w:rPr>
        <w:t>for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release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90</w:t>
      </w:r>
      <w:r>
        <w:rPr>
          <w:spacing w:val="14"/>
          <w:vertAlign w:val="baseline"/>
        </w:rPr>
        <w:t> </w:t>
      </w:r>
      <w:r>
        <w:rPr>
          <w:vertAlign w:val="baseline"/>
        </w:rPr>
        <w:t>%</w:t>
      </w:r>
      <w:r>
        <w:rPr>
          <w:spacing w:val="10"/>
          <w:vertAlign w:val="baseline"/>
        </w:rPr>
        <w:t> </w:t>
      </w:r>
      <w:r>
        <w:rPr>
          <w:vertAlign w:val="baseline"/>
        </w:rPr>
        <w:t>Gabapentin</w:t>
      </w:r>
      <w:r>
        <w:rPr>
          <w:spacing w:val="1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0"/>
          <w:vertAlign w:val="baseline"/>
        </w:rPr>
        <w:t> </w:t>
      </w:r>
      <w:r>
        <w:rPr>
          <w:vertAlign w:val="baseline"/>
        </w:rPr>
        <w:t>6</w:t>
      </w:r>
    </w:p>
    <w:p>
      <w:pPr>
        <w:spacing w:line="275" w:lineRule="exact" w:before="0"/>
        <w:ind w:left="465" w:right="0" w:firstLine="0"/>
        <w:jc w:val="both"/>
        <w:rPr>
          <w:sz w:val="24"/>
        </w:rPr>
      </w:pPr>
      <w:r>
        <w:rPr>
          <w:sz w:val="24"/>
        </w:rPr>
        <w:t>min</w:t>
      </w:r>
      <w:r>
        <w:rPr>
          <w:spacing w:val="-1"/>
          <w:sz w:val="24"/>
        </w:rPr>
        <w:t> </w:t>
      </w:r>
      <w:r>
        <w:rPr>
          <w:sz w:val="24"/>
        </w:rPr>
        <w:t>(Gulian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2006).</w:t>
      </w:r>
    </w:p>
    <w:p>
      <w:pPr>
        <w:spacing w:after="0" w:line="275" w:lineRule="exact"/>
        <w:jc w:val="both"/>
        <w:rPr>
          <w:sz w:val="24"/>
        </w:rPr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3"/>
        <w:jc w:val="both"/>
      </w:pPr>
      <w:r>
        <w:rPr/>
        <w:t>Novel co-processed excipients of maize starch and acacia (StarAc) were formulated in</w:t>
      </w:r>
      <w:r>
        <w:rPr>
          <w:spacing w:val="1"/>
        </w:rPr>
        <w:t> </w:t>
      </w:r>
      <w:r>
        <w:rPr/>
        <w:t>various mixing ratios and evaluated as a direct compression excipient (Olowosulu </w:t>
      </w:r>
      <w:r>
        <w:rPr>
          <w:i/>
        </w:rPr>
        <w:t>et al.</w:t>
      </w:r>
      <w:r>
        <w:rPr/>
        <w:t>,</w:t>
      </w:r>
      <w:r>
        <w:rPr>
          <w:spacing w:val="-57"/>
        </w:rPr>
        <w:t> </w:t>
      </w:r>
      <w:r>
        <w:rPr/>
        <w:t>2011). The results obtained from the study revealed that the co-processed excipient</w:t>
      </w:r>
      <w:r>
        <w:rPr>
          <w:spacing w:val="1"/>
        </w:rPr>
        <w:t> </w:t>
      </w:r>
      <w:r>
        <w:rPr/>
        <w:t>prepared by partial pregelatinization method produced better tablets in terms of crushing</w:t>
      </w:r>
      <w:r>
        <w:rPr>
          <w:spacing w:val="-57"/>
        </w:rPr>
        <w:t> </w:t>
      </w:r>
      <w:r>
        <w:rPr/>
        <w:t>strength, friability and disintegration time when compared to tablets produced by the</w:t>
      </w:r>
      <w:r>
        <w:rPr>
          <w:spacing w:val="1"/>
        </w:rPr>
        <w:t> </w:t>
      </w:r>
      <w:r>
        <w:rPr/>
        <w:t>fully</w:t>
      </w:r>
      <w:r>
        <w:rPr>
          <w:spacing w:val="-6"/>
        </w:rPr>
        <w:t> </w:t>
      </w:r>
      <w:r>
        <w:rPr/>
        <w:t>pregelatinized co-processed excipient.</w:t>
      </w:r>
    </w:p>
    <w:p>
      <w:pPr>
        <w:pStyle w:val="BodyText"/>
        <w:spacing w:line="480" w:lineRule="auto" w:before="121"/>
        <w:ind w:left="465" w:right="1253"/>
        <w:jc w:val="both"/>
      </w:pPr>
      <w:r>
        <w:rPr/>
        <w:t>Shittu </w:t>
      </w:r>
      <w:r>
        <w:rPr>
          <w:i/>
        </w:rPr>
        <w:t>et al </w:t>
      </w:r>
      <w:r>
        <w:rPr/>
        <w:t>(2012) designed and developed a two-component composite filler-binder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microcrystalline</w:t>
      </w:r>
      <w:r>
        <w:rPr>
          <w:spacing w:val="1"/>
        </w:rPr>
        <w:t> </w:t>
      </w:r>
      <w:r>
        <w:rPr/>
        <w:t>tapioca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α-lactose</w:t>
      </w:r>
      <w:r>
        <w:rPr>
          <w:spacing w:val="1"/>
        </w:rPr>
        <w:t> </w:t>
      </w:r>
      <w:r>
        <w:rPr/>
        <w:t>monohydrate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compression. The novel co-processed excipient showed improved functionality over the</w:t>
      </w:r>
      <w:r>
        <w:rPr>
          <w:spacing w:val="1"/>
        </w:rPr>
        <w:t> </w:t>
      </w:r>
      <w:r>
        <w:rPr/>
        <w:t>physical mixture of the primary excipients and performed better than StarLac</w:t>
      </w:r>
      <w:r>
        <w:rPr>
          <w:vertAlign w:val="superscript"/>
        </w:rPr>
        <w:t>®</w:t>
      </w:r>
      <w:r>
        <w:rPr>
          <w:vertAlign w:val="baseline"/>
        </w:rPr>
        <w:t> in terms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compaction properties.</w:t>
      </w:r>
    </w:p>
    <w:p>
      <w:pPr>
        <w:pStyle w:val="BodyText"/>
        <w:spacing w:line="480" w:lineRule="auto" w:before="120"/>
        <w:ind w:left="465" w:right="1255"/>
        <w:jc w:val="both"/>
      </w:pPr>
      <w:r>
        <w:rPr/>
        <w:t>The tablet properties of StarCap 1500</w:t>
      </w:r>
      <w:r>
        <w:rPr>
          <w:vertAlign w:val="superscript"/>
        </w:rPr>
        <w:t>®</w:t>
      </w:r>
      <w:r>
        <w:rPr>
          <w:vertAlign w:val="baseline"/>
        </w:rPr>
        <w:t> were evaluated in comparison to Starch 1500</w:t>
      </w:r>
      <w:r>
        <w:rPr>
          <w:vertAlign w:val="superscript"/>
        </w:rPr>
        <w:t>®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revealed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better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compressibility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StarCap</w:t>
      </w:r>
      <w:r>
        <w:rPr>
          <w:spacing w:val="1"/>
          <w:vertAlign w:val="baseline"/>
        </w:rPr>
        <w:t> </w:t>
      </w:r>
      <w:r>
        <w:rPr>
          <w:vertAlign w:val="baseline"/>
        </w:rPr>
        <w:t>1500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60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60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Starch 1500</w:t>
      </w:r>
      <w:r>
        <w:rPr>
          <w:vertAlign w:val="superscript"/>
        </w:rPr>
        <w:t>®</w:t>
      </w:r>
      <w:r>
        <w:rPr>
          <w:vertAlign w:val="baseline"/>
        </w:rPr>
        <w:t> and a lower elastic component of energy. The tablets were stronger and</w:t>
      </w:r>
      <w:r>
        <w:rPr>
          <w:spacing w:val="1"/>
          <w:vertAlign w:val="baseline"/>
        </w:rPr>
        <w:t> </w:t>
      </w:r>
      <w:r>
        <w:rPr>
          <w:vertAlign w:val="baseline"/>
        </w:rPr>
        <w:t>disintegrated more rapidly, but the substance possessed a higher sensitivity to lubricant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</w:t>
      </w:r>
      <w:r>
        <w:rPr>
          <w:spacing w:val="-1"/>
          <w:vertAlign w:val="baseline"/>
        </w:rPr>
        <w:t> </w:t>
      </w:r>
      <w:r>
        <w:rPr>
          <w:vertAlign w:val="baseline"/>
        </w:rPr>
        <w:t>than Starch 1500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(Muzikova and Eimerova, 2011;</w:t>
      </w:r>
      <w:r>
        <w:rPr>
          <w:spacing w:val="-1"/>
          <w:vertAlign w:val="baseline"/>
        </w:rPr>
        <w:t> </w:t>
      </w:r>
      <w:r>
        <w:rPr>
          <w:vertAlign w:val="baseline"/>
        </w:rPr>
        <w:t>Rojas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al.</w:t>
      </w:r>
      <w:r>
        <w:rPr>
          <w:vertAlign w:val="baseline"/>
        </w:rPr>
        <w:t>, 2012).</w:t>
      </w:r>
    </w:p>
    <w:p>
      <w:pPr>
        <w:pStyle w:val="BodyText"/>
        <w:spacing w:line="480" w:lineRule="auto" w:before="120"/>
        <w:ind w:left="465" w:right="1255"/>
        <w:jc w:val="both"/>
      </w:pPr>
      <w:r>
        <w:rPr/>
        <w:t>Several researchers have continued to develop starch-based co-processed excipients at</w:t>
      </w:r>
      <w:r>
        <w:rPr>
          <w:spacing w:val="1"/>
        </w:rPr>
        <w:t> </w:t>
      </w:r>
      <w:r>
        <w:rPr/>
        <w:t>investigational level with improved functionality. A study was carried out recently by</w:t>
      </w:r>
      <w:r>
        <w:rPr>
          <w:spacing w:val="1"/>
        </w:rPr>
        <w:t> </w:t>
      </w:r>
      <w:r>
        <w:rPr/>
        <w:t>Kittipongpatana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Kittipongpatana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compressible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precipitated powder composed of rice starch and colloidal silicon dioxide (CSD) mixed</w:t>
      </w:r>
      <w:r>
        <w:rPr>
          <w:spacing w:val="1"/>
        </w:rPr>
        <w:t> </w:t>
      </w:r>
      <w:r>
        <w:rPr/>
        <w:t>at five different ratios (8:1, 4:1, 2:1, 4:3, and 1:1), with three concentrations of sodium</w:t>
      </w:r>
      <w:r>
        <w:rPr>
          <w:spacing w:val="1"/>
        </w:rPr>
        <w:t> </w:t>
      </w:r>
      <w:r>
        <w:rPr/>
        <w:t>hydroxide (NaOH) (0.5, 1.0, and 2.0 M) employed in the dispersion</w:t>
      </w:r>
      <w:r>
        <w:rPr>
          <w:spacing w:val="1"/>
        </w:rPr>
        <w:t> </w:t>
      </w:r>
      <w:r>
        <w:rPr/>
        <w:t>of colloidal silicon</w:t>
      </w:r>
      <w:r>
        <w:rPr>
          <w:spacing w:val="1"/>
        </w:rPr>
        <w:t> </w:t>
      </w:r>
      <w:r>
        <w:rPr/>
        <w:t>dioxide. The co-precipitated powders exhibited improved flowability, compactibility,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tapped</w:t>
      </w:r>
      <w:r>
        <w:rPr>
          <w:spacing w:val="1"/>
        </w:rPr>
        <w:t> </w:t>
      </w:r>
      <w:r>
        <w:rPr/>
        <w:t>densities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-57"/>
        </w:rPr>
        <w:t> </w:t>
      </w:r>
      <w:r>
        <w:rPr/>
        <w:t>mixtures.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optimum</w:t>
      </w:r>
      <w:r>
        <w:rPr>
          <w:spacing w:val="28"/>
        </w:rPr>
        <w:t> </w:t>
      </w:r>
      <w:r>
        <w:rPr/>
        <w:t>ratio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starch:</w:t>
      </w:r>
      <w:r>
        <w:rPr>
          <w:spacing w:val="28"/>
        </w:rPr>
        <w:t> </w:t>
      </w:r>
      <w:r>
        <w:rPr/>
        <w:t>colloidal</w:t>
      </w:r>
      <w:r>
        <w:rPr>
          <w:spacing w:val="29"/>
        </w:rPr>
        <w:t> </w:t>
      </w:r>
      <w:r>
        <w:rPr/>
        <w:t>silicon</w:t>
      </w:r>
      <w:r>
        <w:rPr>
          <w:spacing w:val="27"/>
        </w:rPr>
        <w:t> </w:t>
      </w:r>
      <w:r>
        <w:rPr/>
        <w:t>dioxide</w:t>
      </w:r>
      <w:r>
        <w:rPr>
          <w:spacing w:val="27"/>
        </w:rPr>
        <w:t> </w:t>
      </w:r>
      <w:r>
        <w:rPr/>
        <w:t>to</w:t>
      </w:r>
      <w:r>
        <w:rPr>
          <w:spacing w:val="30"/>
        </w:rPr>
        <w:t> </w:t>
      </w:r>
      <w:r>
        <w:rPr/>
        <w:t>yield</w:t>
      </w:r>
      <w:r>
        <w:rPr>
          <w:spacing w:val="28"/>
        </w:rPr>
        <w:t> </w:t>
      </w:r>
      <w:r>
        <w:rPr/>
        <w:t>powder</w:t>
      </w:r>
      <w:r>
        <w:rPr>
          <w:spacing w:val="29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0"/>
        <w:jc w:val="both"/>
      </w:pPr>
      <w:r>
        <w:rPr/>
        <w:t>good flow and compactibility was found to be 4:1, with the use of either 0.5 or 1.0 M</w:t>
      </w:r>
      <w:r>
        <w:rPr>
          <w:spacing w:val="1"/>
        </w:rPr>
        <w:t> </w:t>
      </w:r>
      <w:r>
        <w:rPr/>
        <w:t>NaOH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disperse</w:t>
      </w:r>
      <w:r>
        <w:rPr>
          <w:spacing w:val="1"/>
        </w:rPr>
        <w:t> </w:t>
      </w:r>
      <w:r>
        <w:rPr/>
        <w:t>CSD.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precipitated powder has potential for use as a directly compressible excipient in tablet</w:t>
      </w:r>
      <w:r>
        <w:rPr>
          <w:spacing w:val="1"/>
        </w:rPr>
        <w:t> </w:t>
      </w:r>
      <w:r>
        <w:rPr/>
        <w:t>formulation.</w:t>
      </w:r>
    </w:p>
    <w:p>
      <w:pPr>
        <w:pStyle w:val="BodyText"/>
        <w:spacing w:line="480" w:lineRule="auto" w:before="120"/>
        <w:ind w:left="465" w:right="1251"/>
        <w:jc w:val="both"/>
      </w:pPr>
      <w:r>
        <w:rPr/>
        <w:t>Eraga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multifunctional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gelatinized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starch,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carboxyl</w:t>
      </w:r>
      <w:r>
        <w:rPr>
          <w:spacing w:val="1"/>
        </w:rPr>
        <w:t> </w:t>
      </w:r>
      <w:r>
        <w:rPr/>
        <w:t>methylcellulose</w:t>
      </w:r>
      <w:r>
        <w:rPr>
          <w:spacing w:val="1"/>
        </w:rPr>
        <w:t> </w:t>
      </w:r>
      <w:r>
        <w:rPr/>
        <w:t>(SCMC)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microcrystalline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(MCC)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2:1:1.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reflected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angle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repose,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moisture</w:t>
      </w:r>
      <w:r>
        <w:rPr>
          <w:spacing w:val="-57"/>
        </w:rPr>
        <w:t> </w:t>
      </w:r>
      <w:r>
        <w:rPr/>
        <w:t>content, good swelling index and hydration capacity. Paracetamol tablets produced by</w:t>
      </w:r>
      <w:r>
        <w:rPr>
          <w:spacing w:val="1"/>
        </w:rPr>
        <w:t> </w:t>
      </w:r>
      <w:r>
        <w:rPr/>
        <w:t>direct compression using this excipient were acceptable with regard to weight, crushing</w:t>
      </w:r>
      <w:r>
        <w:rPr>
          <w:spacing w:val="1"/>
        </w:rPr>
        <w:t> </w:t>
      </w:r>
      <w:r>
        <w:rPr/>
        <w:t>strength,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content and</w:t>
      </w:r>
      <w:r>
        <w:rPr>
          <w:spacing w:val="1"/>
        </w:rPr>
        <w:t> </w:t>
      </w:r>
      <w:r>
        <w:rPr/>
        <w:t>disintegration time.</w:t>
      </w:r>
    </w:p>
    <w:p>
      <w:pPr>
        <w:pStyle w:val="BodyText"/>
        <w:spacing w:line="480" w:lineRule="auto" w:before="121"/>
        <w:ind w:left="465" w:right="1253"/>
        <w:jc w:val="both"/>
      </w:pPr>
      <w:r>
        <w:rPr/>
        <w:t>Co-precipitates of corn starch with different silicates (Mg, Ca, Al) have been developed</w:t>
      </w:r>
      <w:r>
        <w:rPr>
          <w:spacing w:val="1"/>
        </w:rPr>
        <w:t> </w:t>
      </w:r>
      <w:r>
        <w:rPr/>
        <w:t>and evaluated</w:t>
      </w:r>
      <w:r>
        <w:rPr>
          <w:spacing w:val="1"/>
        </w:rPr>
        <w:t> </w:t>
      </w:r>
      <w:r>
        <w:rPr/>
        <w:t>as a tablet superdisintegrant by Singh</w:t>
      </w:r>
      <w:r>
        <w:rPr>
          <w:spacing w:val="1"/>
        </w:rPr>
        <w:t> </w:t>
      </w:r>
      <w:r>
        <w:rPr>
          <w:i/>
        </w:rPr>
        <w:t>et al</w:t>
      </w:r>
      <w:r>
        <w:rPr>
          <w:i/>
          <w:spacing w:val="60"/>
        </w:rPr>
        <w:t> </w:t>
      </w:r>
      <w:r>
        <w:rPr/>
        <w:t>(2014). The study revealed</w:t>
      </w:r>
      <w:r>
        <w:rPr>
          <w:spacing w:val="1"/>
        </w:rPr>
        <w:t> </w:t>
      </w:r>
      <w:r>
        <w:rPr/>
        <w:t>that there was an improvement in the flow properties and the tablets disintegrated very</w:t>
      </w:r>
      <w:r>
        <w:rPr>
          <w:spacing w:val="1"/>
        </w:rPr>
        <w:t> </w:t>
      </w:r>
      <w:r>
        <w:rPr/>
        <w:t>rapidly. The workers thus concluded that this excipient can be used as an effective</w:t>
      </w:r>
      <w:r>
        <w:rPr>
          <w:spacing w:val="1"/>
        </w:rPr>
        <w:t> </w:t>
      </w:r>
      <w:r>
        <w:rPr/>
        <w:t>adjuvant</w:t>
      </w:r>
      <w:r>
        <w:rPr>
          <w:spacing w:val="-1"/>
        </w:rPr>
        <w:t> </w:t>
      </w:r>
      <w:r>
        <w:rPr/>
        <w:t>to existing</w:t>
      </w:r>
      <w:r>
        <w:rPr>
          <w:spacing w:val="-2"/>
        </w:rPr>
        <w:t> </w:t>
      </w:r>
      <w:r>
        <w:rPr/>
        <w:t>tablet superdisintegrant.</w:t>
      </w:r>
    </w:p>
    <w:p>
      <w:pPr>
        <w:pStyle w:val="BodyText"/>
        <w:spacing w:line="480" w:lineRule="auto" w:before="121"/>
        <w:ind w:left="465" w:right="1250"/>
        <w:jc w:val="both"/>
      </w:pPr>
      <w:r>
        <w:rPr/>
        <w:t>Tapioca starch and mannitol were co-processed together, employing two methods (co-</w:t>
      </w:r>
      <w:r>
        <w:rPr>
          <w:spacing w:val="1"/>
        </w:rPr>
        <w:t> </w:t>
      </w:r>
      <w:r>
        <w:rPr/>
        <w:t>fusion and co-grinding) and used as disintegrants in an orally disintegrating paracetamol</w:t>
      </w:r>
      <w:r>
        <w:rPr>
          <w:spacing w:val="-57"/>
        </w:rPr>
        <w:t> </w:t>
      </w:r>
      <w:r>
        <w:rPr/>
        <w:t>tablet formulation (Adeoye and Alebiowu, 2014b). The tablets produced were evaluated</w:t>
      </w:r>
      <w:r>
        <w:rPr>
          <w:spacing w:val="-57"/>
        </w:rPr>
        <w:t> </w:t>
      </w:r>
      <w:r>
        <w:rPr/>
        <w:t>for mechanical</w:t>
      </w:r>
      <w:r>
        <w:rPr>
          <w:spacing w:val="1"/>
        </w:rPr>
        <w:t> </w:t>
      </w:r>
      <w:r>
        <w:rPr/>
        <w:t>and release properties. The results obtained revealed that the novel</w:t>
      </w:r>
      <w:r>
        <w:rPr>
          <w:spacing w:val="1"/>
        </w:rPr>
        <w:t> </w:t>
      </w:r>
      <w:r>
        <w:rPr/>
        <w:t>disintegrant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reference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friability and tensile strength. The flow, packing and compaction characteristics of the</w:t>
      </w:r>
      <w:r>
        <w:rPr>
          <w:spacing w:val="1"/>
        </w:rPr>
        <w:t> </w:t>
      </w:r>
      <w:r>
        <w:rPr/>
        <w:t>excipient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enhanced</w:t>
      </w:r>
      <w:r>
        <w:rPr>
          <w:spacing w:val="2"/>
        </w:rPr>
        <w:t> </w:t>
      </w:r>
      <w:r>
        <w:rPr/>
        <w:t>(Adeoye</w:t>
      </w:r>
      <w:r>
        <w:rPr>
          <w:spacing w:val="1"/>
        </w:rPr>
        <w:t> </w:t>
      </w:r>
      <w:r>
        <w:rPr/>
        <w:t>and Alebiowu,</w:t>
      </w:r>
      <w:r>
        <w:rPr>
          <w:spacing w:val="2"/>
        </w:rPr>
        <w:t> </w:t>
      </w:r>
      <w:r>
        <w:rPr/>
        <w:t>2014a).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numPr>
          <w:ilvl w:val="1"/>
          <w:numId w:val="13"/>
        </w:numPr>
        <w:tabs>
          <w:tab w:pos="1186" w:val="left" w:leader="none"/>
        </w:tabs>
        <w:spacing w:line="240" w:lineRule="auto" w:before="76" w:after="0"/>
        <w:ind w:left="1185" w:right="0" w:hanging="721"/>
        <w:jc w:val="both"/>
      </w:pPr>
      <w:bookmarkStart w:name="_TOC_250061" w:id="45"/>
      <w:r>
        <w:rPr/>
        <w:t>Constituent</w:t>
      </w:r>
      <w:r>
        <w:rPr>
          <w:spacing w:val="-1"/>
        </w:rPr>
        <w:t> </w:t>
      </w:r>
      <w:r>
        <w:rPr/>
        <w:t>excipients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bookmarkEnd w:id="45"/>
      <w:r>
        <w:rPr/>
        <w:t>co-processing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4"/>
        <w:jc w:val="both"/>
      </w:pPr>
      <w:r>
        <w:rPr/>
        <w:t>Three excipients have been selected for this study on the basis of their properties. They</w:t>
      </w:r>
      <w:r>
        <w:rPr>
          <w:spacing w:val="1"/>
        </w:rPr>
        <w:t> </w:t>
      </w:r>
      <w:r>
        <w:rPr/>
        <w:t>are cassava starch, gelatin and colloidal silicon dioxide. Based on their response to</w:t>
      </w:r>
      <w:r>
        <w:rPr>
          <w:spacing w:val="1"/>
        </w:rPr>
        <w:t> </w:t>
      </w:r>
      <w:r>
        <w:rPr/>
        <w:t>applied pressure, cassava starch deforms by plastic deformation with some degree of</w:t>
      </w:r>
      <w:r>
        <w:rPr>
          <w:spacing w:val="1"/>
        </w:rPr>
        <w:t> </w:t>
      </w:r>
      <w:r>
        <w:rPr/>
        <w:t>elastic</w:t>
      </w:r>
      <w:r>
        <w:rPr>
          <w:spacing w:val="1"/>
        </w:rPr>
        <w:t> </w:t>
      </w:r>
      <w:r>
        <w:rPr/>
        <w:t>recovery occurring during decompression</w:t>
      </w:r>
      <w:r>
        <w:rPr>
          <w:spacing w:val="1"/>
        </w:rPr>
        <w:t> </w:t>
      </w:r>
      <w:r>
        <w:rPr/>
        <w:t>while gelatin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colloidal</w:t>
      </w:r>
      <w:r>
        <w:rPr>
          <w:spacing w:val="1"/>
        </w:rPr>
        <w:t> </w:t>
      </w:r>
      <w:r>
        <w:rPr/>
        <w:t>silicon</w:t>
      </w:r>
      <w:r>
        <w:rPr>
          <w:spacing w:val="1"/>
        </w:rPr>
        <w:t> </w:t>
      </w:r>
      <w:r>
        <w:rPr/>
        <w:t>dioxide deform by brittle fracture. The goal of combining these three candidates is to</w:t>
      </w:r>
      <w:r>
        <w:rPr>
          <w:spacing w:val="1"/>
        </w:rPr>
        <w:t> </w:t>
      </w:r>
      <w:r>
        <w:rPr/>
        <w:t>develop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multifunctional</w:t>
      </w:r>
      <w:r>
        <w:rPr>
          <w:spacing w:val="32"/>
        </w:rPr>
        <w:t> </w:t>
      </w:r>
      <w:r>
        <w:rPr/>
        <w:t>excipient</w:t>
      </w:r>
      <w:r>
        <w:rPr>
          <w:spacing w:val="32"/>
        </w:rPr>
        <w:t> </w:t>
      </w:r>
      <w:r>
        <w:rPr/>
        <w:t>that</w:t>
      </w:r>
      <w:r>
        <w:rPr>
          <w:spacing w:val="29"/>
        </w:rPr>
        <w:t> </w:t>
      </w:r>
      <w:r>
        <w:rPr/>
        <w:t>integrates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disintegrating</w:t>
      </w:r>
      <w:r>
        <w:rPr>
          <w:spacing w:val="29"/>
        </w:rPr>
        <w:t> </w:t>
      </w:r>
      <w:r>
        <w:rPr/>
        <w:t>ability</w:t>
      </w:r>
      <w:r>
        <w:rPr>
          <w:spacing w:val="25"/>
        </w:rPr>
        <w:t> </w:t>
      </w:r>
      <w:r>
        <w:rPr/>
        <w:t>of</w:t>
      </w:r>
      <w:r>
        <w:rPr>
          <w:spacing w:val="31"/>
        </w:rPr>
        <w:t> </w:t>
      </w:r>
      <w:r>
        <w:rPr/>
        <w:t>starch,</w:t>
      </w:r>
      <w:r>
        <w:rPr>
          <w:spacing w:val="-58"/>
        </w:rPr>
        <w:t> </w:t>
      </w:r>
      <w:r>
        <w:rPr/>
        <w:t>the binding strength of gelatin and the enhanced flow contributed by colloidal silicon</w:t>
      </w:r>
      <w:r>
        <w:rPr>
          <w:spacing w:val="1"/>
        </w:rPr>
        <w:t> </w:t>
      </w:r>
      <w:r>
        <w:rPr/>
        <w:t>dioxide</w:t>
      </w:r>
      <w:r>
        <w:rPr>
          <w:spacing w:val="-1"/>
        </w:rPr>
        <w:t> </w:t>
      </w:r>
      <w:r>
        <w:rPr/>
        <w:t>in an optimized</w:t>
      </w:r>
      <w:r>
        <w:rPr>
          <w:spacing w:val="-3"/>
        </w:rPr>
        <w:t> </w:t>
      </w:r>
      <w:r>
        <w:rPr/>
        <w:t>manner.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13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bookmarkStart w:name="_TOC_250060" w:id="46"/>
      <w:bookmarkEnd w:id="46"/>
      <w:r>
        <w:rPr/>
        <w:t>Starch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1"/>
        <w:ind w:left="465" w:right="1255"/>
        <w:jc w:val="both"/>
      </w:pPr>
      <w:r>
        <w:rPr/>
        <w:t>Starch, (C</w:t>
      </w:r>
      <w:r>
        <w:rPr>
          <w:vertAlign w:val="subscript"/>
        </w:rPr>
        <w:t>6</w:t>
      </w:r>
      <w:r>
        <w:rPr>
          <w:vertAlign w:val="baseline"/>
        </w:rPr>
        <w:t>H</w:t>
      </w:r>
      <w:r>
        <w:rPr>
          <w:vertAlign w:val="subscript"/>
        </w:rPr>
        <w:t>10</w:t>
      </w:r>
      <w:r>
        <w:rPr>
          <w:vertAlign w:val="baseline"/>
        </w:rPr>
        <w:t>0</w:t>
      </w:r>
      <w:r>
        <w:rPr>
          <w:vertAlign w:val="subscript"/>
        </w:rPr>
        <w:t>5</w:t>
      </w:r>
      <w:r>
        <w:rPr>
          <w:vertAlign w:val="baseline"/>
        </w:rPr>
        <w:t>) </w:t>
      </w:r>
      <w:r>
        <w:rPr>
          <w:vertAlign w:val="subscript"/>
        </w:rPr>
        <w:t>n</w:t>
      </w:r>
      <w:r>
        <w:rPr>
          <w:vertAlign w:val="baseline"/>
        </w:rPr>
        <w:t> is a carbohydrate polymer that is naturally available in abundant</w:t>
      </w:r>
      <w:r>
        <w:rPr>
          <w:spacing w:val="1"/>
          <w:vertAlign w:val="baseline"/>
        </w:rPr>
        <w:t> </w:t>
      </w:r>
      <w:r>
        <w:rPr>
          <w:vertAlign w:val="baseline"/>
        </w:rPr>
        <w:t>quantities</w:t>
      </w:r>
      <w:r>
        <w:rPr>
          <w:spacing w:val="44"/>
          <w:vertAlign w:val="baseline"/>
        </w:rPr>
        <w:t> </w:t>
      </w:r>
      <w:r>
        <w:rPr>
          <w:vertAlign w:val="baseline"/>
        </w:rPr>
        <w:t>next</w:t>
      </w:r>
      <w:r>
        <w:rPr>
          <w:spacing w:val="45"/>
          <w:vertAlign w:val="baseline"/>
        </w:rPr>
        <w:t> </w:t>
      </w:r>
      <w:r>
        <w:rPr>
          <w:vertAlign w:val="baseline"/>
        </w:rPr>
        <w:t>to</w:t>
      </w:r>
      <w:r>
        <w:rPr>
          <w:spacing w:val="45"/>
          <w:vertAlign w:val="baseline"/>
        </w:rPr>
        <w:t> </w:t>
      </w:r>
      <w:r>
        <w:rPr>
          <w:vertAlign w:val="baseline"/>
        </w:rPr>
        <w:t>cellulose</w:t>
      </w:r>
      <w:r>
        <w:rPr>
          <w:spacing w:val="45"/>
          <w:vertAlign w:val="baseline"/>
        </w:rPr>
        <w:t> </w:t>
      </w:r>
      <w:r>
        <w:rPr>
          <w:vertAlign w:val="baseline"/>
        </w:rPr>
        <w:t>and</w:t>
      </w:r>
      <w:r>
        <w:rPr>
          <w:spacing w:val="46"/>
          <w:vertAlign w:val="baseline"/>
        </w:rPr>
        <w:t> </w:t>
      </w:r>
      <w:r>
        <w:rPr>
          <w:vertAlign w:val="baseline"/>
        </w:rPr>
        <w:t>chitin.</w:t>
      </w:r>
      <w:r>
        <w:rPr>
          <w:spacing w:val="45"/>
          <w:vertAlign w:val="baseline"/>
        </w:rPr>
        <w:t> </w:t>
      </w:r>
      <w:r>
        <w:rPr>
          <w:vertAlign w:val="baseline"/>
        </w:rPr>
        <w:t>Owing</w:t>
      </w:r>
      <w:r>
        <w:rPr>
          <w:spacing w:val="42"/>
          <w:vertAlign w:val="baseline"/>
        </w:rPr>
        <w:t> </w:t>
      </w:r>
      <w:r>
        <w:rPr>
          <w:vertAlign w:val="baseline"/>
        </w:rPr>
        <w:t>to</w:t>
      </w:r>
      <w:r>
        <w:rPr>
          <w:spacing w:val="45"/>
          <w:vertAlign w:val="baseline"/>
        </w:rPr>
        <w:t> </w:t>
      </w:r>
      <w:r>
        <w:rPr>
          <w:vertAlign w:val="baseline"/>
        </w:rPr>
        <w:t>its</w:t>
      </w:r>
      <w:r>
        <w:rPr>
          <w:spacing w:val="44"/>
          <w:vertAlign w:val="baseline"/>
        </w:rPr>
        <w:t> </w:t>
      </w:r>
      <w:r>
        <w:rPr>
          <w:vertAlign w:val="baseline"/>
        </w:rPr>
        <w:t>large</w:t>
      </w:r>
      <w:r>
        <w:rPr>
          <w:spacing w:val="46"/>
          <w:vertAlign w:val="baseline"/>
        </w:rPr>
        <w:t> </w:t>
      </w:r>
      <w:r>
        <w:rPr>
          <w:vertAlign w:val="baseline"/>
        </w:rPr>
        <w:t>availability</w:t>
      </w:r>
      <w:r>
        <w:rPr>
          <w:spacing w:val="40"/>
          <w:vertAlign w:val="baseline"/>
        </w:rPr>
        <w:t> </w:t>
      </w:r>
      <w:r>
        <w:rPr>
          <w:vertAlign w:val="baseline"/>
        </w:rPr>
        <w:t>and</w:t>
      </w:r>
      <w:r>
        <w:rPr>
          <w:spacing w:val="45"/>
          <w:vertAlign w:val="baseline"/>
        </w:rPr>
        <w:t> </w:t>
      </w:r>
      <w:r>
        <w:rPr>
          <w:vertAlign w:val="baseline"/>
        </w:rPr>
        <w:t>low</w:t>
      </w:r>
      <w:r>
        <w:rPr>
          <w:spacing w:val="44"/>
          <w:vertAlign w:val="baseline"/>
        </w:rPr>
        <w:t> </w:t>
      </w:r>
      <w:r>
        <w:rPr>
          <w:vertAlign w:val="baseline"/>
        </w:rPr>
        <w:t>cost,</w:t>
      </w:r>
      <w:r>
        <w:rPr>
          <w:spacing w:val="-57"/>
          <w:vertAlign w:val="baseline"/>
        </w:rPr>
        <w:t> </w:t>
      </w:r>
      <w:r>
        <w:rPr>
          <w:vertAlign w:val="baseline"/>
        </w:rPr>
        <w:t>native starch has found application in the food and non-food industries alike. As an</w:t>
      </w:r>
      <w:r>
        <w:rPr>
          <w:spacing w:val="1"/>
          <w:vertAlign w:val="baseline"/>
        </w:rPr>
        <w:t> </w:t>
      </w:r>
      <w:r>
        <w:rPr>
          <w:vertAlign w:val="baseline"/>
        </w:rPr>
        <w:t>auxiliary raw material of choice, starch has exceeded other similar biopolymers, such as</w:t>
      </w:r>
      <w:r>
        <w:rPr>
          <w:spacing w:val="-57"/>
          <w:vertAlign w:val="baseline"/>
        </w:rPr>
        <w:t> </w:t>
      </w:r>
      <w:r>
        <w:rPr>
          <w:vertAlign w:val="baseline"/>
        </w:rPr>
        <w:t>cellulose in its versatility and usefulness. Starch has been rated as one of the best-known</w:t>
      </w:r>
      <w:r>
        <w:rPr>
          <w:spacing w:val="-57"/>
          <w:vertAlign w:val="baseline"/>
        </w:rPr>
        <w:t> </w:t>
      </w:r>
      <w:r>
        <w:rPr>
          <w:vertAlign w:val="baseline"/>
        </w:rPr>
        <w:t>excipients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 various pharmaceutical formulations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(Rashid </w:t>
      </w:r>
      <w:r>
        <w:rPr>
          <w:i/>
          <w:vertAlign w:val="baseline"/>
        </w:rPr>
        <w:t>et al.</w:t>
      </w:r>
      <w:r>
        <w:rPr>
          <w:vertAlign w:val="baseline"/>
        </w:rPr>
        <w:t>, 2013).</w:t>
      </w:r>
    </w:p>
    <w:p>
      <w:pPr>
        <w:pStyle w:val="BodyText"/>
        <w:spacing w:line="480" w:lineRule="auto" w:before="120"/>
        <w:ind w:left="465" w:right="1256"/>
        <w:jc w:val="both"/>
      </w:pPr>
      <w:r>
        <w:rPr/>
        <w:t>Starch forms the major</w:t>
      </w:r>
      <w:r>
        <w:rPr>
          <w:spacing w:val="1"/>
        </w:rPr>
        <w:t> </w:t>
      </w:r>
      <w:r>
        <w:rPr/>
        <w:t>component in tropical root and tuber</w:t>
      </w:r>
      <w:r>
        <w:rPr>
          <w:spacing w:val="1"/>
        </w:rPr>
        <w:t> </w:t>
      </w:r>
      <w:r>
        <w:rPr/>
        <w:t>crops and</w:t>
      </w:r>
      <w:r>
        <w:rPr>
          <w:spacing w:val="60"/>
        </w:rPr>
        <w:t> </w:t>
      </w:r>
      <w:r>
        <w:rPr/>
        <w:t>hence these</w:t>
      </w:r>
      <w:r>
        <w:rPr>
          <w:spacing w:val="1"/>
        </w:rPr>
        <w:t> </w:t>
      </w:r>
      <w:r>
        <w:rPr/>
        <w:t>crops are highly valued (Ghosh </w:t>
      </w:r>
      <w:r>
        <w:rPr>
          <w:i/>
        </w:rPr>
        <w:t>et al.</w:t>
      </w:r>
      <w:r>
        <w:rPr/>
        <w:t>, 1988; Chadha and Nair, 1994). The starch content</w:t>
      </w:r>
      <w:r>
        <w:rPr>
          <w:spacing w:val="-57"/>
        </w:rPr>
        <w:t> </w:t>
      </w:r>
      <w:r>
        <w:rPr/>
        <w:t>ranges</w:t>
      </w:r>
      <w:r>
        <w:rPr>
          <w:spacing w:val="1"/>
        </w:rPr>
        <w:t> </w:t>
      </w:r>
      <w:r>
        <w:rPr/>
        <w:t>from 15 – 40</w:t>
      </w:r>
      <w:r>
        <w:rPr>
          <w:spacing w:val="60"/>
        </w:rPr>
        <w:t> </w:t>
      </w:r>
      <w:r>
        <w:rPr/>
        <w:t>% on fresh</w:t>
      </w:r>
      <w:r>
        <w:rPr>
          <w:spacing w:val="60"/>
        </w:rPr>
        <w:t> </w:t>
      </w:r>
      <w:r>
        <w:rPr/>
        <w:t>weight basis. The starch content in cassava is among</w:t>
      </w:r>
      <w:r>
        <w:rPr>
          <w:spacing w:val="1"/>
        </w:rPr>
        <w:t> </w:t>
      </w:r>
      <w:r>
        <w:rPr/>
        <w:t>the highest in starch yielding crops. It is easy to extract and is obtained in pure form by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extraction.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bland</w:t>
      </w:r>
      <w:r>
        <w:rPr>
          <w:spacing w:val="1"/>
        </w:rPr>
        <w:t> </w:t>
      </w:r>
      <w:r>
        <w:rPr/>
        <w:t>taste,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paste</w:t>
      </w:r>
      <w:r>
        <w:rPr>
          <w:spacing w:val="1"/>
        </w:rPr>
        <w:t> </w:t>
      </w:r>
      <w:r>
        <w:rPr/>
        <w:t>clarity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fewer</w:t>
      </w:r>
      <w:r>
        <w:rPr>
          <w:spacing w:val="1"/>
        </w:rPr>
        <w:t> </w:t>
      </w:r>
      <w:r>
        <w:rPr/>
        <w:t>tendencies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retrograde compared to cereal starches makes cassava starch the preferred choice for</w:t>
      </w:r>
      <w:r>
        <w:rPr>
          <w:spacing w:val="1"/>
        </w:rPr>
        <w:t> </w:t>
      </w:r>
      <w:r>
        <w:rPr/>
        <w:t>food</w:t>
      </w:r>
      <w:r>
        <w:rPr>
          <w:spacing w:val="-2"/>
        </w:rPr>
        <w:t> </w:t>
      </w:r>
      <w:r>
        <w:rPr/>
        <w:t>purposes.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9"/>
        <w:jc w:val="both"/>
      </w:pPr>
      <w:r>
        <w:rPr/>
        <w:t>Untreated native starches are structurally too weak and functionally too restricted 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undesirable properties i.e. poor flowability and</w:t>
      </w:r>
      <w:r>
        <w:rPr>
          <w:spacing w:val="1"/>
        </w:rPr>
        <w:t> </w:t>
      </w:r>
      <w:r>
        <w:rPr/>
        <w:t>compressibility.</w:t>
      </w:r>
      <w:r>
        <w:rPr>
          <w:spacing w:val="1"/>
        </w:rPr>
        <w:t> </w:t>
      </w:r>
      <w:r>
        <w:rPr/>
        <w:t>Processing is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widen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pharmaceutical industry. Several approaches have been adopted to modify starch. The</w:t>
      </w:r>
      <w:r>
        <w:rPr>
          <w:spacing w:val="1"/>
        </w:rPr>
        <w:t> </w:t>
      </w:r>
      <w:r>
        <w:rPr/>
        <w:t>most</w:t>
      </w:r>
      <w:r>
        <w:rPr>
          <w:spacing w:val="16"/>
        </w:rPr>
        <w:t> </w:t>
      </w:r>
      <w:r>
        <w:rPr/>
        <w:t>common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reaction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starch</w:t>
      </w:r>
      <w:r>
        <w:rPr>
          <w:spacing w:val="16"/>
        </w:rPr>
        <w:t> </w:t>
      </w:r>
      <w:r>
        <w:rPr/>
        <w:t>with</w:t>
      </w:r>
      <w:r>
        <w:rPr>
          <w:spacing w:val="16"/>
        </w:rPr>
        <w:t> </w:t>
      </w:r>
      <w:r>
        <w:rPr/>
        <w:t>various</w:t>
      </w:r>
      <w:r>
        <w:rPr>
          <w:spacing w:val="15"/>
        </w:rPr>
        <w:t> </w:t>
      </w:r>
      <w:r>
        <w:rPr/>
        <w:t>chemicals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alter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arrangement</w:t>
      </w:r>
      <w:r>
        <w:rPr>
          <w:spacing w:val="-58"/>
        </w:rPr>
        <w:t> </w:t>
      </w:r>
      <w:r>
        <w:rPr/>
        <w:t>of the glucose chains in the starch granules, or to introduce additional chemical groups,</w:t>
      </w:r>
      <w:r>
        <w:rPr>
          <w:spacing w:val="1"/>
        </w:rPr>
        <w:t> </w:t>
      </w:r>
      <w:r>
        <w:rPr/>
        <w:t>such as phosphate or acetate to starch. These modifications modulate the behaviour of</w:t>
      </w:r>
      <w:r>
        <w:rPr>
          <w:spacing w:val="1"/>
        </w:rPr>
        <w:t> </w:t>
      </w:r>
      <w:r>
        <w:rPr/>
        <w:t>starch making it adaptable for a particular purpose. The modified starches are a major</w:t>
      </w:r>
      <w:r>
        <w:rPr>
          <w:spacing w:val="1"/>
        </w:rPr>
        <w:t> </w:t>
      </w:r>
      <w:r>
        <w:rPr/>
        <w:t>resource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 pharmaceutical industry.</w:t>
      </w:r>
    </w:p>
    <w:p>
      <w:pPr>
        <w:pStyle w:val="ListParagraph"/>
        <w:numPr>
          <w:ilvl w:val="3"/>
          <w:numId w:val="13"/>
        </w:numPr>
        <w:tabs>
          <w:tab w:pos="1186" w:val="left" w:leader="none"/>
        </w:tabs>
        <w:spacing w:line="240" w:lineRule="auto" w:before="121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Description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465" w:right="1256"/>
        <w:jc w:val="both"/>
      </w:pPr>
      <w:r>
        <w:rPr/>
        <w:t>Starch occurs as a fine, white powder that is odourless and tasteless, composed of very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spherical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elliptical</w:t>
      </w:r>
      <w:r>
        <w:rPr>
          <w:spacing w:val="1"/>
        </w:rPr>
        <w:t> </w:t>
      </w:r>
      <w:r>
        <w:rPr/>
        <w:t>granules.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botanical</w:t>
      </w:r>
      <w:r>
        <w:rPr>
          <w:spacing w:val="1"/>
        </w:rPr>
        <w:t> </w:t>
      </w:r>
      <w:r>
        <w:rPr/>
        <w:t>origin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determines the granule shape and size. It is insoluble in alcohol, most solvents and cold</w:t>
      </w:r>
      <w:r>
        <w:rPr>
          <w:spacing w:val="1"/>
        </w:rPr>
        <w:t> </w:t>
      </w:r>
      <w:r>
        <w:rPr/>
        <w:t>water. Gelatinization temperatures vary from starch to starch, but range from 60 – 75 ºC</w:t>
      </w:r>
      <w:r>
        <w:rPr>
          <w:spacing w:val="-57"/>
        </w:rPr>
        <w:t> </w:t>
      </w:r>
      <w:r>
        <w:rPr/>
        <w:t>(Hoover,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lose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gelatinization</w:t>
      </w:r>
      <w:r>
        <w:rPr>
          <w:spacing w:val="1"/>
        </w:rPr>
        <w:t> </w:t>
      </w:r>
      <w:r>
        <w:rPr/>
        <w:t>proceeds.</w:t>
      </w:r>
    </w:p>
    <w:p>
      <w:pPr>
        <w:pStyle w:val="BodyText"/>
        <w:spacing w:line="480" w:lineRule="auto" w:before="120"/>
        <w:ind w:left="465" w:right="1256"/>
        <w:jc w:val="both"/>
      </w:pPr>
      <w:r>
        <w:rPr/>
        <w:t>Starch is a semi-crystalline polymer. The linear amylose molecules are amorphous in</w:t>
      </w:r>
      <w:r>
        <w:rPr>
          <w:spacing w:val="1"/>
        </w:rPr>
        <w:t> </w:t>
      </w:r>
      <w:r>
        <w:rPr/>
        <w:t>nature, but the branched amylopectin portion has been reported as partially crystalline</w:t>
      </w:r>
      <w:r>
        <w:rPr>
          <w:spacing w:val="1"/>
        </w:rPr>
        <w:t> </w:t>
      </w:r>
      <w:r>
        <w:rPr/>
        <w:t>(French, 1984).</w:t>
      </w:r>
      <w:r>
        <w:rPr>
          <w:spacing w:val="1"/>
        </w:rPr>
        <w:t> </w:t>
      </w:r>
      <w:r>
        <w:rPr/>
        <w:t>It is</w:t>
      </w:r>
      <w:r>
        <w:rPr>
          <w:spacing w:val="1"/>
        </w:rPr>
        <w:t> </w:t>
      </w:r>
      <w:r>
        <w:rPr/>
        <w:t>believed that the crystalline regions</w:t>
      </w:r>
      <w:r>
        <w:rPr>
          <w:spacing w:val="1"/>
        </w:rPr>
        <w:t> </w:t>
      </w:r>
      <w:r>
        <w:rPr/>
        <w:t>in the starch granule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interspersed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amorphous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(French,</w:t>
      </w:r>
      <w:r>
        <w:rPr>
          <w:spacing w:val="1"/>
        </w:rPr>
        <w:t> </w:t>
      </w:r>
      <w:r>
        <w:rPr/>
        <w:t>1984).</w:t>
      </w:r>
      <w:r>
        <w:rPr>
          <w:spacing w:val="1"/>
        </w:rPr>
        <w:t> </w:t>
      </w:r>
      <w:r>
        <w:rPr/>
        <w:t>PXRD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-57"/>
        </w:rPr>
        <w:t> </w:t>
      </w:r>
      <w:r>
        <w:rPr/>
        <w:t>revealed that starch exists in three crystal forms designated as A, B and C (Ring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1988). These forms are dependent on the botanical source of the starch. Pattern A is</w:t>
      </w:r>
      <w:r>
        <w:rPr>
          <w:spacing w:val="1"/>
        </w:rPr>
        <w:t> </w:t>
      </w:r>
      <w:r>
        <w:rPr/>
        <w:t>observed for cereal grain starches, whereas pattern B is characteristic of tuber, fruit, and</w:t>
      </w:r>
      <w:r>
        <w:rPr>
          <w:spacing w:val="-57"/>
        </w:rPr>
        <w:t> </w:t>
      </w:r>
      <w:r>
        <w:rPr/>
        <w:t>stem</w:t>
      </w:r>
      <w:r>
        <w:rPr>
          <w:spacing w:val="1"/>
        </w:rPr>
        <w:t> </w:t>
      </w:r>
      <w:r>
        <w:rPr/>
        <w:t>starches.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intermediate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attributed</w:t>
      </w:r>
      <w:r>
        <w:rPr>
          <w:spacing w:val="-1"/>
        </w:rPr>
        <w:t> </w:t>
      </w:r>
      <w:r>
        <w:rPr/>
        <w:t>to mixtures of A</w:t>
      </w:r>
      <w:r>
        <w:rPr>
          <w:spacing w:val="-1"/>
        </w:rPr>
        <w:t> </w:t>
      </w:r>
      <w:r>
        <w:rPr/>
        <w:t>and B crystallites.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9"/>
        <w:jc w:val="both"/>
      </w:pPr>
      <w:r>
        <w:rPr/>
        <w:t>The crystalline order in starch granules is often the basic underlying factor influencing</w:t>
      </w:r>
      <w:r>
        <w:rPr>
          <w:spacing w:val="1"/>
        </w:rPr>
        <w:t> </w:t>
      </w:r>
      <w:r>
        <w:rPr/>
        <w:t>functional properties. The presence of amorphous and crystalline regions in the starch</w:t>
      </w:r>
      <w:r>
        <w:rPr>
          <w:spacing w:val="1"/>
        </w:rPr>
        <w:t> </w:t>
      </w:r>
      <w:r>
        <w:rPr/>
        <w:t>granules</w:t>
      </w:r>
      <w:r>
        <w:rPr>
          <w:spacing w:val="-1"/>
        </w:rPr>
        <w:t> </w:t>
      </w:r>
      <w:r>
        <w:rPr/>
        <w:t>creates more</w:t>
      </w:r>
      <w:r>
        <w:rPr>
          <w:spacing w:val="-1"/>
        </w:rPr>
        <w:t> </w:t>
      </w:r>
      <w:r>
        <w:rPr/>
        <w:t>opportunities for</w:t>
      </w:r>
      <w:r>
        <w:rPr>
          <w:spacing w:val="-1"/>
        </w:rPr>
        <w:t> </w:t>
      </w:r>
      <w:r>
        <w:rPr/>
        <w:t>starch modification.</w:t>
      </w:r>
    </w:p>
    <w:p>
      <w:pPr>
        <w:pStyle w:val="ListParagraph"/>
        <w:numPr>
          <w:ilvl w:val="3"/>
          <w:numId w:val="13"/>
        </w:numPr>
        <w:tabs>
          <w:tab w:pos="1186" w:val="left" w:leader="none"/>
        </w:tabs>
        <w:spacing w:line="240" w:lineRule="auto" w:before="120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uses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starch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465" w:right="1254"/>
        <w:jc w:val="both"/>
      </w:pPr>
      <w:r>
        <w:rPr/>
        <w:t>Starch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because,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its</w:t>
      </w:r>
      <w:r>
        <w:rPr>
          <w:spacing w:val="60"/>
        </w:rPr>
        <w:t> </w:t>
      </w:r>
      <w:r>
        <w:rPr/>
        <w:t>other</w:t>
      </w:r>
      <w:r>
        <w:rPr>
          <w:spacing w:val="1"/>
        </w:rPr>
        <w:t> </w:t>
      </w:r>
      <w:r>
        <w:rPr/>
        <w:t>properties, it is readily available, inexpensive, white and inert. Currently, starch is being</w:t>
      </w:r>
      <w:r>
        <w:rPr>
          <w:spacing w:val="-57"/>
        </w:rPr>
        <w:t> </w:t>
      </w:r>
      <w:r>
        <w:rPr/>
        <w:t>employed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tablet/capsule</w:t>
      </w:r>
      <w:r>
        <w:rPr>
          <w:spacing w:val="1"/>
        </w:rPr>
        <w:t> </w:t>
      </w:r>
      <w:r>
        <w:rPr/>
        <w:t>diluent,</w:t>
      </w:r>
      <w:r>
        <w:rPr>
          <w:spacing w:val="1"/>
        </w:rPr>
        <w:t> </w:t>
      </w:r>
      <w:r>
        <w:rPr/>
        <w:t>disintegrant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</w:t>
      </w:r>
      <w:r>
        <w:rPr>
          <w:spacing w:val="-57"/>
        </w:rPr>
        <w:t> </w:t>
      </w:r>
      <w:r>
        <w:rPr/>
        <w:t>development(Alebiowu,</w:t>
      </w:r>
      <w:r>
        <w:rPr>
          <w:spacing w:val="1"/>
        </w:rPr>
        <w:t> </w:t>
      </w:r>
      <w:r>
        <w:rPr/>
        <w:t>2001;Odeku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Akinwande, 2012;</w:t>
      </w:r>
      <w:r>
        <w:rPr>
          <w:spacing w:val="60"/>
        </w:rPr>
        <w:t> </w:t>
      </w:r>
      <w:r>
        <w:rPr/>
        <w:t>Odeku, 2013). Physical</w:t>
      </w:r>
      <w:r>
        <w:rPr>
          <w:spacing w:val="1"/>
        </w:rPr>
        <w:t> </w:t>
      </w:r>
      <w:r>
        <w:rPr/>
        <w:t>and chemical modifications have also been used to alter the granule structure of starch</w:t>
      </w:r>
      <w:r>
        <w:rPr>
          <w:spacing w:val="1"/>
        </w:rPr>
        <w:t> </w:t>
      </w:r>
      <w:r>
        <w:rPr/>
        <w:t>and modify their functional properties to eliminate some of its drawbacks, making them</w:t>
      </w:r>
      <w:r>
        <w:rPr>
          <w:spacing w:val="1"/>
        </w:rPr>
        <w:t> </w:t>
      </w:r>
      <w:r>
        <w:rPr/>
        <w:t>adaptable for specific uses (Alebiowu and Itiola, 2003; Lee </w:t>
      </w:r>
      <w:r>
        <w:rPr>
          <w:i/>
        </w:rPr>
        <w:t>et al.</w:t>
      </w:r>
      <w:r>
        <w:rPr/>
        <w:t>, 2004; Adedokun and</w:t>
      </w:r>
      <w:r>
        <w:rPr>
          <w:spacing w:val="1"/>
        </w:rPr>
        <w:t> </w:t>
      </w:r>
      <w:r>
        <w:rPr/>
        <w:t>Itiola,</w:t>
      </w:r>
      <w:r>
        <w:rPr>
          <w:spacing w:val="-1"/>
        </w:rPr>
        <w:t> </w:t>
      </w:r>
      <w:r>
        <w:rPr/>
        <w:t>2010;Assen</w:t>
      </w:r>
      <w:r>
        <w:rPr>
          <w:i/>
        </w:rPr>
        <w:t>et al.</w:t>
      </w:r>
      <w:r>
        <w:rPr/>
        <w:t>, 2011).</w:t>
      </w:r>
    </w:p>
    <w:p>
      <w:pPr>
        <w:pStyle w:val="BodyText"/>
        <w:spacing w:line="480" w:lineRule="auto" w:before="122"/>
        <w:ind w:left="465" w:right="1256"/>
        <w:jc w:val="both"/>
      </w:pPr>
      <w:r>
        <w:rPr/>
        <w:t>The functionality of starch in a formulation depends on its mode of application. Starch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disintegrant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external</w:t>
      </w:r>
      <w:r>
        <w:rPr>
          <w:spacing w:val="-57"/>
        </w:rPr>
        <w:t> </w:t>
      </w:r>
      <w:r>
        <w:rPr/>
        <w:t>lubrication of the granules. It may exhibit both binding and disintegrant properties when</w:t>
      </w:r>
      <w:r>
        <w:rPr>
          <w:spacing w:val="-57"/>
        </w:rPr>
        <w:t> </w:t>
      </w:r>
      <w:r>
        <w:rPr/>
        <w:t>it</w:t>
      </w:r>
      <w:r>
        <w:rPr>
          <w:spacing w:val="-1"/>
        </w:rPr>
        <w:t> </w:t>
      </w:r>
      <w:r>
        <w:rPr/>
        <w:t>is incorporated either as a paste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dry</w:t>
      </w:r>
      <w:r>
        <w:rPr>
          <w:spacing w:val="-5"/>
        </w:rPr>
        <w:t> </w:t>
      </w:r>
      <w:r>
        <w:rPr/>
        <w:t>before granulation with other</w:t>
      </w:r>
      <w:r>
        <w:rPr>
          <w:spacing w:val="-3"/>
        </w:rPr>
        <w:t> </w:t>
      </w:r>
      <w:r>
        <w:rPr/>
        <w:t>excipients.</w:t>
      </w:r>
    </w:p>
    <w:p>
      <w:pPr>
        <w:pStyle w:val="BodyText"/>
        <w:spacing w:line="480" w:lineRule="auto" w:before="120"/>
        <w:ind w:left="465" w:right="1254"/>
        <w:jc w:val="both"/>
      </w:pPr>
      <w:r>
        <w:rPr/>
        <w:t>It has been reported that starches densify by plastic deformation during compression but</w:t>
      </w:r>
      <w:r>
        <w:rPr>
          <w:spacing w:val="-57"/>
        </w:rPr>
        <w:t> </w:t>
      </w:r>
      <w:r>
        <w:rPr/>
        <w:t>this is largely dependent on the particle size, size distribution and particle shape (Odeku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2008; Adedokun and</w:t>
      </w:r>
      <w:r>
        <w:rPr>
          <w:spacing w:val="2"/>
        </w:rPr>
        <w:t> </w:t>
      </w:r>
      <w:r>
        <w:rPr/>
        <w:t>Itiola, 2010).</w:t>
      </w:r>
    </w:p>
    <w:p>
      <w:pPr>
        <w:pStyle w:val="BodyText"/>
        <w:spacing w:line="480" w:lineRule="auto" w:before="118"/>
        <w:ind w:left="465" w:right="1254"/>
        <w:jc w:val="both"/>
      </w:pP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modifications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pharmaceutical</w:t>
      </w:r>
      <w:r>
        <w:rPr>
          <w:spacing w:val="61"/>
        </w:rPr>
        <w:t> </w:t>
      </w:r>
      <w:r>
        <w:rPr/>
        <w:t>applications.</w:t>
      </w:r>
      <w:r>
        <w:rPr>
          <w:spacing w:val="1"/>
        </w:rPr>
        <w:t> </w:t>
      </w:r>
      <w:r>
        <w:rPr/>
        <w:t>pregelatinized or compressible starch has been chemically or mechanically processed to</w:t>
      </w:r>
      <w:r>
        <w:rPr>
          <w:spacing w:val="1"/>
        </w:rPr>
        <w:t> </w:t>
      </w:r>
      <w:r>
        <w:rPr/>
        <w:t>rupture all or part of the granules in water. It is then dried to yield an excipient material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formulations.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starches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chemical</w:t>
      </w:r>
      <w:r>
        <w:rPr>
          <w:spacing w:val="57"/>
        </w:rPr>
        <w:t> </w:t>
      </w:r>
      <w:r>
        <w:rPr/>
        <w:t>derivation</w:t>
      </w:r>
      <w:r>
        <w:rPr>
          <w:spacing w:val="57"/>
        </w:rPr>
        <w:t> </w:t>
      </w:r>
      <w:r>
        <w:rPr/>
        <w:t>such</w:t>
      </w:r>
      <w:r>
        <w:rPr>
          <w:spacing w:val="56"/>
        </w:rPr>
        <w:t> </w:t>
      </w:r>
      <w:r>
        <w:rPr/>
        <w:t>as</w:t>
      </w:r>
      <w:r>
        <w:rPr>
          <w:spacing w:val="58"/>
        </w:rPr>
        <w:t> </w:t>
      </w:r>
      <w:r>
        <w:rPr/>
        <w:t>etherification,</w:t>
      </w:r>
      <w:r>
        <w:rPr>
          <w:spacing w:val="57"/>
        </w:rPr>
        <w:t> </w:t>
      </w:r>
      <w:r>
        <w:rPr/>
        <w:t>esterification,</w:t>
      </w:r>
      <w:r>
        <w:rPr>
          <w:spacing w:val="56"/>
        </w:rPr>
        <w:t> </w:t>
      </w:r>
      <w:r>
        <w:rPr/>
        <w:t>cross-linking,</w:t>
      </w:r>
      <w:r>
        <w:rPr>
          <w:spacing w:val="59"/>
        </w:rPr>
        <w:t> </w:t>
      </w:r>
      <w:r>
        <w:rPr/>
        <w:t>and</w:t>
      </w:r>
      <w:r>
        <w:rPr>
          <w:spacing w:val="57"/>
        </w:rPr>
        <w:t> </w:t>
      </w:r>
      <w:r>
        <w:rPr/>
        <w:t>grafting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62"/>
        <w:jc w:val="both"/>
      </w:pPr>
      <w:r>
        <w:rPr/>
        <w:t>have been employed as drug delivery vehicles for controlled release of drugs and other</w:t>
      </w:r>
      <w:r>
        <w:rPr>
          <w:spacing w:val="1"/>
        </w:rPr>
        <w:t> </w:t>
      </w:r>
      <w:r>
        <w:rPr/>
        <w:t>bioactive</w:t>
      </w:r>
      <w:r>
        <w:rPr>
          <w:spacing w:val="-2"/>
        </w:rPr>
        <w:t> </w:t>
      </w:r>
      <w:r>
        <w:rPr/>
        <w:t>agents (Prochaska</w:t>
      </w:r>
      <w:r>
        <w:rPr>
          <w:spacing w:val="1"/>
        </w:rPr>
        <w:t> </w:t>
      </w:r>
      <w:r>
        <w:rPr>
          <w:i/>
        </w:rPr>
        <w:t>et al.</w:t>
      </w:r>
      <w:r>
        <w:rPr/>
        <w:t>, 2009).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2"/>
          <w:numId w:val="13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5" w:right="0" w:hanging="721"/>
        <w:jc w:val="left"/>
      </w:pPr>
      <w:bookmarkStart w:name="_TOC_250059" w:id="47"/>
      <w:r>
        <w:rPr/>
        <w:t>Cassava</w:t>
      </w:r>
      <w:r>
        <w:rPr>
          <w:spacing w:val="-2"/>
        </w:rPr>
        <w:t> </w:t>
      </w:r>
      <w:bookmarkEnd w:id="47"/>
      <w:r>
        <w:rPr/>
        <w:t>starch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4"/>
        <w:jc w:val="both"/>
      </w:pPr>
      <w:r>
        <w:rPr/>
        <w:t>Cassava, </w:t>
      </w:r>
      <w:r>
        <w:rPr>
          <w:i/>
        </w:rPr>
        <w:t>Manihot esculenta </w:t>
      </w:r>
      <w:r>
        <w:rPr/>
        <w:t>Crantz (Fam. Euphorbiaceae) also known as yucca (Central</w:t>
      </w:r>
      <w:r>
        <w:rPr>
          <w:spacing w:val="-57"/>
        </w:rPr>
        <w:t> </w:t>
      </w:r>
      <w:r>
        <w:rPr/>
        <w:t>America), mandioca or manioc (Brazil), tapioca (India and Malaysia), and cassada or</w:t>
      </w:r>
      <w:r>
        <w:rPr>
          <w:spacing w:val="1"/>
        </w:rPr>
        <w:t> </w:t>
      </w:r>
      <w:r>
        <w:rPr/>
        <w:t>cassava (Africa and Southeast Asia) (Grace, 1977; Tonukari, 2004) is an important</w:t>
      </w:r>
      <w:r>
        <w:rPr>
          <w:spacing w:val="1"/>
        </w:rPr>
        <w:t> </w:t>
      </w:r>
      <w:r>
        <w:rPr/>
        <w:t>starchy staple of lowland tropics and a major source of food support for some of the</w:t>
      </w:r>
      <w:r>
        <w:rPr>
          <w:spacing w:val="1"/>
        </w:rPr>
        <w:t> </w:t>
      </w:r>
      <w:r>
        <w:rPr/>
        <w:t>poorest nations of the world. It is one of the world‟s cheapest and most popular stable</w:t>
      </w:r>
      <w:r>
        <w:rPr>
          <w:spacing w:val="1"/>
        </w:rPr>
        <w:t> </w:t>
      </w:r>
      <w:r>
        <w:rPr/>
        <w:t>crops in countries such as Nigeria, Brazil, and Thailand (Bean and Setser, 1992; Odeku,</w:t>
      </w:r>
      <w:r>
        <w:rPr>
          <w:spacing w:val="1"/>
        </w:rPr>
        <w:t> </w:t>
      </w:r>
      <w:r>
        <w:rPr/>
        <w:t>2013).</w:t>
      </w:r>
    </w:p>
    <w:p>
      <w:pPr>
        <w:pStyle w:val="BodyText"/>
        <w:spacing w:line="480" w:lineRule="auto" w:before="121"/>
        <w:ind w:left="465" w:right="1258"/>
        <w:jc w:val="both"/>
      </w:pPr>
      <w:r>
        <w:rPr/>
        <w:t>Cassava has become a dependable substitute for barley and wheat for countries that do</w:t>
      </w:r>
      <w:r>
        <w:rPr>
          <w:spacing w:val="1"/>
        </w:rPr>
        <w:t> </w:t>
      </w:r>
      <w:r>
        <w:rPr/>
        <w:t>not produce barley and wheat. Cassava starch is an important carbohydrate in tropical</w:t>
      </w:r>
      <w:r>
        <w:rPr>
          <w:spacing w:val="1"/>
        </w:rPr>
        <w:t> </w:t>
      </w:r>
      <w:r>
        <w:rPr/>
        <w:t>countries worldwide. It has a characteristic bland flavour and gives a stringy cohesive</w:t>
      </w:r>
      <w:r>
        <w:rPr>
          <w:spacing w:val="1"/>
        </w:rPr>
        <w:t> </w:t>
      </w:r>
      <w:r>
        <w:rPr/>
        <w:t>paste</w:t>
      </w:r>
      <w:r>
        <w:rPr>
          <w:spacing w:val="-1"/>
        </w:rPr>
        <w:t> </w:t>
      </w:r>
      <w:r>
        <w:rPr/>
        <w:t>when</w:t>
      </w:r>
      <w:r>
        <w:rPr>
          <w:spacing w:val="2"/>
        </w:rPr>
        <w:t> </w:t>
      </w:r>
      <w:r>
        <w:rPr/>
        <w:t>gelatinized (Moorthy, 2001).</w:t>
      </w:r>
    </w:p>
    <w:p>
      <w:pPr>
        <w:pStyle w:val="BodyText"/>
        <w:spacing w:line="480" w:lineRule="auto" w:before="120"/>
        <w:ind w:left="465" w:right="1254"/>
        <w:jc w:val="both"/>
      </w:pPr>
      <w:r>
        <w:rPr/>
        <w:t>Cassava ranks very high among crops that convert the greatest amount of solar energy</w:t>
      </w:r>
      <w:r>
        <w:rPr>
          <w:spacing w:val="1"/>
        </w:rPr>
        <w:t> </w:t>
      </w:r>
      <w:r>
        <w:rPr/>
        <w:t>into soluble carbohydrates per unit area. Among the starchy staples, cassava gives a</w:t>
      </w:r>
      <w:r>
        <w:rPr>
          <w:spacing w:val="1"/>
        </w:rPr>
        <w:t> </w:t>
      </w:r>
      <w:r>
        <w:rPr/>
        <w:t>carbohydrate production which is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40 % higher</w:t>
      </w:r>
      <w:r>
        <w:rPr>
          <w:spacing w:val="1"/>
        </w:rPr>
        <w:t> </w:t>
      </w:r>
      <w:r>
        <w:rPr/>
        <w:t>than rice and 25</w:t>
      </w:r>
      <w:r>
        <w:rPr>
          <w:spacing w:val="60"/>
        </w:rPr>
        <w:t> </w:t>
      </w:r>
      <w:r>
        <w:rPr/>
        <w:t>% superior to</w:t>
      </w:r>
      <w:r>
        <w:rPr>
          <w:spacing w:val="1"/>
        </w:rPr>
        <w:t> </w:t>
      </w:r>
      <w:r>
        <w:rPr/>
        <w:t>corn, making cassava the cheapest source of calories for both</w:t>
      </w:r>
      <w:r>
        <w:rPr>
          <w:spacing w:val="1"/>
        </w:rPr>
        <w:t> </w:t>
      </w:r>
      <w:r>
        <w:rPr/>
        <w:t>human nutrition and</w:t>
      </w:r>
      <w:r>
        <w:rPr>
          <w:spacing w:val="1"/>
        </w:rPr>
        <w:t> </w:t>
      </w:r>
      <w:r>
        <w:rPr/>
        <w:t>animal feeding. Typical composition of cassava root is moisture (70 %), starch (24 %),</w:t>
      </w:r>
      <w:r>
        <w:rPr>
          <w:spacing w:val="1"/>
        </w:rPr>
        <w:t> </w:t>
      </w:r>
      <w:r>
        <w:rPr/>
        <w:t>fiber (2 %), protein (1 %) and other substances including minerals (3 %) (Tonukari,</w:t>
      </w:r>
      <w:r>
        <w:rPr>
          <w:spacing w:val="1"/>
        </w:rPr>
        <w:t> </w:t>
      </w:r>
      <w:r>
        <w:rPr/>
        <w:t>2004). The granule size of cassava starch ranges from 5 to 40 µm with a shape that is</w:t>
      </w:r>
      <w:r>
        <w:rPr>
          <w:spacing w:val="1"/>
        </w:rPr>
        <w:t> </w:t>
      </w:r>
      <w:r>
        <w:rPr/>
        <w:t>close</w:t>
      </w:r>
      <w:r>
        <w:rPr>
          <w:spacing w:val="-1"/>
        </w:rPr>
        <w:t> </w:t>
      </w:r>
      <w:r>
        <w:rPr/>
        <w:t>to spherical. Table 2.2 shows the USP</w:t>
      </w:r>
      <w:r>
        <w:rPr>
          <w:spacing w:val="-1"/>
        </w:rPr>
        <w:t> </w:t>
      </w:r>
      <w:r>
        <w:rPr/>
        <w:t>specifications of cassava</w:t>
      </w:r>
      <w:r>
        <w:rPr>
          <w:spacing w:val="-1"/>
        </w:rPr>
        <w:t> </w:t>
      </w:r>
      <w:r>
        <w:rPr/>
        <w:t>starch.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ind w:left="465"/>
      </w:pPr>
      <w:r>
        <w:rPr/>
        <w:t>Table</w:t>
      </w:r>
      <w:r>
        <w:rPr>
          <w:spacing w:val="-3"/>
        </w:rPr>
        <w:t> </w:t>
      </w:r>
      <w:r>
        <w:rPr/>
        <w:t>2.2:</w:t>
      </w:r>
      <w:r>
        <w:rPr>
          <w:spacing w:val="-1"/>
        </w:rPr>
        <w:t> </w:t>
      </w:r>
      <w:r>
        <w:rPr/>
        <w:t>USP</w:t>
      </w:r>
      <w:r>
        <w:rPr>
          <w:spacing w:val="-4"/>
        </w:rPr>
        <w:t> </w:t>
      </w:r>
      <w:r>
        <w:rPr/>
        <w:t>specifications</w:t>
      </w:r>
      <w:r>
        <w:rPr>
          <w:spacing w:val="-1"/>
        </w:rPr>
        <w:t> </w:t>
      </w:r>
      <w:r>
        <w:rPr/>
        <w:t>of cassava</w:t>
      </w:r>
      <w:r>
        <w:rPr>
          <w:spacing w:val="-1"/>
        </w:rPr>
        <w:t> </w:t>
      </w:r>
      <w:r>
        <w:rPr/>
        <w:t>starch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6"/>
        <w:gridCol w:w="4913"/>
      </w:tblGrid>
      <w:tr>
        <w:trPr>
          <w:trHeight w:val="551" w:hRule="atLeast"/>
        </w:trPr>
        <w:tc>
          <w:tcPr>
            <w:tcW w:w="3816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Properties</w:t>
            </w:r>
          </w:p>
        </w:tc>
        <w:tc>
          <w:tcPr>
            <w:tcW w:w="4913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660"/>
              <w:rPr>
                <w:b/>
                <w:sz w:val="24"/>
              </w:rPr>
            </w:pPr>
            <w:r>
              <w:rPr>
                <w:b/>
                <w:sz w:val="24"/>
              </w:rPr>
              <w:t>Observations</w:t>
            </w:r>
          </w:p>
        </w:tc>
      </w:tr>
      <w:tr>
        <w:trPr>
          <w:trHeight w:val="413" w:hRule="atLeast"/>
        </w:trPr>
        <w:tc>
          <w:tcPr>
            <w:tcW w:w="38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Appearance</w:t>
            </w:r>
          </w:p>
        </w:tc>
        <w:tc>
          <w:tcPr>
            <w:tcW w:w="49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660"/>
              <w:rPr>
                <w:sz w:val="24"/>
              </w:rPr>
            </w:pPr>
            <w:r>
              <w:rPr>
                <w:sz w:val="24"/>
              </w:rPr>
              <w:t>White</w:t>
            </w:r>
          </w:p>
        </w:tc>
      </w:tr>
      <w:tr>
        <w:trPr>
          <w:trHeight w:val="552" w:hRule="atLeast"/>
        </w:trPr>
        <w:tc>
          <w:tcPr>
            <w:tcW w:w="381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4913" w:type="dxa"/>
          </w:tcPr>
          <w:p>
            <w:pPr>
              <w:pStyle w:val="TableParagraph"/>
              <w:spacing w:before="133"/>
              <w:ind w:left="660"/>
              <w:rPr>
                <w:sz w:val="24"/>
              </w:rPr>
            </w:pPr>
            <w:r>
              <w:rPr>
                <w:sz w:val="24"/>
              </w:rPr>
              <w:t>Powder</w:t>
            </w:r>
          </w:p>
        </w:tc>
      </w:tr>
      <w:tr>
        <w:trPr>
          <w:trHeight w:val="551" w:hRule="atLeast"/>
        </w:trPr>
        <w:tc>
          <w:tcPr>
            <w:tcW w:w="381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Odour</w:t>
            </w:r>
          </w:p>
        </w:tc>
        <w:tc>
          <w:tcPr>
            <w:tcW w:w="4913" w:type="dxa"/>
          </w:tcPr>
          <w:p>
            <w:pPr>
              <w:pStyle w:val="TableParagraph"/>
              <w:spacing w:before="133"/>
              <w:ind w:left="660"/>
              <w:rPr>
                <w:sz w:val="24"/>
              </w:rPr>
            </w:pPr>
            <w:r>
              <w:rPr>
                <w:sz w:val="24"/>
              </w:rPr>
              <w:t>Odourless</w:t>
            </w:r>
          </w:p>
        </w:tc>
      </w:tr>
      <w:tr>
        <w:trPr>
          <w:trHeight w:val="551" w:hRule="atLeast"/>
        </w:trPr>
        <w:tc>
          <w:tcPr>
            <w:tcW w:w="381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Particle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(μm)</w:t>
            </w:r>
          </w:p>
        </w:tc>
        <w:tc>
          <w:tcPr>
            <w:tcW w:w="4913" w:type="dxa"/>
          </w:tcPr>
          <w:p>
            <w:pPr>
              <w:pStyle w:val="TableParagraph"/>
              <w:spacing w:before="133"/>
              <w:ind w:left="660"/>
              <w:rPr>
                <w:sz w:val="24"/>
              </w:rPr>
            </w:pPr>
            <w:r>
              <w:rPr>
                <w:sz w:val="24"/>
              </w:rPr>
              <w:t>5-35</w:t>
            </w:r>
          </w:p>
        </w:tc>
      </w:tr>
      <w:tr>
        <w:trPr>
          <w:trHeight w:val="552" w:hRule="atLeast"/>
        </w:trPr>
        <w:tc>
          <w:tcPr>
            <w:tcW w:w="381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Shape</w:t>
            </w:r>
          </w:p>
        </w:tc>
        <w:tc>
          <w:tcPr>
            <w:tcW w:w="4913" w:type="dxa"/>
          </w:tcPr>
          <w:p>
            <w:pPr>
              <w:pStyle w:val="TableParagraph"/>
              <w:spacing w:before="133"/>
              <w:ind w:left="660"/>
              <w:rPr>
                <w:sz w:val="24"/>
              </w:rPr>
            </w:pPr>
            <w:r>
              <w:rPr>
                <w:sz w:val="24"/>
              </w:rPr>
              <w:t>Round,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spherical</w:t>
            </w:r>
          </w:p>
        </w:tc>
      </w:tr>
      <w:tr>
        <w:trPr>
          <w:trHeight w:val="552" w:hRule="atLeast"/>
        </w:trPr>
        <w:tc>
          <w:tcPr>
            <w:tcW w:w="381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4913" w:type="dxa"/>
          </w:tcPr>
          <w:p>
            <w:pPr>
              <w:pStyle w:val="TableParagraph"/>
              <w:spacing w:before="133"/>
              <w:ind w:left="660"/>
              <w:rPr>
                <w:sz w:val="24"/>
              </w:rPr>
            </w:pPr>
            <w:r>
              <w:rPr>
                <w:sz w:val="24"/>
              </w:rPr>
              <w:t>4.5-7.0</w:t>
            </w:r>
          </w:p>
        </w:tc>
      </w:tr>
      <w:tr>
        <w:trPr>
          <w:trHeight w:val="530" w:hRule="atLeast"/>
        </w:trPr>
        <w:tc>
          <w:tcPr>
            <w:tcW w:w="381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Solubility</w:t>
            </w:r>
          </w:p>
        </w:tc>
        <w:tc>
          <w:tcPr>
            <w:tcW w:w="4913" w:type="dxa"/>
          </w:tcPr>
          <w:p>
            <w:pPr>
              <w:pStyle w:val="TableParagraph"/>
              <w:spacing w:before="133"/>
              <w:ind w:left="660"/>
              <w:rPr>
                <w:sz w:val="24"/>
              </w:rPr>
            </w:pPr>
            <w:r>
              <w:rPr>
                <w:sz w:val="24"/>
              </w:rPr>
              <w:t>Insoluble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</w:tr>
      <w:tr>
        <w:trPr>
          <w:trHeight w:val="577" w:hRule="atLeast"/>
        </w:trPr>
        <w:tc>
          <w:tcPr>
            <w:tcW w:w="3816" w:type="dxa"/>
          </w:tcPr>
          <w:p>
            <w:pPr>
              <w:pStyle w:val="TableParagraph"/>
              <w:spacing w:before="151"/>
              <w:ind w:left="115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drying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vertAlign w:val="superscript"/>
              </w:rPr>
              <w:t>w</w:t>
            </w:r>
            <w:r>
              <w:rPr>
                <w:sz w:val="24"/>
                <w:vertAlign w:val="baseline"/>
              </w:rPr>
              <w:t>/</w:t>
            </w:r>
            <w:r>
              <w:rPr>
                <w:sz w:val="24"/>
                <w:vertAlign w:val="subscript"/>
              </w:rPr>
              <w:t>w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4913" w:type="dxa"/>
          </w:tcPr>
          <w:p>
            <w:pPr>
              <w:pStyle w:val="TableParagraph"/>
              <w:spacing w:before="151"/>
              <w:ind w:left="660"/>
              <w:rPr>
                <w:sz w:val="24"/>
              </w:rPr>
            </w:pPr>
            <w:r>
              <w:rPr>
                <w:sz w:val="24"/>
              </w:rPr>
              <w:t>≤ 16</w:t>
            </w:r>
          </w:p>
        </w:tc>
      </w:tr>
      <w:tr>
        <w:trPr>
          <w:trHeight w:val="544" w:hRule="atLeast"/>
        </w:trPr>
        <w:tc>
          <w:tcPr>
            <w:tcW w:w="3816" w:type="dxa"/>
          </w:tcPr>
          <w:p>
            <w:pPr>
              <w:pStyle w:val="TableParagraph"/>
              <w:spacing w:before="126"/>
              <w:ind w:left="115"/>
              <w:rPr>
                <w:sz w:val="24"/>
              </w:rPr>
            </w:pPr>
            <w:r>
              <w:rPr>
                <w:sz w:val="24"/>
              </w:rPr>
              <w:t>Bulk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(g/mL)</w:t>
            </w:r>
          </w:p>
        </w:tc>
        <w:tc>
          <w:tcPr>
            <w:tcW w:w="4913" w:type="dxa"/>
          </w:tcPr>
          <w:p>
            <w:pPr>
              <w:pStyle w:val="TableParagraph"/>
              <w:spacing w:before="126"/>
              <w:ind w:left="660"/>
              <w:rPr>
                <w:sz w:val="24"/>
              </w:rPr>
            </w:pPr>
            <w:r>
              <w:rPr>
                <w:sz w:val="24"/>
              </w:rPr>
              <w:t>0.623</w:t>
            </w:r>
          </w:p>
        </w:tc>
      </w:tr>
      <w:tr>
        <w:trPr>
          <w:trHeight w:val="552" w:hRule="atLeast"/>
        </w:trPr>
        <w:tc>
          <w:tcPr>
            <w:tcW w:w="381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Tapped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(g/mL)</w:t>
            </w:r>
          </w:p>
        </w:tc>
        <w:tc>
          <w:tcPr>
            <w:tcW w:w="4913" w:type="dxa"/>
          </w:tcPr>
          <w:p>
            <w:pPr>
              <w:pStyle w:val="TableParagraph"/>
              <w:spacing w:before="133"/>
              <w:ind w:left="660"/>
              <w:rPr>
                <w:sz w:val="24"/>
              </w:rPr>
            </w:pPr>
            <w:r>
              <w:rPr>
                <w:sz w:val="24"/>
              </w:rPr>
              <w:t>0.873</w:t>
            </w:r>
          </w:p>
        </w:tc>
      </w:tr>
      <w:tr>
        <w:trPr>
          <w:trHeight w:val="552" w:hRule="atLeast"/>
        </w:trPr>
        <w:tc>
          <w:tcPr>
            <w:tcW w:w="381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True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(g/mL)</w:t>
            </w:r>
          </w:p>
        </w:tc>
        <w:tc>
          <w:tcPr>
            <w:tcW w:w="4913" w:type="dxa"/>
          </w:tcPr>
          <w:p>
            <w:pPr>
              <w:pStyle w:val="TableParagraph"/>
              <w:spacing w:before="133"/>
              <w:ind w:left="660"/>
              <w:rPr>
                <w:sz w:val="24"/>
              </w:rPr>
            </w:pPr>
            <w:r>
              <w:rPr>
                <w:sz w:val="24"/>
              </w:rPr>
              <w:t>1.48</w:t>
            </w:r>
          </w:p>
        </w:tc>
      </w:tr>
      <w:tr>
        <w:trPr>
          <w:trHeight w:val="552" w:hRule="atLeast"/>
        </w:trPr>
        <w:tc>
          <w:tcPr>
            <w:tcW w:w="381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Amylose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4913" w:type="dxa"/>
          </w:tcPr>
          <w:p>
            <w:pPr>
              <w:pStyle w:val="TableParagraph"/>
              <w:spacing w:before="133"/>
              <w:ind w:left="660"/>
              <w:rPr>
                <w:sz w:val="24"/>
              </w:rPr>
            </w:pPr>
            <w:r>
              <w:rPr>
                <w:sz w:val="24"/>
              </w:rPr>
              <w:t>24.73</w:t>
            </w:r>
          </w:p>
        </w:tc>
      </w:tr>
      <w:tr>
        <w:trPr>
          <w:trHeight w:val="694" w:hRule="atLeast"/>
        </w:trPr>
        <w:tc>
          <w:tcPr>
            <w:tcW w:w="381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Gelatinization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(°C)</w:t>
            </w:r>
          </w:p>
        </w:tc>
        <w:tc>
          <w:tcPr>
            <w:tcW w:w="491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660"/>
              <w:rPr>
                <w:sz w:val="24"/>
              </w:rPr>
            </w:pPr>
            <w:r>
              <w:rPr>
                <w:sz w:val="24"/>
              </w:rPr>
              <w:t>≈ 63</w:t>
            </w:r>
          </w:p>
        </w:tc>
      </w:tr>
    </w:tbl>
    <w:p>
      <w:pPr>
        <w:pStyle w:val="BodyText"/>
        <w:ind w:left="465"/>
      </w:pPr>
      <w:r>
        <w:rPr/>
        <w:t>(Source:</w:t>
      </w:r>
      <w:r>
        <w:rPr>
          <w:spacing w:val="-2"/>
        </w:rPr>
        <w:t> </w:t>
      </w:r>
      <w:r>
        <w:rPr/>
        <w:t>USP/NF,</w:t>
      </w:r>
      <w:r>
        <w:rPr>
          <w:spacing w:val="-2"/>
        </w:rPr>
        <w:t> </w:t>
      </w:r>
      <w:r>
        <w:rPr/>
        <w:t>2009)</w:t>
      </w:r>
    </w:p>
    <w:p>
      <w:pPr>
        <w:spacing w:after="0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9"/>
        <w:jc w:val="both"/>
      </w:pPr>
      <w:r>
        <w:rPr/>
        <w:t>Cassava starch has been shown to deform mainly by plastic flow during compression in</w:t>
      </w:r>
      <w:r>
        <w:rPr>
          <w:spacing w:val="1"/>
        </w:rPr>
        <w:t> </w:t>
      </w:r>
      <w:r>
        <w:rPr/>
        <w:t>a similar manner to</w:t>
      </w:r>
      <w:r>
        <w:rPr>
          <w:spacing w:val="1"/>
        </w:rPr>
        <w:t> </w:t>
      </w:r>
      <w:r>
        <w:rPr/>
        <w:t>official corn starch, suggesting that cassava starch</w:t>
      </w:r>
      <w:r>
        <w:rPr>
          <w:spacing w:val="1"/>
        </w:rPr>
        <w:t> </w:t>
      </w:r>
      <w:r>
        <w:rPr/>
        <w:t>could</w:t>
      </w:r>
      <w:r>
        <w:rPr>
          <w:spacing w:val="60"/>
        </w:rPr>
        <w:t> </w:t>
      </w:r>
      <w:r>
        <w:rPr/>
        <w:t>replace</w:t>
      </w:r>
      <w:r>
        <w:rPr>
          <w:spacing w:val="1"/>
        </w:rPr>
        <w:t> </w:t>
      </w:r>
      <w:r>
        <w:rPr/>
        <w:t>corn starch in tablet formulations (Itiola, 1991). A study of the packing and cohesive</w:t>
      </w:r>
      <w:r>
        <w:rPr>
          <w:spacing w:val="1"/>
        </w:rPr>
        <w:t> </w:t>
      </w:r>
      <w:r>
        <w:rPr/>
        <w:t>properties of cassava starch has revealed that cassava starch, having a round and more</w:t>
      </w:r>
      <w:r>
        <w:rPr>
          <w:spacing w:val="1"/>
        </w:rPr>
        <w:t> </w:t>
      </w:r>
      <w:r>
        <w:rPr/>
        <w:t>regular shape possessed the lowest shape factor which could promote tight packing of</w:t>
      </w:r>
      <w:r>
        <w:rPr>
          <w:spacing w:val="1"/>
        </w:rPr>
        <w:t> </w:t>
      </w:r>
      <w:r>
        <w:rPr/>
        <w:t>particles and could be useful in the production of capsules (Itiola and Odeku, 2005).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binder 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formulation,</w:t>
      </w:r>
      <w:r>
        <w:rPr>
          <w:spacing w:val="1"/>
        </w:rPr>
        <w:t> </w:t>
      </w:r>
      <w:r>
        <w:rPr/>
        <w:t>cassava starch</w:t>
      </w:r>
      <w:r>
        <w:rPr>
          <w:spacing w:val="1"/>
        </w:rPr>
        <w:t> </w:t>
      </w:r>
      <w:r>
        <w:rPr/>
        <w:t>exhibited</w:t>
      </w:r>
      <w:r>
        <w:rPr>
          <w:spacing w:val="-1"/>
        </w:rPr>
        <w:t> </w:t>
      </w:r>
      <w:r>
        <w:rPr/>
        <w:t>stronger binding</w:t>
      </w:r>
      <w:r>
        <w:rPr>
          <w:spacing w:val="-4"/>
        </w:rPr>
        <w:t> </w:t>
      </w:r>
      <w:r>
        <w:rPr/>
        <w:t>potential than gelatin BP (Itiola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Amoo,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spacing w:line="480" w:lineRule="auto" w:before="121"/>
        <w:ind w:left="465" w:right="1254"/>
        <w:jc w:val="both"/>
      </w:pP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(Nwanekezi </w:t>
      </w:r>
      <w:r>
        <w:rPr>
          <w:i/>
        </w:rPr>
        <w:t>et al.</w:t>
      </w:r>
      <w:r>
        <w:rPr/>
        <w:t>, 2000). Tapioca starch was modified by cross-linking in the presence</w:t>
      </w:r>
      <w:r>
        <w:rPr>
          <w:spacing w:val="1"/>
        </w:rPr>
        <w:t> </w:t>
      </w:r>
      <w:r>
        <w:rPr/>
        <w:t>of alkaline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trimetaphosphate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 hydrolysis</w:t>
      </w:r>
      <w:r>
        <w:rPr>
          <w:spacing w:val="60"/>
        </w:rPr>
        <w:t> </w:t>
      </w:r>
      <w:r>
        <w:rPr/>
        <w:t>using 6</w:t>
      </w:r>
      <w:r>
        <w:rPr>
          <w:spacing w:val="60"/>
        </w:rPr>
        <w:t> </w:t>
      </w:r>
      <w:r>
        <w:rPr/>
        <w:t>% w/v</w:t>
      </w:r>
      <w:r>
        <w:rPr>
          <w:spacing w:val="-57"/>
        </w:rPr>
        <w:t> </w:t>
      </w:r>
      <w:r>
        <w:rPr/>
        <w:t>HCl solution at room temperature for 192 h. The native, cross-linked, and acid-modified</w:t>
      </w:r>
      <w:r>
        <w:rPr>
          <w:spacing w:val="-57"/>
        </w:rPr>
        <w:t> </w:t>
      </w:r>
      <w:r>
        <w:rPr/>
        <w:t>tapioca</w:t>
      </w:r>
      <w:r>
        <w:rPr>
          <w:spacing w:val="1"/>
        </w:rPr>
        <w:t> </w:t>
      </w:r>
      <w:r>
        <w:rPr/>
        <w:t>starches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spray-dried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agglomerated</w:t>
      </w:r>
      <w:r>
        <w:rPr>
          <w:spacing w:val="60"/>
        </w:rPr>
        <w:t> </w:t>
      </w:r>
      <w:r>
        <w:rPr/>
        <w:t>starch</w:t>
      </w:r>
      <w:r>
        <w:rPr>
          <w:spacing w:val="1"/>
        </w:rPr>
        <w:t> </w:t>
      </w:r>
      <w:r>
        <w:rPr/>
        <w:t>granules with better flowability suitable for direct compression. It was observed that</w:t>
      </w:r>
      <w:r>
        <w:rPr>
          <w:spacing w:val="1"/>
        </w:rPr>
        <w:t> </w:t>
      </w:r>
      <w:r>
        <w:rPr/>
        <w:t>cross-linking did not increase the relative crystallinity or the melting enthalpy of tapioca</w:t>
      </w:r>
      <w:r>
        <w:rPr>
          <w:spacing w:val="-57"/>
        </w:rPr>
        <w:t> </w:t>
      </w:r>
      <w:r>
        <w:rPr/>
        <w:t>starch while acid hydrolysis resulted in</w:t>
      </w:r>
      <w:r>
        <w:rPr>
          <w:spacing w:val="1"/>
        </w:rPr>
        <w:t> </w:t>
      </w:r>
      <w:r>
        <w:rPr/>
        <w:t>an increase in the crystallinity of</w:t>
      </w:r>
      <w:r>
        <w:rPr>
          <w:spacing w:val="1"/>
        </w:rPr>
        <w:t> </w:t>
      </w:r>
      <w:r>
        <w:rPr/>
        <w:t>both starches</w:t>
      </w:r>
      <w:r>
        <w:rPr>
          <w:spacing w:val="1"/>
        </w:rPr>
        <w:t> </w:t>
      </w:r>
      <w:r>
        <w:rPr/>
        <w:t>by the removal of the amorphous regions. The native and cross-linked tapioca starches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very low</w:t>
      </w:r>
      <w:r>
        <w:rPr>
          <w:spacing w:val="1"/>
        </w:rPr>
        <w:t> </w:t>
      </w:r>
      <w:r>
        <w:rPr/>
        <w:t>crushing strength,</w:t>
      </w:r>
      <w:r>
        <w:rPr>
          <w:spacing w:val="1"/>
        </w:rPr>
        <w:t> </w:t>
      </w:r>
      <w:r>
        <w:rPr/>
        <w:t>while the acid-modified</w:t>
      </w:r>
      <w:r>
        <w:rPr>
          <w:spacing w:val="1"/>
        </w:rPr>
        <w:t> </w:t>
      </w:r>
      <w:r>
        <w:rPr/>
        <w:t>starches</w:t>
      </w:r>
      <w:r>
        <w:rPr>
          <w:spacing w:val="1"/>
        </w:rPr>
        <w:t> </w:t>
      </w:r>
      <w:r>
        <w:rPr/>
        <w:t>produced tablets with higher crushing strength. Acid-modified and acid-modified cross-</w:t>
      </w:r>
      <w:r>
        <w:rPr>
          <w:spacing w:val="1"/>
        </w:rPr>
        <w:t> </w:t>
      </w:r>
      <w:r>
        <w:rPr/>
        <w:t>linked tapioca starches were shown to be useful as fillers in direct compression tablet</w:t>
      </w:r>
      <w:r>
        <w:rPr>
          <w:spacing w:val="1"/>
        </w:rPr>
        <w:t> </w:t>
      </w:r>
      <w:r>
        <w:rPr/>
        <w:t>preparation</w:t>
      </w:r>
      <w:r>
        <w:rPr>
          <w:spacing w:val="-1"/>
        </w:rPr>
        <w:t> </w:t>
      </w:r>
      <w:r>
        <w:rPr/>
        <w:t>(Nwanekezi</w:t>
      </w:r>
      <w:r>
        <w:rPr>
          <w:spacing w:val="2"/>
        </w:rPr>
        <w:t> </w:t>
      </w:r>
      <w:r>
        <w:rPr>
          <w:i/>
        </w:rPr>
        <w:t>et al.</w:t>
      </w:r>
      <w:r>
        <w:rPr/>
        <w:t>, 2000; Assen </w:t>
      </w:r>
      <w:r>
        <w:rPr>
          <w:i/>
        </w:rPr>
        <w:t>et al.</w:t>
      </w:r>
      <w:r>
        <w:rPr/>
        <w:t>, 2011).</w:t>
      </w:r>
    </w:p>
    <w:p>
      <w:pPr>
        <w:pStyle w:val="BodyText"/>
        <w:spacing w:before="2"/>
        <w:rPr>
          <w:sz w:val="21"/>
        </w:rPr>
      </w:pPr>
    </w:p>
    <w:p>
      <w:pPr>
        <w:pStyle w:val="Heading3"/>
        <w:numPr>
          <w:ilvl w:val="2"/>
          <w:numId w:val="13"/>
        </w:numPr>
        <w:tabs>
          <w:tab w:pos="1186" w:val="left" w:leader="none"/>
        </w:tabs>
        <w:spacing w:line="240" w:lineRule="auto" w:before="1" w:after="0"/>
        <w:ind w:left="1185" w:right="0" w:hanging="721"/>
        <w:jc w:val="both"/>
      </w:pPr>
      <w:bookmarkStart w:name="_TOC_250058" w:id="48"/>
      <w:r>
        <w:rPr/>
        <w:t>Colloidal</w:t>
      </w:r>
      <w:r>
        <w:rPr>
          <w:spacing w:val="-2"/>
        </w:rPr>
        <w:t> </w:t>
      </w:r>
      <w:r>
        <w:rPr/>
        <w:t>silicon</w:t>
      </w:r>
      <w:r>
        <w:rPr>
          <w:spacing w:val="-1"/>
        </w:rPr>
        <w:t> </w:t>
      </w:r>
      <w:bookmarkEnd w:id="48"/>
      <w:r>
        <w:rPr/>
        <w:t>dioxide</w:t>
      </w:r>
    </w:p>
    <w:p>
      <w:pPr>
        <w:pStyle w:val="BodyText"/>
        <w:spacing w:line="552" w:lineRule="exact" w:before="173"/>
        <w:ind w:left="465" w:right="1250"/>
        <w:jc w:val="both"/>
      </w:pPr>
      <w:r>
        <w:rPr/>
        <w:t>Colloidal</w:t>
      </w:r>
      <w:r>
        <w:rPr>
          <w:spacing w:val="1"/>
        </w:rPr>
        <w:t> </w:t>
      </w:r>
      <w:r>
        <w:rPr/>
        <w:t>silicon</w:t>
      </w:r>
      <w:r>
        <w:rPr>
          <w:spacing w:val="1"/>
        </w:rPr>
        <w:t> </w:t>
      </w:r>
      <w:r>
        <w:rPr/>
        <w:t>dioxide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fumed</w:t>
      </w:r>
      <w:r>
        <w:rPr>
          <w:spacing w:val="1"/>
        </w:rPr>
        <w:t> </w:t>
      </w:r>
      <w:r>
        <w:rPr/>
        <w:t>silica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anhydrous</w:t>
      </w:r>
      <w:r>
        <w:rPr>
          <w:spacing w:val="1"/>
        </w:rPr>
        <w:t> </w:t>
      </w:r>
      <w:r>
        <w:rPr/>
        <w:t>silicic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white,</w:t>
      </w:r>
      <w:r>
        <w:rPr>
          <w:spacing w:val="1"/>
        </w:rPr>
        <w:t> </w:t>
      </w:r>
      <w:r>
        <w:rPr/>
        <w:t>amorphous, fluffy powder consisting of primary particles in the nanometre range (10 –</w:t>
      </w:r>
      <w:r>
        <w:rPr>
          <w:spacing w:val="1"/>
        </w:rPr>
        <w:t> </w:t>
      </w:r>
      <w:r>
        <w:rPr/>
        <w:t>40</w:t>
      </w:r>
      <w:r>
        <w:rPr>
          <w:spacing w:val="32"/>
        </w:rPr>
        <w:t> </w:t>
      </w:r>
      <w:r>
        <w:rPr/>
        <w:t>nM),</w:t>
      </w:r>
      <w:r>
        <w:rPr>
          <w:spacing w:val="31"/>
        </w:rPr>
        <w:t> </w:t>
      </w:r>
      <w:r>
        <w:rPr/>
        <w:t>resulting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very</w:t>
      </w:r>
      <w:r>
        <w:rPr>
          <w:spacing w:val="25"/>
        </w:rPr>
        <w:t> </w:t>
      </w:r>
      <w:r>
        <w:rPr/>
        <w:t>large</w:t>
      </w:r>
      <w:r>
        <w:rPr>
          <w:spacing w:val="32"/>
        </w:rPr>
        <w:t> </w:t>
      </w:r>
      <w:r>
        <w:rPr/>
        <w:t>specific</w:t>
      </w:r>
      <w:r>
        <w:rPr>
          <w:spacing w:val="31"/>
        </w:rPr>
        <w:t> </w:t>
      </w:r>
      <w:r>
        <w:rPr/>
        <w:t>surface</w:t>
      </w:r>
      <w:r>
        <w:rPr>
          <w:spacing w:val="32"/>
        </w:rPr>
        <w:t> </w:t>
      </w:r>
      <w:r>
        <w:rPr/>
        <w:t>area</w:t>
      </w:r>
      <w:r>
        <w:rPr>
          <w:spacing w:val="31"/>
        </w:rPr>
        <w:t> </w:t>
      </w:r>
      <w:r>
        <w:rPr/>
        <w:t>(50</w:t>
      </w:r>
      <w:r>
        <w:rPr>
          <w:spacing w:val="38"/>
        </w:rPr>
        <w:t> </w:t>
      </w:r>
      <w:r>
        <w:rPr/>
        <w:t>–</w:t>
      </w:r>
      <w:r>
        <w:rPr>
          <w:spacing w:val="32"/>
        </w:rPr>
        <w:t> </w:t>
      </w:r>
      <w:r>
        <w:rPr/>
        <w:t>400</w:t>
      </w:r>
      <w:r>
        <w:rPr>
          <w:spacing w:val="32"/>
        </w:rPr>
        <w:t> </w:t>
      </w:r>
      <w:r>
        <w:rPr/>
        <w:t>m</w:t>
      </w:r>
      <w:r>
        <w:rPr>
          <w:vertAlign w:val="superscript"/>
        </w:rPr>
        <w:t>2</w:t>
      </w:r>
      <w:r>
        <w:rPr>
          <w:vertAlign w:val="baseline"/>
        </w:rPr>
        <w:t>/g).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primary</w:t>
      </w:r>
    </w:p>
    <w:p>
      <w:pPr>
        <w:spacing w:after="0" w:line="552" w:lineRule="exact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3"/>
        <w:jc w:val="both"/>
      </w:pPr>
      <w:r>
        <w:rPr/>
        <w:t>particles are not isolated but are fused together in relatively stable chain-like aggregates,</w:t>
      </w:r>
      <w:r>
        <w:rPr>
          <w:spacing w:val="-57"/>
        </w:rPr>
        <w:t> </w:t>
      </w:r>
      <w:r>
        <w:rPr/>
        <w:t>which in turn form larger agglomerates in the micrometre range. It has low bulk and</w:t>
      </w:r>
      <w:r>
        <w:rPr>
          <w:spacing w:val="1"/>
        </w:rPr>
        <w:t> </w:t>
      </w:r>
      <w:r>
        <w:rPr/>
        <w:t>tapped</w:t>
      </w:r>
      <w:r>
        <w:rPr>
          <w:spacing w:val="-1"/>
        </w:rPr>
        <w:t> </w:t>
      </w:r>
      <w:r>
        <w:rPr/>
        <w:t>densities and can</w:t>
      </w:r>
      <w:r>
        <w:rPr>
          <w:spacing w:val="2"/>
        </w:rPr>
        <w:t> </w:t>
      </w:r>
      <w:r>
        <w:rPr/>
        <w:t>produce</w:t>
      </w:r>
      <w:r>
        <w:rPr>
          <w:spacing w:val="-1"/>
        </w:rPr>
        <w:t> </w:t>
      </w:r>
      <w:r>
        <w:rPr/>
        <w:t>dust if not properly</w:t>
      </w:r>
      <w:r>
        <w:rPr>
          <w:spacing w:val="-6"/>
        </w:rPr>
        <w:t> </w:t>
      </w:r>
      <w:r>
        <w:rPr/>
        <w:t>handled.</w:t>
      </w:r>
    </w:p>
    <w:p>
      <w:pPr>
        <w:pStyle w:val="BodyText"/>
        <w:spacing w:line="480" w:lineRule="auto" w:before="120"/>
        <w:ind w:left="465" w:right="1262"/>
        <w:jc w:val="both"/>
      </w:pPr>
      <w:r>
        <w:rPr/>
        <w:t>It is manufactured by the hydrolysis of silicon tetrachloride in a hydrogen/oxygen flame</w:t>
      </w:r>
      <w:r>
        <w:rPr>
          <w:spacing w:val="-57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the</w:t>
      </w:r>
      <w:r>
        <w:rPr>
          <w:spacing w:val="1"/>
        </w:rPr>
        <w:t> </w:t>
      </w:r>
      <w:r>
        <w:rPr/>
        <w:t>chemical reaction</w:t>
      </w:r>
      <w:r>
        <w:rPr>
          <w:spacing w:val="2"/>
        </w:rPr>
        <w:t> </w:t>
      </w:r>
      <w:r>
        <w:rPr/>
        <w:t>given</w:t>
      </w:r>
      <w:r>
        <w:rPr>
          <w:spacing w:val="-1"/>
        </w:rPr>
        <w:t> </w:t>
      </w:r>
      <w:r>
        <w:rPr/>
        <w:t>below:</w:t>
      </w:r>
    </w:p>
    <w:p>
      <w:pPr>
        <w:pStyle w:val="BodyText"/>
        <w:spacing w:before="120"/>
        <w:ind w:left="465"/>
        <w:jc w:val="both"/>
      </w:pPr>
      <w:r>
        <w:rPr/>
        <w:t>2H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→ 2H</w:t>
      </w:r>
      <w:r>
        <w:rPr>
          <w:vertAlign w:val="subscript"/>
        </w:rPr>
        <w:t>2</w:t>
      </w:r>
      <w:r>
        <w:rPr>
          <w:vertAlign w:val="baseline"/>
        </w:rPr>
        <w:t>O</w:t>
      </w:r>
    </w:p>
    <w:p>
      <w:pPr>
        <w:pStyle w:val="BodyText"/>
        <w:spacing w:before="6"/>
        <w:rPr>
          <w:sz w:val="34"/>
        </w:rPr>
      </w:pPr>
    </w:p>
    <w:p>
      <w:pPr>
        <w:pStyle w:val="BodyText"/>
        <w:ind w:left="465"/>
        <w:jc w:val="both"/>
      </w:pPr>
      <w:r>
        <w:rPr>
          <w:u w:val="single"/>
        </w:rPr>
        <w:t>SiCl</w:t>
      </w:r>
      <w:r>
        <w:rPr>
          <w:u w:val="single"/>
          <w:vertAlign w:val="subscript"/>
        </w:rPr>
        <w:t>4</w:t>
      </w:r>
      <w:r>
        <w:rPr>
          <w:u w:val="single"/>
          <w:vertAlign w:val="baseline"/>
        </w:rPr>
        <w:t> +</w:t>
      </w:r>
      <w:r>
        <w:rPr>
          <w:spacing w:val="-1"/>
          <w:u w:val="single"/>
          <w:vertAlign w:val="baseline"/>
        </w:rPr>
        <w:t> </w:t>
      </w:r>
      <w:r>
        <w:rPr>
          <w:u w:val="single"/>
          <w:vertAlign w:val="baseline"/>
        </w:rPr>
        <w:t>2H</w:t>
      </w:r>
      <w:r>
        <w:rPr>
          <w:u w:val="single"/>
          <w:vertAlign w:val="subscript"/>
        </w:rPr>
        <w:t>2</w:t>
      </w:r>
      <w:r>
        <w:rPr>
          <w:u w:val="single"/>
          <w:vertAlign w:val="baseline"/>
        </w:rPr>
        <w:t>O</w:t>
      </w:r>
      <w:r>
        <w:rPr>
          <w:spacing w:val="-2"/>
          <w:u w:val="single"/>
          <w:vertAlign w:val="baseline"/>
        </w:rPr>
        <w:t> </w:t>
      </w:r>
      <w:r>
        <w:rPr>
          <w:u w:val="single"/>
          <w:vertAlign w:val="baseline"/>
        </w:rPr>
        <w:t>→ SiO</w:t>
      </w:r>
      <w:r>
        <w:rPr>
          <w:u w:val="single"/>
          <w:vertAlign w:val="subscript"/>
        </w:rPr>
        <w:t>2</w:t>
      </w:r>
      <w:r>
        <w:rPr>
          <w:spacing w:val="1"/>
          <w:u w:val="single"/>
          <w:vertAlign w:val="baseline"/>
        </w:rPr>
        <w:t> </w:t>
      </w:r>
      <w:r>
        <w:rPr>
          <w:u w:val="single"/>
          <w:vertAlign w:val="baseline"/>
        </w:rPr>
        <w:t>+</w:t>
      </w:r>
      <w:r>
        <w:rPr>
          <w:spacing w:val="-2"/>
          <w:u w:val="single"/>
          <w:vertAlign w:val="baseline"/>
        </w:rPr>
        <w:t> </w:t>
      </w:r>
      <w:r>
        <w:rPr>
          <w:u w:val="single"/>
          <w:vertAlign w:val="baseline"/>
        </w:rPr>
        <w:t>4HCl</w:t>
      </w:r>
    </w:p>
    <w:p>
      <w:pPr>
        <w:pStyle w:val="BodyText"/>
        <w:rPr>
          <w:sz w:val="27"/>
        </w:rPr>
      </w:pPr>
    </w:p>
    <w:p>
      <w:pPr>
        <w:pStyle w:val="Heading3"/>
        <w:spacing w:before="90"/>
        <w:ind w:left="465"/>
        <w:jc w:val="both"/>
      </w:pPr>
      <w:r>
        <w:rPr/>
        <w:t>2H</w:t>
      </w:r>
      <w:r>
        <w:rPr>
          <w:vertAlign w:val="subscript"/>
        </w:rPr>
        <w:t>2</w:t>
      </w:r>
      <w:r>
        <w:rPr>
          <w:vertAlign w:val="baseline"/>
        </w:rPr>
        <w:t> +</w:t>
      </w:r>
      <w:r>
        <w:rPr>
          <w:spacing w:val="-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SiCl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→</w:t>
      </w:r>
      <w:r>
        <w:rPr>
          <w:spacing w:val="-1"/>
          <w:vertAlign w:val="baseline"/>
        </w:rPr>
        <w:t> </w:t>
      </w:r>
      <w:r>
        <w:rPr>
          <w:vertAlign w:val="baseline"/>
        </w:rPr>
        <w:t>SiO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4HCl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1"/>
        <w:ind w:left="465" w:right="1254"/>
        <w:jc w:val="both"/>
      </w:pPr>
      <w:r>
        <w:rPr/>
        <w:t>Gaseous SiCl</w:t>
      </w:r>
      <w:r>
        <w:rPr>
          <w:vertAlign w:val="subscript"/>
        </w:rPr>
        <w:t>4</w:t>
      </w:r>
      <w:r>
        <w:rPr>
          <w:vertAlign w:val="baseline"/>
        </w:rPr>
        <w:t> reacts in a gas flame burner (1000 °C) with just formed H</w:t>
      </w:r>
      <w:r>
        <w:rPr>
          <w:vertAlign w:val="subscript"/>
        </w:rPr>
        <w:t>2</w:t>
      </w:r>
      <w:r>
        <w:rPr>
          <w:vertAlign w:val="baseline"/>
        </w:rPr>
        <w:t>O to produce</w:t>
      </w:r>
      <w:r>
        <w:rPr>
          <w:spacing w:val="1"/>
          <w:vertAlign w:val="baseline"/>
        </w:rPr>
        <w:t> </w:t>
      </w:r>
      <w:r>
        <w:rPr>
          <w:vertAlign w:val="baseline"/>
        </w:rPr>
        <w:t>SiO</w:t>
      </w:r>
      <w:r>
        <w:rPr>
          <w:vertAlign w:val="subscript"/>
        </w:rPr>
        <w:t>2</w:t>
      </w:r>
      <w:r>
        <w:rPr>
          <w:vertAlign w:val="baseline"/>
        </w:rPr>
        <w:t> in the separation chamber. The HCl that remains adsorbed onto</w:t>
      </w:r>
      <w:r>
        <w:rPr>
          <w:spacing w:val="60"/>
          <w:vertAlign w:val="baseline"/>
        </w:rPr>
        <w:t> </w:t>
      </w:r>
      <w:r>
        <w:rPr>
          <w:vertAlign w:val="baseline"/>
        </w:rPr>
        <w:t>the colloidal</w:t>
      </w:r>
      <w:r>
        <w:rPr>
          <w:spacing w:val="1"/>
          <w:vertAlign w:val="baseline"/>
        </w:rPr>
        <w:t> </w:t>
      </w:r>
      <w:r>
        <w:rPr>
          <w:vertAlign w:val="baseline"/>
        </w:rPr>
        <w:t>silicon dioxide surface is removed in the deacidification chamber by washing with water</w:t>
      </w:r>
      <w:r>
        <w:rPr>
          <w:spacing w:val="-57"/>
          <w:vertAlign w:val="baseline"/>
        </w:rPr>
        <w:t> </w:t>
      </w:r>
      <w:r>
        <w:rPr>
          <w:vertAlign w:val="baseline"/>
        </w:rPr>
        <w:t>vapour.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colloidal</w:t>
      </w:r>
      <w:r>
        <w:rPr>
          <w:spacing w:val="-1"/>
          <w:vertAlign w:val="baseline"/>
        </w:rPr>
        <w:t> </w:t>
      </w:r>
      <w:r>
        <w:rPr>
          <w:vertAlign w:val="baseline"/>
        </w:rPr>
        <w:t>silicon dioxide</w:t>
      </w:r>
      <w:r>
        <w:rPr>
          <w:spacing w:val="-1"/>
          <w:vertAlign w:val="baseline"/>
        </w:rPr>
        <w:t> </w:t>
      </w:r>
      <w:r>
        <w:rPr>
          <w:vertAlign w:val="baseline"/>
        </w:rPr>
        <w:t>product</w:t>
      </w:r>
      <w:r>
        <w:rPr>
          <w:spacing w:val="-1"/>
          <w:vertAlign w:val="baseline"/>
        </w:rPr>
        <w:t> </w:t>
      </w:r>
      <w:r>
        <w:rPr>
          <w:vertAlign w:val="baseline"/>
        </w:rPr>
        <w:t>is collected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silo,</w:t>
      </w:r>
      <w:r>
        <w:rPr>
          <w:spacing w:val="-1"/>
          <w:vertAlign w:val="baseline"/>
        </w:rPr>
        <w:t> </w:t>
      </w:r>
      <w:r>
        <w:rPr>
          <w:vertAlign w:val="baseline"/>
        </w:rPr>
        <w:t>tested</w:t>
      </w:r>
      <w:r>
        <w:rPr>
          <w:spacing w:val="-1"/>
          <w:vertAlign w:val="baseline"/>
        </w:rPr>
        <w:t> </w:t>
      </w:r>
      <w:r>
        <w:rPr>
          <w:vertAlign w:val="baseline"/>
        </w:rPr>
        <w:t>and packaged.</w:t>
      </w:r>
    </w:p>
    <w:p>
      <w:pPr>
        <w:pStyle w:val="BodyText"/>
        <w:spacing w:line="480" w:lineRule="auto" w:before="120"/>
        <w:ind w:left="465" w:right="1255"/>
        <w:jc w:val="both"/>
      </w:pPr>
      <w:r>
        <w:rPr/>
        <w:t>Upon production, colloidal silicon dioxide is hydrophilic, containing silanol (-Si-OH)</w:t>
      </w:r>
      <w:r>
        <w:rPr>
          <w:spacing w:val="1"/>
        </w:rPr>
        <w:t> </w:t>
      </w:r>
      <w:r>
        <w:rPr/>
        <w:t>and siloxane (-Si-O-Si-) groups on its surface. Silanes such as methyltrichlorosilane or</w:t>
      </w:r>
      <w:r>
        <w:rPr>
          <w:spacing w:val="1"/>
        </w:rPr>
        <w:t> </w:t>
      </w:r>
      <w:r>
        <w:rPr/>
        <w:t>trichlorosilane can also be used, either alone or in combination with tetrachlorosilane, as</w:t>
      </w:r>
      <w:r>
        <w:rPr>
          <w:spacing w:val="-57"/>
        </w:rPr>
        <w:t> </w:t>
      </w:r>
      <w:r>
        <w:rPr/>
        <w:t>precursor</w:t>
      </w:r>
      <w:r>
        <w:rPr>
          <w:spacing w:val="-1"/>
        </w:rPr>
        <w:t> </w:t>
      </w:r>
      <w:r>
        <w:rPr/>
        <w:t>materials.</w:t>
      </w:r>
    </w:p>
    <w:p>
      <w:pPr>
        <w:pStyle w:val="BodyText"/>
        <w:spacing w:line="480" w:lineRule="auto" w:before="120"/>
        <w:ind w:left="465" w:right="1255"/>
        <w:jc w:val="both"/>
      </w:pPr>
      <w:r>
        <w:rPr/>
        <w:t>Colloidal</w:t>
      </w:r>
      <w:r>
        <w:rPr>
          <w:spacing w:val="1"/>
        </w:rPr>
        <w:t> </w:t>
      </w:r>
      <w:r>
        <w:rPr/>
        <w:t>silicon</w:t>
      </w:r>
      <w:r>
        <w:rPr>
          <w:spacing w:val="1"/>
        </w:rPr>
        <w:t> </w:t>
      </w:r>
      <w:r>
        <w:rPr/>
        <w:t>dioxide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widely 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glidant</w:t>
      </w:r>
      <w:r>
        <w:rPr>
          <w:spacing w:val="1"/>
        </w:rPr>
        <w:t> </w:t>
      </w:r>
      <w:r>
        <w:rPr/>
        <w:t>activity. It is normally used at a concentration of 0.2 – 1.0 % to improve the flow</w:t>
      </w:r>
      <w:r>
        <w:rPr>
          <w:spacing w:val="1"/>
        </w:rPr>
        <w:t> </w:t>
      </w:r>
      <w:r>
        <w:rPr/>
        <w:t>properties of cohesive powders and granulates. When applied to tableting operations,</w:t>
      </w:r>
      <w:r>
        <w:rPr>
          <w:spacing w:val="1"/>
        </w:rPr>
        <w:t> </w:t>
      </w:r>
      <w:r>
        <w:rPr/>
        <w:t>colloidal silicon dioxide improves flow into the hopper and dies cavity of the tablet</w:t>
      </w:r>
      <w:r>
        <w:rPr>
          <w:spacing w:val="1"/>
        </w:rPr>
        <w:t> </w:t>
      </w:r>
      <w:r>
        <w:rPr/>
        <w:t>press. It decreases unit weight variation and minimizes the tendency of powder or</w:t>
      </w:r>
      <w:r>
        <w:rPr>
          <w:spacing w:val="1"/>
        </w:rPr>
        <w:t> </w:t>
      </w:r>
      <w:r>
        <w:rPr/>
        <w:t>granule</w:t>
      </w:r>
      <w:r>
        <w:rPr>
          <w:spacing w:val="-1"/>
        </w:rPr>
        <w:t> </w:t>
      </w:r>
      <w:r>
        <w:rPr/>
        <w:t>components to</w:t>
      </w:r>
      <w:r>
        <w:rPr>
          <w:spacing w:val="-1"/>
        </w:rPr>
        <w:t> </w:t>
      </w:r>
      <w:r>
        <w:rPr/>
        <w:t>separate or segregate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 excessive</w:t>
      </w:r>
      <w:r>
        <w:rPr>
          <w:spacing w:val="-2"/>
        </w:rPr>
        <w:t> </w:t>
      </w:r>
      <w:r>
        <w:rPr/>
        <w:t>vibrations.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6"/>
        <w:jc w:val="both"/>
      </w:pPr>
      <w:r>
        <w:rPr/>
        <w:t>The addition of 0.5 % colloidal silicon dioxide yields greater tablet hardness and density</w:t>
      </w:r>
      <w:r>
        <w:rPr>
          <w:spacing w:val="-57"/>
        </w:rPr>
        <w:t> </w:t>
      </w:r>
      <w:r>
        <w:rPr/>
        <w:t>thereby reducing tablet chipping and breakage during handling, coating, packaging and</w:t>
      </w:r>
      <w:r>
        <w:rPr>
          <w:spacing w:val="1"/>
        </w:rPr>
        <w:t> </w:t>
      </w:r>
      <w:r>
        <w:rPr/>
        <w:t>shipping.</w:t>
      </w:r>
    </w:p>
    <w:p>
      <w:pPr>
        <w:pStyle w:val="BodyText"/>
        <w:spacing w:line="480" w:lineRule="auto" w:before="120"/>
        <w:ind w:left="465" w:right="1262"/>
        <w:jc w:val="both"/>
      </w:pPr>
      <w:r>
        <w:rPr/>
        <w:t>Most of the filler/binders used in pharmaceutical formulations are not free flowing;</w:t>
      </w:r>
      <w:r>
        <w:rPr>
          <w:spacing w:val="1"/>
        </w:rPr>
        <w:t> </w:t>
      </w:r>
      <w:r>
        <w:rPr/>
        <w:t>hence small amounts of glidants are incorporated into the mixtures to improve the flow</w:t>
      </w:r>
      <w:r>
        <w:rPr>
          <w:spacing w:val="1"/>
        </w:rPr>
        <w:t> </w:t>
      </w:r>
      <w:r>
        <w:rPr/>
        <w:t>properties of the powders. Glidants used in pharmacy include talc, colloidal silicon</w:t>
      </w:r>
      <w:r>
        <w:rPr>
          <w:spacing w:val="1"/>
        </w:rPr>
        <w:t> </w:t>
      </w:r>
      <w:r>
        <w:rPr/>
        <w:t>dioxide,</w:t>
      </w:r>
      <w:r>
        <w:rPr>
          <w:spacing w:val="-1"/>
        </w:rPr>
        <w:t> </w:t>
      </w:r>
      <w:r>
        <w:rPr/>
        <w:t>calcium phosphates</w:t>
      </w:r>
      <w:r>
        <w:rPr>
          <w:spacing w:val="-1"/>
        </w:rPr>
        <w:t> </w:t>
      </w:r>
      <w:r>
        <w:rPr/>
        <w:t>and to</w:t>
      </w:r>
      <w:r>
        <w:rPr>
          <w:spacing w:val="-1"/>
        </w:rPr>
        <w:t> </w:t>
      </w:r>
      <w:r>
        <w:rPr/>
        <w:t>a certain</w:t>
      </w:r>
      <w:r>
        <w:rPr>
          <w:spacing w:val="-1"/>
        </w:rPr>
        <w:t> </w:t>
      </w:r>
      <w:r>
        <w:rPr/>
        <w:t>extent various metallic</w:t>
      </w:r>
      <w:r>
        <w:rPr>
          <w:spacing w:val="-2"/>
        </w:rPr>
        <w:t> </w:t>
      </w:r>
      <w:r>
        <w:rPr/>
        <w:t>stearates.</w:t>
      </w:r>
    </w:p>
    <w:p>
      <w:pPr>
        <w:pStyle w:val="BodyText"/>
        <w:spacing w:line="480" w:lineRule="auto" w:before="121"/>
        <w:ind w:left="465" w:right="1258"/>
        <w:jc w:val="both"/>
      </w:pPr>
      <w:r>
        <w:rPr/>
        <w:t>Several groups have investigated the addition of glidants to a variety of powders and</w:t>
      </w:r>
      <w:r>
        <w:rPr>
          <w:spacing w:val="1"/>
        </w:rPr>
        <w:t> </w:t>
      </w:r>
      <w:r>
        <w:rPr/>
        <w:t>noted that silica-type glidants are the most effective because of their small particle size</w:t>
      </w:r>
      <w:r>
        <w:rPr>
          <w:spacing w:val="1"/>
        </w:rPr>
        <w:t> </w:t>
      </w:r>
      <w:r>
        <w:rPr/>
        <w:t>(Lieberman and Lachman, 1989; Jonat, 2005). A summary of the physical and chemical</w:t>
      </w:r>
      <w:r>
        <w:rPr>
          <w:spacing w:val="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 colloidal</w:t>
      </w:r>
      <w:r>
        <w:rPr>
          <w:spacing w:val="1"/>
        </w:rPr>
        <w:t> </w:t>
      </w:r>
      <w:r>
        <w:rPr/>
        <w:t>silicon dioxide is given</w:t>
      </w:r>
      <w:r>
        <w:rPr>
          <w:spacing w:val="-1"/>
        </w:rPr>
        <w:t> </w:t>
      </w:r>
      <w:r>
        <w:rPr/>
        <w:t>below in Table 2.3.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ind w:left="465"/>
      </w:pPr>
      <w:r>
        <w:rPr/>
        <w:t>Table</w:t>
      </w:r>
      <w:r>
        <w:rPr>
          <w:spacing w:val="-2"/>
        </w:rPr>
        <w:t> </w:t>
      </w:r>
      <w:r>
        <w:rPr/>
        <w:t>2.3:</w:t>
      </w:r>
      <w:r>
        <w:rPr>
          <w:spacing w:val="-1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colloidal</w:t>
      </w:r>
      <w:r>
        <w:rPr>
          <w:spacing w:val="-1"/>
        </w:rPr>
        <w:t> </w:t>
      </w:r>
      <w:r>
        <w:rPr/>
        <w:t>silicon</w:t>
      </w:r>
      <w:r>
        <w:rPr>
          <w:spacing w:val="-2"/>
        </w:rPr>
        <w:t> </w:t>
      </w:r>
      <w:r>
        <w:rPr/>
        <w:t>dioxide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4"/>
        <w:gridCol w:w="5434"/>
      </w:tblGrid>
      <w:tr>
        <w:trPr>
          <w:trHeight w:val="551" w:hRule="atLeast"/>
        </w:trPr>
        <w:tc>
          <w:tcPr>
            <w:tcW w:w="3294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Properties</w:t>
            </w:r>
          </w:p>
        </w:tc>
        <w:tc>
          <w:tcPr>
            <w:tcW w:w="5434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82"/>
              <w:rPr>
                <w:b/>
                <w:sz w:val="24"/>
              </w:rPr>
            </w:pPr>
            <w:r>
              <w:rPr>
                <w:b/>
                <w:sz w:val="24"/>
              </w:rPr>
              <w:t>Observations</w:t>
            </w:r>
          </w:p>
        </w:tc>
      </w:tr>
      <w:tr>
        <w:trPr>
          <w:trHeight w:val="413" w:hRule="atLeast"/>
        </w:trPr>
        <w:tc>
          <w:tcPr>
            <w:tcW w:w="32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Appearance</w:t>
            </w:r>
          </w:p>
        </w:tc>
        <w:tc>
          <w:tcPr>
            <w:tcW w:w="54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182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powder</w:t>
            </w:r>
          </w:p>
        </w:tc>
      </w:tr>
      <w:tr>
        <w:trPr>
          <w:trHeight w:val="552" w:hRule="atLeast"/>
        </w:trPr>
        <w:tc>
          <w:tcPr>
            <w:tcW w:w="329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Odour</w:t>
            </w:r>
          </w:p>
        </w:tc>
        <w:tc>
          <w:tcPr>
            <w:tcW w:w="5434" w:type="dxa"/>
          </w:tcPr>
          <w:p>
            <w:pPr>
              <w:pStyle w:val="TableParagraph"/>
              <w:spacing w:before="133"/>
              <w:ind w:left="1182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rPr>
          <w:trHeight w:val="532" w:hRule="atLeast"/>
        </w:trPr>
        <w:tc>
          <w:tcPr>
            <w:tcW w:w="329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Particle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5434" w:type="dxa"/>
          </w:tcPr>
          <w:p>
            <w:pPr>
              <w:pStyle w:val="TableParagraph"/>
              <w:spacing w:before="133"/>
              <w:ind w:left="118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nM</w:t>
            </w:r>
          </w:p>
        </w:tc>
      </w:tr>
      <w:tr>
        <w:trPr>
          <w:trHeight w:val="571" w:hRule="atLeast"/>
        </w:trPr>
        <w:tc>
          <w:tcPr>
            <w:tcW w:w="3294" w:type="dxa"/>
          </w:tcPr>
          <w:p>
            <w:pPr>
              <w:pStyle w:val="TableParagraph"/>
              <w:spacing w:before="153"/>
              <w:ind w:left="115"/>
              <w:rPr>
                <w:sz w:val="24"/>
              </w:rPr>
            </w:pPr>
            <w:r>
              <w:rPr>
                <w:sz w:val="24"/>
              </w:rPr>
              <w:t>Specific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5434" w:type="dxa"/>
          </w:tcPr>
          <w:p>
            <w:pPr>
              <w:pStyle w:val="TableParagraph"/>
              <w:spacing w:before="153"/>
              <w:ind w:left="1182"/>
              <w:rPr>
                <w:sz w:val="24"/>
              </w:rPr>
            </w:pPr>
            <w:r>
              <w:rPr>
                <w:sz w:val="24"/>
              </w:rPr>
              <w:t>200 ± 25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/g</w:t>
            </w:r>
          </w:p>
        </w:tc>
      </w:tr>
      <w:tr>
        <w:trPr>
          <w:trHeight w:val="552" w:hRule="atLeast"/>
        </w:trPr>
        <w:tc>
          <w:tcPr>
            <w:tcW w:w="329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5434" w:type="dxa"/>
          </w:tcPr>
          <w:p>
            <w:pPr>
              <w:pStyle w:val="TableParagraph"/>
              <w:spacing w:before="133"/>
              <w:ind w:left="1182"/>
              <w:rPr>
                <w:sz w:val="24"/>
              </w:rPr>
            </w:pPr>
            <w:r>
              <w:rPr>
                <w:sz w:val="24"/>
              </w:rPr>
              <w:t>≤ 1.5 %</w:t>
            </w:r>
          </w:p>
        </w:tc>
      </w:tr>
      <w:tr>
        <w:trPr>
          <w:trHeight w:val="552" w:hRule="atLeast"/>
        </w:trPr>
        <w:tc>
          <w:tcPr>
            <w:tcW w:w="329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Ignition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loss</w:t>
            </w:r>
          </w:p>
        </w:tc>
        <w:tc>
          <w:tcPr>
            <w:tcW w:w="5434" w:type="dxa"/>
          </w:tcPr>
          <w:p>
            <w:pPr>
              <w:pStyle w:val="TableParagraph"/>
              <w:spacing w:before="133"/>
              <w:ind w:left="1182"/>
              <w:rPr>
                <w:sz w:val="24"/>
              </w:rPr>
            </w:pPr>
            <w:r>
              <w:rPr>
                <w:sz w:val="24"/>
              </w:rPr>
              <w:t>≤ 1.0 %</w:t>
            </w:r>
          </w:p>
        </w:tc>
      </w:tr>
      <w:tr>
        <w:trPr>
          <w:trHeight w:val="550" w:hRule="atLeast"/>
        </w:trPr>
        <w:tc>
          <w:tcPr>
            <w:tcW w:w="329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5434" w:type="dxa"/>
          </w:tcPr>
          <w:p>
            <w:pPr>
              <w:pStyle w:val="TableParagraph"/>
              <w:spacing w:before="133"/>
              <w:ind w:left="1182"/>
              <w:rPr>
                <w:sz w:val="24"/>
              </w:rPr>
            </w:pPr>
            <w:r>
              <w:rPr>
                <w:sz w:val="24"/>
              </w:rPr>
              <w:t>3.6 – 4.5</w:t>
            </w:r>
          </w:p>
        </w:tc>
      </w:tr>
      <w:tr>
        <w:trPr>
          <w:trHeight w:val="550" w:hRule="atLeast"/>
        </w:trPr>
        <w:tc>
          <w:tcPr>
            <w:tcW w:w="3294" w:type="dxa"/>
          </w:tcPr>
          <w:p>
            <w:pPr>
              <w:pStyle w:val="TableParagraph"/>
              <w:spacing w:before="131"/>
              <w:ind w:left="115"/>
              <w:rPr>
                <w:sz w:val="24"/>
              </w:rPr>
            </w:pPr>
            <w:r>
              <w:rPr>
                <w:sz w:val="24"/>
              </w:rPr>
              <w:t>Boiling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5434" w:type="dxa"/>
          </w:tcPr>
          <w:p>
            <w:pPr>
              <w:pStyle w:val="TableParagraph"/>
              <w:spacing w:before="131"/>
              <w:ind w:left="1182"/>
              <w:rPr>
                <w:sz w:val="24"/>
              </w:rPr>
            </w:pPr>
            <w:r>
              <w:rPr>
                <w:sz w:val="24"/>
              </w:rPr>
              <w:t>2230 °C</w:t>
            </w:r>
          </w:p>
        </w:tc>
      </w:tr>
      <w:tr>
        <w:trPr>
          <w:trHeight w:val="552" w:hRule="atLeast"/>
        </w:trPr>
        <w:tc>
          <w:tcPr>
            <w:tcW w:w="329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Melting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5434" w:type="dxa"/>
          </w:tcPr>
          <w:p>
            <w:pPr>
              <w:pStyle w:val="TableParagraph"/>
              <w:spacing w:before="133"/>
              <w:ind w:left="1182"/>
              <w:rPr>
                <w:sz w:val="24"/>
              </w:rPr>
            </w:pPr>
            <w:r>
              <w:rPr>
                <w:sz w:val="24"/>
              </w:rPr>
              <w:t>1700 °C</w:t>
            </w:r>
          </w:p>
        </w:tc>
      </w:tr>
      <w:tr>
        <w:trPr>
          <w:trHeight w:val="532" w:hRule="atLeast"/>
        </w:trPr>
        <w:tc>
          <w:tcPr>
            <w:tcW w:w="329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Solubility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 water</w:t>
            </w:r>
          </w:p>
        </w:tc>
        <w:tc>
          <w:tcPr>
            <w:tcW w:w="5434" w:type="dxa"/>
          </w:tcPr>
          <w:p>
            <w:pPr>
              <w:pStyle w:val="TableParagraph"/>
              <w:spacing w:before="133"/>
              <w:ind w:left="1182"/>
              <w:rPr>
                <w:sz w:val="24"/>
              </w:rPr>
            </w:pPr>
            <w:r>
              <w:rPr>
                <w:sz w:val="24"/>
              </w:rPr>
              <w:t>Insoluble</w:t>
            </w:r>
          </w:p>
        </w:tc>
      </w:tr>
      <w:tr>
        <w:trPr>
          <w:trHeight w:val="552" w:hRule="atLeast"/>
        </w:trPr>
        <w:tc>
          <w:tcPr>
            <w:tcW w:w="3294" w:type="dxa"/>
          </w:tcPr>
          <w:p>
            <w:pPr>
              <w:pStyle w:val="TableParagraph"/>
              <w:spacing w:before="153"/>
              <w:ind w:left="115"/>
              <w:rPr>
                <w:sz w:val="24"/>
              </w:rPr>
            </w:pPr>
            <w:r>
              <w:rPr>
                <w:sz w:val="24"/>
              </w:rPr>
              <w:t>Density</w:t>
            </w:r>
          </w:p>
        </w:tc>
        <w:tc>
          <w:tcPr>
            <w:tcW w:w="5434" w:type="dxa"/>
          </w:tcPr>
          <w:p>
            <w:pPr>
              <w:pStyle w:val="TableParagraph"/>
              <w:spacing w:before="153"/>
              <w:ind w:left="1182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g/cm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@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 °C</w:t>
            </w:r>
          </w:p>
        </w:tc>
      </w:tr>
      <w:tr>
        <w:trPr>
          <w:trHeight w:val="572" w:hRule="atLeast"/>
        </w:trPr>
        <w:tc>
          <w:tcPr>
            <w:tcW w:w="3294" w:type="dxa"/>
          </w:tcPr>
          <w:p>
            <w:pPr>
              <w:pStyle w:val="TableParagraph"/>
              <w:spacing w:before="153"/>
              <w:ind w:left="115"/>
              <w:rPr>
                <w:sz w:val="24"/>
              </w:rPr>
            </w:pPr>
            <w:r>
              <w:rPr>
                <w:sz w:val="24"/>
              </w:rPr>
              <w:t>Bulk density</w:t>
            </w:r>
          </w:p>
        </w:tc>
        <w:tc>
          <w:tcPr>
            <w:tcW w:w="5434" w:type="dxa"/>
          </w:tcPr>
          <w:p>
            <w:pPr>
              <w:pStyle w:val="TableParagraph"/>
              <w:spacing w:before="153"/>
              <w:ind w:left="1182"/>
              <w:rPr>
                <w:sz w:val="24"/>
              </w:rPr>
            </w:pPr>
            <w:r>
              <w:rPr>
                <w:sz w:val="24"/>
              </w:rPr>
              <w:t>≈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g/cm</w:t>
            </w:r>
            <w:r>
              <w:rPr>
                <w:sz w:val="24"/>
                <w:vertAlign w:val="superscript"/>
              </w:rPr>
              <w:t>3</w:t>
            </w:r>
          </w:p>
        </w:tc>
      </w:tr>
      <w:tr>
        <w:trPr>
          <w:trHeight w:val="552" w:hRule="atLeast"/>
        </w:trPr>
        <w:tc>
          <w:tcPr>
            <w:tcW w:w="329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Tapped density</w:t>
            </w:r>
          </w:p>
        </w:tc>
        <w:tc>
          <w:tcPr>
            <w:tcW w:w="5434" w:type="dxa"/>
          </w:tcPr>
          <w:p>
            <w:pPr>
              <w:pStyle w:val="TableParagraph"/>
              <w:spacing w:before="133"/>
              <w:ind w:left="1182"/>
              <w:rPr>
                <w:sz w:val="24"/>
              </w:rPr>
            </w:pPr>
            <w:r>
              <w:rPr>
                <w:sz w:val="24"/>
              </w:rPr>
              <w:t>≈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g/cm3</w:t>
            </w:r>
          </w:p>
        </w:tc>
      </w:tr>
      <w:tr>
        <w:trPr>
          <w:trHeight w:val="694" w:hRule="atLeast"/>
        </w:trPr>
        <w:tc>
          <w:tcPr>
            <w:tcW w:w="329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SiO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543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1182"/>
              <w:rPr>
                <w:sz w:val="24"/>
              </w:rPr>
            </w:pPr>
            <w:r>
              <w:rPr>
                <w:sz w:val="24"/>
              </w:rPr>
              <w:t>≥ 99.8</w:t>
            </w:r>
          </w:p>
        </w:tc>
      </w:tr>
    </w:tbl>
    <w:p>
      <w:pPr>
        <w:pStyle w:val="BodyText"/>
        <w:ind w:left="465"/>
      </w:pPr>
      <w:r>
        <w:rPr/>
        <w:t>(Source:</w:t>
      </w:r>
      <w:r>
        <w:rPr>
          <w:spacing w:val="-2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Safety</w:t>
      </w:r>
      <w:r>
        <w:rPr>
          <w:spacing w:val="-4"/>
        </w:rPr>
        <w:t> </w:t>
      </w:r>
      <w:r>
        <w:rPr/>
        <w:t>Data</w:t>
      </w:r>
      <w:r>
        <w:rPr>
          <w:spacing w:val="-1"/>
        </w:rPr>
        <w:t> </w:t>
      </w:r>
      <w:r>
        <w:rPr/>
        <w:t>Sheet,</w:t>
      </w:r>
      <w:r>
        <w:rPr>
          <w:spacing w:val="-1"/>
        </w:rPr>
        <w:t> </w:t>
      </w:r>
      <w:r>
        <w:rPr/>
        <w:t>Cabot</w:t>
      </w:r>
      <w:r>
        <w:rPr>
          <w:spacing w:val="-1"/>
        </w:rPr>
        <w:t> </w:t>
      </w:r>
      <w:r>
        <w:rPr/>
        <w:t>Corporation,</w:t>
      </w:r>
      <w:r>
        <w:rPr>
          <w:spacing w:val="-1"/>
        </w:rPr>
        <w:t> </w:t>
      </w:r>
      <w:r>
        <w:rPr/>
        <w:t>Germany)</w:t>
      </w:r>
    </w:p>
    <w:p>
      <w:pPr>
        <w:spacing w:after="0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numPr>
          <w:ilvl w:val="2"/>
          <w:numId w:val="13"/>
        </w:numPr>
        <w:tabs>
          <w:tab w:pos="1185" w:val="left" w:leader="none"/>
          <w:tab w:pos="1186" w:val="left" w:leader="none"/>
        </w:tabs>
        <w:spacing w:line="240" w:lineRule="auto" w:before="76" w:after="0"/>
        <w:ind w:left="1185" w:right="0" w:hanging="721"/>
        <w:jc w:val="left"/>
      </w:pPr>
      <w:bookmarkStart w:name="_TOC_250057" w:id="49"/>
      <w:bookmarkEnd w:id="49"/>
      <w:r>
        <w:rPr/>
        <w:t>Gelatin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7"/>
        <w:jc w:val="both"/>
      </w:pPr>
      <w:r>
        <w:rPr/>
        <w:t>Gelatin is a protein substance derived from collagen, a natural protein present in the</w:t>
      </w:r>
      <w:r>
        <w:rPr>
          <w:spacing w:val="1"/>
        </w:rPr>
        <w:t> </w:t>
      </w:r>
      <w:r>
        <w:rPr/>
        <w:t>tendons, ligaments, and tissues of mammals. It is produced by boiling the connective</w:t>
      </w:r>
      <w:r>
        <w:rPr>
          <w:spacing w:val="1"/>
        </w:rPr>
        <w:t> </w:t>
      </w:r>
      <w:r>
        <w:rPr/>
        <w:t>tissues, bones and skins of animals, usually cows and pigs. The ability of gelatin to form</w:t>
      </w:r>
      <w:r>
        <w:rPr>
          <w:spacing w:val="-57"/>
        </w:rPr>
        <w:t> </w:t>
      </w:r>
      <w:r>
        <w:rPr/>
        <w:t>strong, transparent gels and flexible films that are easily digested, soluble in hot water,</w:t>
      </w:r>
      <w:r>
        <w:rPr>
          <w:spacing w:val="1"/>
        </w:rPr>
        <w:t> </w:t>
      </w:r>
      <w:r>
        <w:rPr/>
        <w:t>and capable of forming a binding action have made it a valuable commodity in food</w:t>
      </w:r>
      <w:r>
        <w:rPr>
          <w:spacing w:val="1"/>
        </w:rPr>
        <w:t> </w:t>
      </w:r>
      <w:r>
        <w:rPr/>
        <w:t>processing,</w:t>
      </w:r>
      <w:r>
        <w:rPr>
          <w:spacing w:val="-1"/>
        </w:rPr>
        <w:t> </w:t>
      </w:r>
      <w:r>
        <w:rPr/>
        <w:t>pharmaceuticals,</w:t>
      </w:r>
      <w:r>
        <w:rPr>
          <w:spacing w:val="-1"/>
        </w:rPr>
        <w:t> </w:t>
      </w:r>
      <w:r>
        <w:rPr/>
        <w:t>photography, and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production(PB</w:t>
      </w:r>
      <w:r>
        <w:rPr>
          <w:spacing w:val="-2"/>
        </w:rPr>
        <w:t> </w:t>
      </w:r>
      <w:r>
        <w:rPr/>
        <w:t>Gelatins,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spacing w:line="480" w:lineRule="auto" w:before="121"/>
        <w:ind w:left="465" w:right="1254"/>
        <w:jc w:val="both"/>
      </w:pPr>
      <w:r>
        <w:rPr/>
        <w:t>Based on the method of processing, it may exist either as type „A‟ (acid-cured tissues)</w:t>
      </w:r>
      <w:r>
        <w:rPr>
          <w:spacing w:val="1"/>
        </w:rPr>
        <w:t> </w:t>
      </w:r>
      <w:r>
        <w:rPr/>
        <w:t>or</w:t>
      </w:r>
      <w:r>
        <w:rPr>
          <w:spacing w:val="-4"/>
        </w:rPr>
        <w:t> </w:t>
      </w:r>
      <w:r>
        <w:rPr/>
        <w:t>type</w:t>
      </w:r>
      <w:r>
        <w:rPr>
          <w:spacing w:val="-2"/>
        </w:rPr>
        <w:t> </w:t>
      </w:r>
      <w:r>
        <w:rPr/>
        <w:t>„B‟</w:t>
      </w:r>
      <w:r>
        <w:rPr>
          <w:spacing w:val="-4"/>
        </w:rPr>
        <w:t> </w:t>
      </w:r>
      <w:r>
        <w:rPr/>
        <w:t>(lime-cured</w:t>
      </w:r>
      <w:r>
        <w:rPr>
          <w:spacing w:val="-2"/>
        </w:rPr>
        <w:t> </w:t>
      </w:r>
      <w:r>
        <w:rPr/>
        <w:t>tissues).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structure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gelatin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given</w:t>
      </w:r>
      <w:r>
        <w:rPr>
          <w:spacing w:val="-3"/>
        </w:rPr>
        <w:t> </w:t>
      </w:r>
      <w:r>
        <w:rPr/>
        <w:t>below: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469"/>
        <w:rPr>
          <w:sz w:val="20"/>
        </w:rPr>
      </w:pPr>
      <w:r>
        <w:rPr>
          <w:sz w:val="20"/>
        </w:rPr>
        <w:drawing>
          <wp:inline distT="0" distB="0" distL="0" distR="0">
            <wp:extent cx="5800943" cy="1805940"/>
            <wp:effectExtent l="0" t="0" r="0" b="0"/>
            <wp:docPr id="2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943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</w:pPr>
    </w:p>
    <w:p>
      <w:pPr>
        <w:spacing w:line="475" w:lineRule="auto" w:before="90"/>
        <w:ind w:left="638" w:right="1428" w:firstLine="1990"/>
        <w:jc w:val="left"/>
        <w:rPr>
          <w:b/>
          <w:sz w:val="24"/>
        </w:rPr>
      </w:pPr>
      <w:r>
        <w:rPr>
          <w:b/>
          <w:sz w:val="24"/>
        </w:rPr>
        <w:t>Figure 2.2:Chemical structure of Gelatin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</w:t>
      </w:r>
      <w:r>
        <w:rPr>
          <w:sz w:val="24"/>
        </w:rPr>
        <w:t>https:/</w:t>
      </w:r>
      <w:hyperlink r:id="rId31">
        <w:r>
          <w:rPr>
            <w:sz w:val="24"/>
          </w:rPr>
          <w:t>/www.r</w:t>
        </w:r>
      </w:hyperlink>
      <w:r>
        <w:rPr>
          <w:sz w:val="24"/>
        </w:rPr>
        <w:t>e</w:t>
      </w:r>
      <w:hyperlink r:id="rId31">
        <w:r>
          <w:rPr>
            <w:sz w:val="24"/>
          </w:rPr>
          <w:t>searchgate.net/figure/51832364_fig7_Chemical-structure-of-Gelatin</w:t>
        </w:r>
        <w:r>
          <w:rPr>
            <w:b/>
            <w:sz w:val="24"/>
          </w:rPr>
          <w:t>)</w:t>
        </w:r>
      </w:hyperlink>
    </w:p>
    <w:p>
      <w:pPr>
        <w:spacing w:after="0" w:line="475" w:lineRule="auto"/>
        <w:jc w:val="left"/>
        <w:rPr>
          <w:sz w:val="24"/>
        </w:rPr>
        <w:sectPr>
          <w:pgSz w:w="11910" w:h="16840"/>
          <w:pgMar w:header="0" w:footer="987" w:top="1580" w:bottom="1260" w:left="1520" w:right="160"/>
        </w:sectPr>
      </w:pPr>
    </w:p>
    <w:p>
      <w:pPr>
        <w:pStyle w:val="BodyText"/>
        <w:spacing w:line="480" w:lineRule="auto" w:before="72"/>
        <w:ind w:left="465" w:right="1255"/>
        <w:jc w:val="both"/>
      </w:pPr>
      <w:r>
        <w:rPr/>
        <w:t>Gelatin has been selected as a constituent excipient for co-processing because it gives</w:t>
      </w:r>
      <w:r>
        <w:rPr>
          <w:spacing w:val="1"/>
        </w:rPr>
        <w:t> </w:t>
      </w:r>
      <w:r>
        <w:rPr/>
        <w:t>texture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stability</w:t>
      </w:r>
      <w:r>
        <w:rPr>
          <w:spacing w:val="6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finished</w:t>
      </w:r>
      <w:r>
        <w:rPr>
          <w:spacing w:val="13"/>
        </w:rPr>
        <w:t> </w:t>
      </w:r>
      <w:r>
        <w:rPr/>
        <w:t>products</w:t>
      </w:r>
      <w:r>
        <w:rPr>
          <w:spacing w:val="13"/>
        </w:rPr>
        <w:t> </w:t>
      </w:r>
      <w:r>
        <w:rPr/>
        <w:t>due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its</w:t>
      </w:r>
      <w:r>
        <w:rPr>
          <w:spacing w:val="13"/>
        </w:rPr>
        <w:t> </w:t>
      </w:r>
      <w:r>
        <w:rPr/>
        <w:t>binding</w:t>
      </w:r>
      <w:r>
        <w:rPr>
          <w:spacing w:val="10"/>
        </w:rPr>
        <w:t> </w:t>
      </w:r>
      <w:r>
        <w:rPr/>
        <w:t>ability.</w:t>
      </w:r>
      <w:r>
        <w:rPr>
          <w:spacing w:val="18"/>
        </w:rPr>
        <w:t> </w:t>
      </w:r>
      <w:r>
        <w:rPr/>
        <w:t>It</w:t>
      </w:r>
      <w:r>
        <w:rPr>
          <w:spacing w:val="13"/>
        </w:rPr>
        <w:t> </w:t>
      </w:r>
      <w:r>
        <w:rPr/>
        <w:t>has</w:t>
      </w:r>
      <w:r>
        <w:rPr>
          <w:spacing w:val="13"/>
        </w:rPr>
        <w:t> </w:t>
      </w:r>
      <w:r>
        <w:rPr/>
        <w:t>been</w:t>
      </w:r>
      <w:r>
        <w:rPr>
          <w:spacing w:val="14"/>
        </w:rPr>
        <w:t> </w:t>
      </w:r>
      <w:r>
        <w:rPr/>
        <w:t>used</w:t>
      </w:r>
      <w:r>
        <w:rPr>
          <w:spacing w:val="-58"/>
        </w:rPr>
        <w:t> </w:t>
      </w:r>
      <w:r>
        <w:rPr/>
        <w:t>as a delivery vehicle for the release of bioactive molecules (Young </w:t>
      </w:r>
      <w:r>
        <w:rPr>
          <w:i/>
        </w:rPr>
        <w:t>et al.</w:t>
      </w:r>
      <w:r>
        <w:rPr/>
        <w:t>, 2005). The</w:t>
      </w:r>
      <w:r>
        <w:rPr>
          <w:spacing w:val="1"/>
        </w:rPr>
        <w:t> </w:t>
      </w:r>
      <w:r>
        <w:rPr/>
        <w:t>physicochemical properties of</w:t>
      </w:r>
      <w:r>
        <w:rPr>
          <w:spacing w:val="1"/>
        </w:rPr>
        <w:t> </w:t>
      </w:r>
      <w:r>
        <w:rPr/>
        <w:t>gelatin</w:t>
      </w:r>
      <w:r>
        <w:rPr>
          <w:spacing w:val="-1"/>
        </w:rPr>
        <w:t> </w:t>
      </w:r>
      <w:r>
        <w:rPr/>
        <w:t>are</w:t>
      </w:r>
      <w:r>
        <w:rPr>
          <w:spacing w:val="2"/>
        </w:rPr>
        <w:t> </w:t>
      </w:r>
      <w:r>
        <w:rPr/>
        <w:t>given below</w:t>
      </w:r>
      <w:r>
        <w:rPr>
          <w:spacing w:val="-1"/>
        </w:rPr>
        <w:t> </w:t>
      </w:r>
      <w:r>
        <w:rPr/>
        <w:t>in Table 2.4.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ind w:left="465"/>
      </w:pPr>
      <w:r>
        <w:rPr/>
        <w:t>Table</w:t>
      </w:r>
      <w:r>
        <w:rPr>
          <w:spacing w:val="-3"/>
        </w:rPr>
        <w:t> </w:t>
      </w:r>
      <w:r>
        <w:rPr/>
        <w:t>2.4:</w:t>
      </w:r>
      <w:r>
        <w:rPr>
          <w:spacing w:val="-2"/>
        </w:rPr>
        <w:t> </w:t>
      </w:r>
      <w:r>
        <w:rPr/>
        <w:t>Physicochemical</w:t>
      </w:r>
      <w:r>
        <w:rPr>
          <w:spacing w:val="-2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gelatin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4"/>
        <w:gridCol w:w="5555"/>
      </w:tblGrid>
      <w:tr>
        <w:trPr>
          <w:trHeight w:val="551" w:hRule="atLeast"/>
        </w:trPr>
        <w:tc>
          <w:tcPr>
            <w:tcW w:w="3174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Properties</w:t>
            </w:r>
          </w:p>
        </w:tc>
        <w:tc>
          <w:tcPr>
            <w:tcW w:w="5555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302"/>
              <w:rPr>
                <w:b/>
                <w:sz w:val="24"/>
              </w:rPr>
            </w:pPr>
            <w:r>
              <w:rPr>
                <w:b/>
                <w:sz w:val="24"/>
              </w:rPr>
              <w:t>Observations</w:t>
            </w:r>
          </w:p>
        </w:tc>
      </w:tr>
      <w:tr>
        <w:trPr>
          <w:trHeight w:val="413" w:hRule="atLeast"/>
        </w:trPr>
        <w:tc>
          <w:tcPr>
            <w:tcW w:w="31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55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302"/>
              <w:rPr>
                <w:sz w:val="24"/>
              </w:rPr>
            </w:pPr>
            <w:r>
              <w:rPr>
                <w:sz w:val="24"/>
              </w:rPr>
              <w:t>Solid</w:t>
            </w:r>
          </w:p>
        </w:tc>
      </w:tr>
      <w:tr>
        <w:trPr>
          <w:trHeight w:val="552" w:hRule="atLeast"/>
        </w:trPr>
        <w:tc>
          <w:tcPr>
            <w:tcW w:w="317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Form</w:t>
            </w:r>
          </w:p>
        </w:tc>
        <w:tc>
          <w:tcPr>
            <w:tcW w:w="5555" w:type="dxa"/>
          </w:tcPr>
          <w:p>
            <w:pPr>
              <w:pStyle w:val="TableParagraph"/>
              <w:spacing w:before="133"/>
              <w:ind w:left="1302"/>
              <w:rPr>
                <w:sz w:val="24"/>
              </w:rPr>
            </w:pPr>
            <w:r>
              <w:rPr>
                <w:sz w:val="24"/>
              </w:rPr>
              <w:t>Flakes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powder</w:t>
            </w:r>
          </w:p>
        </w:tc>
      </w:tr>
      <w:tr>
        <w:trPr>
          <w:trHeight w:val="551" w:hRule="atLeast"/>
        </w:trPr>
        <w:tc>
          <w:tcPr>
            <w:tcW w:w="317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Colour</w:t>
            </w:r>
          </w:p>
        </w:tc>
        <w:tc>
          <w:tcPr>
            <w:tcW w:w="5555" w:type="dxa"/>
          </w:tcPr>
          <w:p>
            <w:pPr>
              <w:pStyle w:val="TableParagraph"/>
              <w:spacing w:before="133"/>
              <w:ind w:left="1302"/>
              <w:rPr>
                <w:sz w:val="24"/>
              </w:rPr>
            </w:pPr>
            <w:r>
              <w:rPr>
                <w:sz w:val="24"/>
              </w:rPr>
              <w:t>Off-white</w:t>
            </w:r>
          </w:p>
        </w:tc>
      </w:tr>
      <w:tr>
        <w:trPr>
          <w:trHeight w:val="551" w:hRule="atLeast"/>
        </w:trPr>
        <w:tc>
          <w:tcPr>
            <w:tcW w:w="317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Odour</w:t>
            </w:r>
          </w:p>
        </w:tc>
        <w:tc>
          <w:tcPr>
            <w:tcW w:w="5555" w:type="dxa"/>
          </w:tcPr>
          <w:p>
            <w:pPr>
              <w:pStyle w:val="TableParagraph"/>
              <w:spacing w:before="133"/>
              <w:ind w:left="1302"/>
              <w:rPr>
                <w:sz w:val="24"/>
              </w:rPr>
            </w:pPr>
            <w:r>
              <w:rPr>
                <w:sz w:val="24"/>
              </w:rPr>
              <w:t>Musty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odour</w:t>
            </w:r>
          </w:p>
        </w:tc>
      </w:tr>
      <w:tr>
        <w:trPr>
          <w:trHeight w:val="750" w:hRule="atLeast"/>
        </w:trPr>
        <w:tc>
          <w:tcPr>
            <w:tcW w:w="3174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Solubility</w:t>
            </w:r>
          </w:p>
        </w:tc>
        <w:tc>
          <w:tcPr>
            <w:tcW w:w="5555" w:type="dxa"/>
          </w:tcPr>
          <w:p>
            <w:pPr>
              <w:pStyle w:val="TableParagraph"/>
              <w:spacing w:before="133"/>
              <w:ind w:left="1302" w:right="378"/>
              <w:rPr>
                <w:sz w:val="24"/>
              </w:rPr>
            </w:pPr>
            <w:r>
              <w:rPr>
                <w:sz w:val="24"/>
              </w:rPr>
              <w:t>Insoluble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soluble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warm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</w:tr>
      <w:tr>
        <w:trPr>
          <w:trHeight w:val="473" w:hRule="atLeast"/>
        </w:trPr>
        <w:tc>
          <w:tcPr>
            <w:tcW w:w="3174" w:type="dxa"/>
          </w:tcPr>
          <w:p>
            <w:pPr>
              <w:pStyle w:val="TableParagraph"/>
              <w:spacing w:before="55"/>
              <w:ind w:left="115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stability</w:t>
            </w:r>
          </w:p>
        </w:tc>
        <w:tc>
          <w:tcPr>
            <w:tcW w:w="5555" w:type="dxa"/>
          </w:tcPr>
          <w:p>
            <w:pPr>
              <w:pStyle w:val="TableParagraph"/>
              <w:spacing w:before="55"/>
              <w:ind w:left="1302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normal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conditions</w:t>
            </w:r>
          </w:p>
        </w:tc>
      </w:tr>
      <w:tr>
        <w:trPr>
          <w:trHeight w:val="550" w:hRule="atLeast"/>
        </w:trPr>
        <w:tc>
          <w:tcPr>
            <w:tcW w:w="317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5555" w:type="dxa"/>
          </w:tcPr>
          <w:p>
            <w:pPr>
              <w:pStyle w:val="TableParagraph"/>
              <w:spacing w:before="133"/>
              <w:ind w:left="1302"/>
              <w:rPr>
                <w:sz w:val="24"/>
              </w:rPr>
            </w:pPr>
            <w:r>
              <w:rPr>
                <w:sz w:val="24"/>
              </w:rPr>
              <w:t>3.8 – 7.6</w:t>
            </w:r>
          </w:p>
        </w:tc>
      </w:tr>
      <w:tr>
        <w:trPr>
          <w:trHeight w:val="550" w:hRule="atLeast"/>
        </w:trPr>
        <w:tc>
          <w:tcPr>
            <w:tcW w:w="3174" w:type="dxa"/>
          </w:tcPr>
          <w:p>
            <w:pPr>
              <w:pStyle w:val="TableParagraph"/>
              <w:spacing w:before="131"/>
              <w:ind w:left="115"/>
              <w:rPr>
                <w:sz w:val="24"/>
              </w:rPr>
            </w:pPr>
            <w:r>
              <w:rPr>
                <w:sz w:val="24"/>
              </w:rPr>
              <w:t>Gel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strength</w:t>
            </w:r>
          </w:p>
        </w:tc>
        <w:tc>
          <w:tcPr>
            <w:tcW w:w="5555" w:type="dxa"/>
          </w:tcPr>
          <w:p>
            <w:pPr>
              <w:pStyle w:val="TableParagraph"/>
              <w:spacing w:before="131"/>
              <w:ind w:left="1302"/>
              <w:rPr>
                <w:sz w:val="24"/>
              </w:rPr>
            </w:pPr>
            <w:r>
              <w:rPr>
                <w:sz w:val="24"/>
              </w:rPr>
              <w:t>125 – 145 g</w:t>
            </w:r>
          </w:p>
        </w:tc>
      </w:tr>
      <w:tr>
        <w:trPr>
          <w:trHeight w:val="694" w:hRule="atLeast"/>
        </w:trPr>
        <w:tc>
          <w:tcPr>
            <w:tcW w:w="317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drying</w:t>
            </w:r>
          </w:p>
        </w:tc>
        <w:tc>
          <w:tcPr>
            <w:tcW w:w="555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1302"/>
              <w:rPr>
                <w:sz w:val="24"/>
              </w:rPr>
            </w:pPr>
            <w:r>
              <w:rPr>
                <w:sz w:val="24"/>
              </w:rPr>
              <w:t>≤ 15 %</w:t>
            </w:r>
          </w:p>
        </w:tc>
      </w:tr>
    </w:tbl>
    <w:p>
      <w:pPr>
        <w:pStyle w:val="BodyText"/>
        <w:ind w:left="465"/>
      </w:pPr>
      <w:r>
        <w:rPr/>
        <w:t>(Source:</w:t>
      </w:r>
      <w:r>
        <w:rPr>
          <w:spacing w:val="-2"/>
        </w:rPr>
        <w:t> </w:t>
      </w:r>
      <w:r>
        <w:rPr/>
        <w:t>Avantor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Materials, USA)</w:t>
      </w:r>
    </w:p>
    <w:p>
      <w:pPr>
        <w:spacing w:after="0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numPr>
          <w:ilvl w:val="2"/>
          <w:numId w:val="13"/>
        </w:numPr>
        <w:tabs>
          <w:tab w:pos="1185" w:val="left" w:leader="none"/>
          <w:tab w:pos="1186" w:val="left" w:leader="none"/>
        </w:tabs>
        <w:spacing w:line="240" w:lineRule="auto" w:before="76" w:after="0"/>
        <w:ind w:left="1185" w:right="0" w:hanging="721"/>
        <w:jc w:val="left"/>
      </w:pPr>
      <w:bookmarkStart w:name="_TOC_250056" w:id="50"/>
      <w:bookmarkEnd w:id="50"/>
      <w:r>
        <w:rPr/>
        <w:t>Ibuprofen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3"/>
        <w:jc w:val="both"/>
      </w:pPr>
      <w:r>
        <w:rPr/>
        <w:t>Ibuprofen is a chiral propionic acid derivative belonging to the class of non-steroidal</w:t>
      </w:r>
      <w:r>
        <w:rPr>
          <w:spacing w:val="1"/>
        </w:rPr>
        <w:t> </w:t>
      </w:r>
      <w:r>
        <w:rPr/>
        <w:t>anti-inflammatory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(NSAIDS).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analgesic,</w:t>
      </w:r>
      <w:r>
        <w:rPr>
          <w:spacing w:val="1"/>
        </w:rPr>
        <w:t> </w:t>
      </w:r>
      <w:r>
        <w:rPr/>
        <w:t>antipyretic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inflammatory actions, it is used in the treatment of inflammatory conditions such as</w:t>
      </w:r>
      <w:r>
        <w:rPr>
          <w:spacing w:val="1"/>
        </w:rPr>
        <w:t> </w:t>
      </w:r>
      <w:r>
        <w:rPr/>
        <w:t>rheumatoid</w:t>
      </w:r>
      <w:r>
        <w:rPr>
          <w:spacing w:val="1"/>
        </w:rPr>
        <w:t> </w:t>
      </w:r>
      <w:r>
        <w:rPr/>
        <w:t>arthritis,</w:t>
      </w:r>
      <w:r>
        <w:rPr>
          <w:spacing w:val="1"/>
        </w:rPr>
        <w:t> </w:t>
      </w:r>
      <w:r>
        <w:rPr/>
        <w:t>osteoarthritis,</w:t>
      </w:r>
      <w:r>
        <w:rPr>
          <w:spacing w:val="1"/>
        </w:rPr>
        <w:t> </w:t>
      </w:r>
      <w:r>
        <w:rPr/>
        <w:t>ankylosing</w:t>
      </w:r>
      <w:r>
        <w:rPr>
          <w:spacing w:val="1"/>
        </w:rPr>
        <w:t> </w:t>
      </w:r>
      <w:r>
        <w:rPr/>
        <w:t>spondylitis,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pain,</w:t>
      </w:r>
      <w:r>
        <w:rPr>
          <w:spacing w:val="-57"/>
        </w:rPr>
        <w:t> </w:t>
      </w:r>
      <w:r>
        <w:rPr/>
        <w:t>dysmenorrhea, vascular</w:t>
      </w:r>
      <w:r>
        <w:rPr>
          <w:spacing w:val="1"/>
        </w:rPr>
        <w:t> </w:t>
      </w:r>
      <w:r>
        <w:rPr/>
        <w:t>headache and fever.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occurs as a white, crystalline powder</w:t>
      </w:r>
      <w:r>
        <w:rPr>
          <w:spacing w:val="1"/>
        </w:rPr>
        <w:t> </w:t>
      </w:r>
      <w:r>
        <w:rPr/>
        <w:t>with a characteristic odour. Melting point ranges from 75 – 78 ºC and its solubility in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(7.2)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5.2</w:t>
      </w:r>
      <w:r>
        <w:rPr>
          <w:spacing w:val="1"/>
        </w:rPr>
        <w:t> </w:t>
      </w:r>
      <w:r>
        <w:rPr/>
        <w:t>mg/ml.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properties</w:t>
      </w:r>
      <w:r>
        <w:rPr>
          <w:spacing w:val="61"/>
        </w:rPr>
        <w:t> </w:t>
      </w:r>
      <w:r>
        <w:rPr/>
        <w:t>are</w:t>
      </w:r>
      <w:r>
        <w:rPr>
          <w:spacing w:val="-57"/>
        </w:rPr>
        <w:t> </w:t>
      </w:r>
      <w:r>
        <w:rPr/>
        <w:t>summarized in Table 2.5.Ibuprofen was selected as the drug of choice for this study</w:t>
      </w:r>
      <w:r>
        <w:rPr>
          <w:spacing w:val="1"/>
        </w:rPr>
        <w:t> </w:t>
      </w:r>
      <w:r>
        <w:rPr/>
        <w:t>because it is poorly compressible with a high tendency for capping when compressed at</w:t>
      </w:r>
      <w:r>
        <w:rPr>
          <w:spacing w:val="1"/>
        </w:rPr>
        <w:t> </w:t>
      </w:r>
      <w:r>
        <w:rPr/>
        <w:t>high speed (Nokhodchi </w:t>
      </w:r>
      <w:r>
        <w:rPr>
          <w:i/>
        </w:rPr>
        <w:t>et al.</w:t>
      </w:r>
      <w:r>
        <w:rPr/>
        <w:t>, 1995). The empirical formula of ibuprofen is given as:</w:t>
      </w:r>
      <w:r>
        <w:rPr>
          <w:spacing w:val="1"/>
        </w:rPr>
        <w:t> </w:t>
      </w:r>
      <w:r>
        <w:rPr/>
        <w:t>C</w:t>
      </w:r>
      <w:r>
        <w:rPr>
          <w:vertAlign w:val="subscript"/>
        </w:rPr>
        <w:t>13</w:t>
      </w:r>
      <w:r>
        <w:rPr>
          <w:vertAlign w:val="baseline"/>
        </w:rPr>
        <w:t>H</w:t>
      </w:r>
      <w:r>
        <w:rPr>
          <w:vertAlign w:val="subscript"/>
        </w:rPr>
        <w:t>18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, with a molecular weight of 206.28 g/mol. The chemical structure is given</w:t>
      </w:r>
      <w:r>
        <w:rPr>
          <w:spacing w:val="1"/>
          <w:vertAlign w:val="baseline"/>
        </w:rPr>
        <w:t> </w:t>
      </w:r>
      <w:r>
        <w:rPr>
          <w:vertAlign w:val="baseline"/>
        </w:rPr>
        <w:t>below: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6"/>
        </w:rPr>
      </w:pPr>
    </w:p>
    <w:p>
      <w:pPr>
        <w:pStyle w:val="BodyText"/>
        <w:ind w:left="2285"/>
        <w:rPr>
          <w:sz w:val="20"/>
        </w:rPr>
      </w:pPr>
      <w:r>
        <w:rPr>
          <w:sz w:val="20"/>
        </w:rPr>
        <w:drawing>
          <wp:inline distT="0" distB="0" distL="0" distR="0">
            <wp:extent cx="3103455" cy="1320165"/>
            <wp:effectExtent l="0" t="0" r="0" b="0"/>
            <wp:docPr id="25" name="image25.png" descr="C:\Users\YONNI APEJI\Desktop\1000px-Ibuprofen2.svg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455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9"/>
        </w:rPr>
      </w:pPr>
    </w:p>
    <w:p>
      <w:pPr>
        <w:spacing w:before="90"/>
        <w:ind w:left="1238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2.3:Chemical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structure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Ibuprofen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(</w:t>
      </w:r>
      <w:r>
        <w:rPr>
          <w:sz w:val="24"/>
        </w:rPr>
        <w:t>Buschmann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1"/>
          <w:sz w:val="24"/>
        </w:rPr>
        <w:t> </w:t>
      </w:r>
      <w:r>
        <w:rPr>
          <w:sz w:val="24"/>
        </w:rPr>
        <w:t>2010</w:t>
      </w:r>
      <w:r>
        <w:rPr>
          <w:b/>
          <w:sz w:val="24"/>
        </w:rPr>
        <w:t>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580" w:bottom="1260" w:left="1520" w:right="160"/>
        </w:sectPr>
      </w:pPr>
    </w:p>
    <w:p>
      <w:pPr>
        <w:pStyle w:val="Heading3"/>
        <w:ind w:left="465"/>
      </w:pPr>
      <w:r>
        <w:rPr/>
        <w:t>Table</w:t>
      </w:r>
      <w:r>
        <w:rPr>
          <w:spacing w:val="-4"/>
        </w:rPr>
        <w:t> </w:t>
      </w:r>
      <w:r>
        <w:rPr/>
        <w:t>2.5:</w:t>
      </w:r>
      <w:r>
        <w:rPr>
          <w:spacing w:val="-2"/>
        </w:rPr>
        <w:t> </w:t>
      </w:r>
      <w:r>
        <w:rPr/>
        <w:t>Physicochemical</w:t>
      </w:r>
      <w:r>
        <w:rPr>
          <w:spacing w:val="-3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Ibuprofen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9"/>
        <w:gridCol w:w="4428"/>
      </w:tblGrid>
      <w:tr>
        <w:trPr>
          <w:trHeight w:val="551" w:hRule="atLeast"/>
        </w:trPr>
        <w:tc>
          <w:tcPr>
            <w:tcW w:w="4299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Properties</w:t>
            </w:r>
          </w:p>
        </w:tc>
        <w:tc>
          <w:tcPr>
            <w:tcW w:w="4428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Observations</w:t>
            </w:r>
          </w:p>
        </w:tc>
      </w:tr>
      <w:tr>
        <w:trPr>
          <w:trHeight w:val="413" w:hRule="atLeast"/>
        </w:trPr>
        <w:tc>
          <w:tcPr>
            <w:tcW w:w="42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Appearance</w:t>
            </w:r>
          </w:p>
        </w:tc>
        <w:tc>
          <w:tcPr>
            <w:tcW w:w="44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Crystalline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powder</w:t>
            </w:r>
          </w:p>
        </w:tc>
      </w:tr>
      <w:tr>
        <w:trPr>
          <w:trHeight w:val="552" w:hRule="atLeast"/>
        </w:trPr>
        <w:tc>
          <w:tcPr>
            <w:tcW w:w="429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Colour</w:t>
            </w:r>
          </w:p>
        </w:tc>
        <w:tc>
          <w:tcPr>
            <w:tcW w:w="4428" w:type="dxa"/>
          </w:tcPr>
          <w:p>
            <w:pPr>
              <w:pStyle w:val="TableParagraph"/>
              <w:spacing w:before="133"/>
              <w:ind w:left="177"/>
              <w:rPr>
                <w:sz w:val="24"/>
              </w:rPr>
            </w:pPr>
            <w:r>
              <w:rPr>
                <w:sz w:val="24"/>
              </w:rPr>
              <w:t>White</w:t>
            </w:r>
          </w:p>
        </w:tc>
      </w:tr>
      <w:tr>
        <w:trPr>
          <w:trHeight w:val="551" w:hRule="atLeast"/>
        </w:trPr>
        <w:tc>
          <w:tcPr>
            <w:tcW w:w="429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Odour</w:t>
            </w:r>
          </w:p>
        </w:tc>
        <w:tc>
          <w:tcPr>
            <w:tcW w:w="4428" w:type="dxa"/>
          </w:tcPr>
          <w:p>
            <w:pPr>
              <w:pStyle w:val="TableParagraph"/>
              <w:spacing w:before="133"/>
              <w:ind w:left="177"/>
              <w:rPr>
                <w:sz w:val="24"/>
              </w:rPr>
            </w:pPr>
            <w:r>
              <w:rPr>
                <w:sz w:val="24"/>
              </w:rPr>
              <w:t>Characteristic</w:t>
            </w:r>
          </w:p>
        </w:tc>
      </w:tr>
      <w:tr>
        <w:trPr>
          <w:trHeight w:val="551" w:hRule="atLeast"/>
        </w:trPr>
        <w:tc>
          <w:tcPr>
            <w:tcW w:w="429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Solubility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 phosphate buffer 7.2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(37 °C)</w:t>
            </w:r>
          </w:p>
        </w:tc>
        <w:tc>
          <w:tcPr>
            <w:tcW w:w="4428" w:type="dxa"/>
          </w:tcPr>
          <w:p>
            <w:pPr>
              <w:pStyle w:val="TableParagraph"/>
              <w:spacing w:before="133"/>
              <w:ind w:left="177"/>
              <w:rPr>
                <w:sz w:val="24"/>
              </w:rPr>
            </w:pPr>
            <w:r>
              <w:rPr>
                <w:sz w:val="24"/>
              </w:rPr>
              <w:t>5.2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mg/ml</w:t>
            </w:r>
          </w:p>
        </w:tc>
      </w:tr>
      <w:tr>
        <w:trPr>
          <w:trHeight w:val="552" w:hRule="atLeast"/>
        </w:trPr>
        <w:tc>
          <w:tcPr>
            <w:tcW w:w="429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Melting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4428" w:type="dxa"/>
          </w:tcPr>
          <w:p>
            <w:pPr>
              <w:pStyle w:val="TableParagraph"/>
              <w:spacing w:before="133"/>
              <w:ind w:left="177"/>
              <w:rPr>
                <w:sz w:val="24"/>
              </w:rPr>
            </w:pPr>
            <w:r>
              <w:rPr>
                <w:sz w:val="24"/>
              </w:rPr>
              <w:t>75 – 78 °C</w:t>
            </w:r>
          </w:p>
        </w:tc>
      </w:tr>
      <w:tr>
        <w:trPr>
          <w:trHeight w:val="552" w:hRule="atLeast"/>
        </w:trPr>
        <w:tc>
          <w:tcPr>
            <w:tcW w:w="429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Particle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4428" w:type="dxa"/>
          </w:tcPr>
          <w:p>
            <w:pPr>
              <w:pStyle w:val="TableParagraph"/>
              <w:spacing w:before="133"/>
              <w:ind w:left="177"/>
              <w:rPr>
                <w:sz w:val="24"/>
              </w:rPr>
            </w:pPr>
            <w:r>
              <w:rPr>
                <w:sz w:val="24"/>
              </w:rPr>
              <w:t>≈ 50 μm</w:t>
            </w:r>
          </w:p>
        </w:tc>
      </w:tr>
      <w:tr>
        <w:trPr>
          <w:trHeight w:val="550" w:hRule="atLeast"/>
        </w:trPr>
        <w:tc>
          <w:tcPr>
            <w:tcW w:w="429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Bulk density</w:t>
            </w:r>
          </w:p>
        </w:tc>
        <w:tc>
          <w:tcPr>
            <w:tcW w:w="4428" w:type="dxa"/>
          </w:tcPr>
          <w:p>
            <w:pPr>
              <w:pStyle w:val="TableParagraph"/>
              <w:spacing w:before="133"/>
              <w:ind w:left="177"/>
              <w:rPr>
                <w:sz w:val="24"/>
              </w:rPr>
            </w:pPr>
            <w:r>
              <w:rPr>
                <w:sz w:val="24"/>
              </w:rPr>
              <w:t>0.34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g/ml</w:t>
            </w:r>
          </w:p>
        </w:tc>
      </w:tr>
      <w:tr>
        <w:trPr>
          <w:trHeight w:val="693" w:hRule="atLeast"/>
        </w:trPr>
        <w:tc>
          <w:tcPr>
            <w:tcW w:w="429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1"/>
              <w:ind w:left="115"/>
              <w:rPr>
                <w:sz w:val="24"/>
              </w:rPr>
            </w:pPr>
            <w:r>
              <w:rPr>
                <w:sz w:val="24"/>
              </w:rPr>
              <w:t>Tapped density</w:t>
            </w:r>
          </w:p>
        </w:tc>
        <w:tc>
          <w:tcPr>
            <w:tcW w:w="442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1"/>
              <w:ind w:left="177"/>
              <w:rPr>
                <w:sz w:val="24"/>
              </w:rPr>
            </w:pPr>
            <w:r>
              <w:rPr>
                <w:sz w:val="24"/>
              </w:rPr>
              <w:t>0.6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g/ml</w:t>
            </w:r>
          </w:p>
        </w:tc>
      </w:tr>
    </w:tbl>
    <w:p>
      <w:pPr>
        <w:pStyle w:val="BodyText"/>
        <w:ind w:left="465"/>
      </w:pPr>
      <w:r>
        <w:rPr/>
        <w:t>(Source:</w:t>
      </w:r>
      <w:r>
        <w:rPr>
          <w:spacing w:val="-1"/>
        </w:rPr>
        <w:t> </w:t>
      </w:r>
      <w:r>
        <w:rPr/>
        <w:t>BASF,</w:t>
      </w:r>
      <w:r>
        <w:rPr>
          <w:spacing w:val="-2"/>
        </w:rPr>
        <w:t> </w:t>
      </w:r>
      <w:r>
        <w:rPr/>
        <w:t>USA)</w:t>
      </w:r>
    </w:p>
    <w:p>
      <w:pPr>
        <w:spacing w:after="0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numPr>
          <w:ilvl w:val="1"/>
          <w:numId w:val="13"/>
        </w:numPr>
        <w:tabs>
          <w:tab w:pos="1185" w:val="left" w:leader="none"/>
          <w:tab w:pos="1186" w:val="left" w:leader="none"/>
        </w:tabs>
        <w:spacing w:line="240" w:lineRule="auto" w:before="77" w:after="0"/>
        <w:ind w:left="1185" w:right="0" w:hanging="721"/>
        <w:jc w:val="left"/>
      </w:pPr>
      <w:bookmarkStart w:name="_TOC_250055" w:id="51"/>
      <w:r>
        <w:rPr/>
        <w:t>Pharmaceutical</w:t>
      </w:r>
      <w:r>
        <w:rPr>
          <w:spacing w:val="-3"/>
        </w:rPr>
        <w:t> </w:t>
      </w:r>
      <w:r>
        <w:rPr/>
        <w:t>Quality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Design</w:t>
      </w:r>
      <w:r>
        <w:rPr>
          <w:spacing w:val="-1"/>
        </w:rPr>
        <w:t> </w:t>
      </w:r>
      <w:r>
        <w:rPr/>
        <w:t>(QbD)/Design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Experiment</w:t>
      </w:r>
      <w:r>
        <w:rPr>
          <w:spacing w:val="-2"/>
        </w:rPr>
        <w:t> </w:t>
      </w:r>
      <w:bookmarkEnd w:id="51"/>
      <w:r>
        <w:rPr/>
        <w:t>(DoE)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5" w:right="1250"/>
        <w:jc w:val="both"/>
      </w:pP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QbD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Harmonization (ICH) Q8 guidance, which states that “</w:t>
      </w:r>
      <w:r>
        <w:rPr>
          <w:i/>
        </w:rPr>
        <w:t>quality cannot be tested into</w:t>
      </w:r>
      <w:r>
        <w:rPr>
          <w:i/>
          <w:spacing w:val="1"/>
        </w:rPr>
        <w:t> </w:t>
      </w:r>
      <w:r>
        <w:rPr>
          <w:i/>
        </w:rPr>
        <w:t>products; instead, quality should be built in by design</w:t>
      </w:r>
      <w:r>
        <w:rPr/>
        <w:t>” (FDA, 2006). Product testing</w:t>
      </w:r>
      <w:r>
        <w:rPr>
          <w:spacing w:val="1"/>
        </w:rPr>
        <w:t> </w:t>
      </w:r>
      <w:r>
        <w:rPr/>
        <w:t>only confirms product quality.</w:t>
      </w:r>
      <w:r>
        <w:rPr>
          <w:spacing w:val="1"/>
        </w:rPr>
        <w:t> </w:t>
      </w:r>
      <w:r>
        <w:rPr/>
        <w:t>Pharmaceutical QbD is a systematic, scientific, risk-</w:t>
      </w:r>
      <w:r>
        <w:rPr>
          <w:spacing w:val="1"/>
        </w:rPr>
        <w:t> </w:t>
      </w:r>
      <w:r>
        <w:rPr/>
        <w:t>based, holistic and proactive approach to pharmaceutical development that begins with</w:t>
      </w:r>
      <w:r>
        <w:rPr>
          <w:spacing w:val="1"/>
        </w:rPr>
        <w:t> </w:t>
      </w:r>
      <w:r>
        <w:rPr/>
        <w:t>predefined objectives and emphasizes product and processes understanding and process</w:t>
      </w:r>
      <w:r>
        <w:rPr>
          <w:spacing w:val="1"/>
        </w:rPr>
        <w:t> </w:t>
      </w:r>
      <w:r>
        <w:rPr/>
        <w:t>control.</w:t>
      </w:r>
      <w:r>
        <w:rPr>
          <w:spacing w:val="25"/>
        </w:rPr>
        <w:t> </w:t>
      </w:r>
      <w:r>
        <w:rPr/>
        <w:t>It</w:t>
      </w:r>
      <w:r>
        <w:rPr>
          <w:spacing w:val="24"/>
        </w:rPr>
        <w:t> </w:t>
      </w:r>
      <w:r>
        <w:rPr/>
        <w:t>means</w:t>
      </w:r>
      <w:r>
        <w:rPr>
          <w:spacing w:val="24"/>
        </w:rPr>
        <w:t> </w:t>
      </w:r>
      <w:r>
        <w:rPr/>
        <w:t>designing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developing</w:t>
      </w:r>
      <w:r>
        <w:rPr>
          <w:spacing w:val="21"/>
        </w:rPr>
        <w:t> </w:t>
      </w:r>
      <w:r>
        <w:rPr/>
        <w:t>formulations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manufacturing</w:t>
      </w:r>
      <w:r>
        <w:rPr>
          <w:spacing w:val="21"/>
        </w:rPr>
        <w:t> </w:t>
      </w:r>
      <w:r>
        <w:rPr/>
        <w:t>processes</w:t>
      </w:r>
      <w:r>
        <w:rPr>
          <w:spacing w:val="-57"/>
        </w:rPr>
        <w:t> </w:t>
      </w:r>
      <w:r>
        <w:rPr/>
        <w:t>to ensure</w:t>
      </w:r>
      <w:r>
        <w:rPr>
          <w:spacing w:val="-1"/>
        </w:rPr>
        <w:t> </w:t>
      </w:r>
      <w:r>
        <w:rPr/>
        <w:t>predefined product quality</w:t>
      </w:r>
      <w:r>
        <w:rPr>
          <w:spacing w:val="-3"/>
        </w:rPr>
        <w:t> </w:t>
      </w:r>
      <w:r>
        <w:rPr/>
        <w:t>(Yu, 2008).</w:t>
      </w:r>
    </w:p>
    <w:p>
      <w:pPr>
        <w:pStyle w:val="BodyText"/>
        <w:spacing w:line="480" w:lineRule="auto" w:before="121"/>
        <w:ind w:left="465" w:right="1255" w:firstLine="59"/>
        <w:jc w:val="both"/>
      </w:pPr>
      <w:r>
        <w:rPr/>
        <w:t>QbD</w:t>
      </w:r>
      <w:r>
        <w:rPr>
          <w:spacing w:val="1"/>
        </w:rPr>
        <w:t> </w:t>
      </w:r>
      <w:r>
        <w:rPr/>
        <w:t>identifies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patients,</w:t>
      </w:r>
      <w:r>
        <w:rPr>
          <w:spacing w:val="1"/>
        </w:rPr>
        <w:t> </w:t>
      </w:r>
      <w:r>
        <w:rPr/>
        <w:t>translates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possess,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establishes how the critical process parameters can be optimized to consistently produce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drug</w:t>
      </w:r>
      <w:r>
        <w:rPr>
          <w:spacing w:val="-3"/>
        </w:rPr>
        <w:t> </w:t>
      </w:r>
      <w:r>
        <w:rPr/>
        <w:t>product with the desired characteristics</w:t>
      </w:r>
      <w:r>
        <w:rPr>
          <w:spacing w:val="2"/>
        </w:rPr>
        <w:t> </w:t>
      </w:r>
      <w:r>
        <w:rPr/>
        <w:t>(Yu, 2008).</w:t>
      </w:r>
    </w:p>
    <w:p>
      <w:pPr>
        <w:pStyle w:val="BodyText"/>
        <w:spacing w:line="480" w:lineRule="auto" w:before="121"/>
        <w:ind w:left="465" w:right="1253"/>
        <w:jc w:val="both"/>
      </w:pPr>
      <w:r>
        <w:rPr/>
        <w:t>Design of Experiment (DoE) is a structured and organized method to determine the</w:t>
      </w:r>
      <w:r>
        <w:rPr>
          <w:spacing w:val="1"/>
        </w:rPr>
        <w:t> </w:t>
      </w:r>
      <w:r>
        <w:rPr/>
        <w:t>relationship among factors that influence the outcome of a process. It is an optimization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meant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potential</w:t>
      </w:r>
      <w:r>
        <w:rPr>
          <w:spacing w:val="-57"/>
        </w:rPr>
        <w:t> </w:t>
      </w:r>
      <w:r>
        <w:rPr/>
        <w:t>factors</w:t>
      </w:r>
      <w:r>
        <w:rPr>
          <w:spacing w:val="1"/>
        </w:rPr>
        <w:t> </w:t>
      </w:r>
      <w:r>
        <w:rPr/>
        <w:t>simultaneously,</w:t>
      </w:r>
      <w:r>
        <w:rPr>
          <w:spacing w:val="1"/>
        </w:rPr>
        <w:t> </w:t>
      </w:r>
      <w:r>
        <w:rPr/>
        <w:t>systematically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speedily.</w:t>
      </w:r>
      <w:r>
        <w:rPr>
          <w:spacing w:val="1"/>
        </w:rPr>
        <w:t> </w:t>
      </w:r>
      <w:r>
        <w:rPr/>
        <w:t>Its‟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invariably</w:t>
      </w:r>
      <w:r>
        <w:rPr>
          <w:spacing w:val="1"/>
        </w:rPr>
        <w:t> </w:t>
      </w:r>
      <w:r>
        <w:rPr/>
        <w:t>encompasses the use of statistical experimental designs, generation of mathematical</w:t>
      </w:r>
      <w:r>
        <w:rPr>
          <w:spacing w:val="1"/>
        </w:rPr>
        <w:t> </w:t>
      </w:r>
      <w:r>
        <w:rPr/>
        <w:t>equations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graphic</w:t>
      </w:r>
      <w:r>
        <w:rPr>
          <w:spacing w:val="1"/>
        </w:rPr>
        <w:t> </w:t>
      </w:r>
      <w:r>
        <w:rPr/>
        <w:t>outcomes,</w:t>
      </w:r>
      <w:r>
        <w:rPr>
          <w:spacing w:val="1"/>
        </w:rPr>
        <w:t> </w:t>
      </w:r>
      <w:r>
        <w:rPr/>
        <w:t>portraying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picture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response(s) as a function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factor(s)(Singh</w:t>
      </w:r>
      <w:r>
        <w:rPr>
          <w:i/>
        </w:rPr>
        <w:t>et al.</w:t>
      </w:r>
      <w:r>
        <w:rPr/>
        <w:t>, 2011).</w:t>
      </w:r>
    </w:p>
    <w:p>
      <w:pPr>
        <w:pStyle w:val="BodyText"/>
        <w:spacing w:line="480" w:lineRule="auto" w:before="118"/>
        <w:ind w:left="465" w:right="1256"/>
        <w:jc w:val="both"/>
      </w:pP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co-opted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combinations and interactions of input variables (e.g. formulation and process variables)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(International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Harmonization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Technical</w:t>
      </w:r>
      <w:r>
        <w:rPr>
          <w:spacing w:val="6"/>
        </w:rPr>
        <w:t> </w:t>
      </w:r>
      <w:r>
        <w:rPr/>
        <w:t>Requirements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Pharmaceuticals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Human</w:t>
      </w:r>
      <w:r>
        <w:rPr>
          <w:spacing w:val="6"/>
        </w:rPr>
        <w:t> </w:t>
      </w:r>
      <w:r>
        <w:rPr/>
        <w:t>use,</w:t>
      </w:r>
      <w:r>
        <w:rPr>
          <w:spacing w:val="5"/>
        </w:rPr>
        <w:t> </w:t>
      </w:r>
      <w:r>
        <w:rPr/>
        <w:t>2009).</w:t>
      </w:r>
      <w:r>
        <w:rPr>
          <w:spacing w:val="8"/>
        </w:rPr>
        <w:t> </w:t>
      </w:r>
      <w:r>
        <w:rPr/>
        <w:t>DoE</w:t>
      </w:r>
      <w:r>
        <w:rPr>
          <w:spacing w:val="5"/>
        </w:rPr>
        <w:t> </w:t>
      </w:r>
      <w:r>
        <w:rPr/>
        <w:t>is</w:t>
      </w:r>
      <w:r>
        <w:rPr>
          <w:spacing w:val="8"/>
        </w:rPr>
        <w:t> </w:t>
      </w:r>
      <w:r>
        <w:rPr/>
        <w:t>used</w:t>
      </w:r>
      <w:r>
        <w:rPr>
          <w:spacing w:val="5"/>
        </w:rPr>
        <w:t> </w:t>
      </w:r>
      <w:r>
        <w:rPr/>
        <w:t>both</w:t>
      </w:r>
      <w:r>
        <w:rPr>
          <w:spacing w:val="7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87" w:top="1440" w:bottom="1260" w:left="1520" w:right="160"/>
        </w:sectPr>
      </w:pPr>
    </w:p>
    <w:p>
      <w:pPr>
        <w:pStyle w:val="BodyText"/>
        <w:spacing w:line="480" w:lineRule="auto" w:before="72"/>
        <w:ind w:left="465" w:right="1263"/>
        <w:jc w:val="both"/>
      </w:pPr>
      <w:r>
        <w:rPr/>
        <w:t>the development of new products and for the optimization of existing processes as the</w:t>
      </w:r>
      <w:r>
        <w:rPr>
          <w:spacing w:val="1"/>
        </w:rPr>
        <w:t> </w:t>
      </w:r>
      <w:r>
        <w:rPr/>
        <w:t>goal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DoE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to optimize</w:t>
      </w:r>
      <w:r>
        <w:rPr>
          <w:spacing w:val="-2"/>
        </w:rPr>
        <w:t> </w:t>
      </w:r>
      <w:r>
        <w:rPr/>
        <w:t>quality</w:t>
      </w:r>
      <w:r>
        <w:rPr>
          <w:spacing w:val="-4"/>
        </w:rPr>
        <w:t> </w:t>
      </w:r>
      <w:r>
        <w:rPr/>
        <w:t>and performance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product (Larsen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line="480" w:lineRule="auto" w:before="120"/>
        <w:ind w:left="465" w:right="1255"/>
        <w:jc w:val="both"/>
      </w:pPr>
      <w:r>
        <w:rPr/>
        <w:t>When</w:t>
      </w:r>
      <w:r>
        <w:rPr>
          <w:spacing w:val="1"/>
        </w:rPr>
        <w:t> </w:t>
      </w:r>
      <w:r>
        <w:rPr/>
        <w:t>DoE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materials attributes (e.g. particle size) and process parameters (e.g. speed and time),</w:t>
      </w:r>
      <w:r>
        <w:rPr>
          <w:spacing w:val="1"/>
        </w:rPr>
        <w:t> </w:t>
      </w:r>
      <w:r>
        <w:rPr/>
        <w:t>while outputs are the critical quality attributes such as blend uniformity, tablet hardness,</w:t>
      </w:r>
      <w:r>
        <w:rPr>
          <w:spacing w:val="-57"/>
        </w:rPr>
        <w:t> </w:t>
      </w:r>
      <w:r>
        <w:rPr/>
        <w:t>thickness and friability. The outcome of DoE when applied can help to identify optimal</w:t>
      </w:r>
      <w:r>
        <w:rPr>
          <w:spacing w:val="1"/>
        </w:rPr>
        <w:t> </w:t>
      </w:r>
      <w:r>
        <w:rPr/>
        <w:t>conditions, the critical factors that most influence critical quality attributes (CQA) and</w:t>
      </w:r>
      <w:r>
        <w:rPr>
          <w:spacing w:val="1"/>
        </w:rPr>
        <w:t> </w:t>
      </w:r>
      <w:r>
        <w:rPr/>
        <w:t>those that do not, as well as details such as the existence of interactions and synergies</w:t>
      </w:r>
      <w:r>
        <w:rPr>
          <w:spacing w:val="1"/>
        </w:rPr>
        <w:t> </w:t>
      </w:r>
      <w:r>
        <w:rPr/>
        <w:t>between factors. Based on the acceptable range of CQAs, the design space of CPP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determined.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QbD,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multidimensional</w:t>
      </w:r>
      <w:r>
        <w:rPr>
          <w:spacing w:val="1"/>
        </w:rPr>
        <w:t> </w:t>
      </w:r>
      <w:r>
        <w:rPr/>
        <w:t>combination and interaction of input variables (e.g. material attributes) and process</w:t>
      </w:r>
      <w:r>
        <w:rPr>
          <w:spacing w:val="1"/>
        </w:rPr>
        <w:t> </w:t>
      </w:r>
      <w:r>
        <w:rPr/>
        <w:t>parameters that have been demonstrated to provide quality assurance. The application of</w:t>
      </w:r>
      <w:r>
        <w:rPr>
          <w:spacing w:val="-57"/>
        </w:rPr>
        <w:t> </w:t>
      </w:r>
      <w:r>
        <w:rPr/>
        <w:t>DoE to product development has resulted in reduced production cost and improved</w:t>
      </w:r>
      <w:r>
        <w:rPr>
          <w:spacing w:val="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quality.</w:t>
      </w:r>
    </w:p>
    <w:p>
      <w:pPr>
        <w:pStyle w:val="BodyText"/>
        <w:spacing w:line="480" w:lineRule="auto" w:before="122"/>
        <w:ind w:left="465" w:right="1255"/>
        <w:jc w:val="both"/>
      </w:pPr>
      <w:r>
        <w:rPr/>
        <w:t>Several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optimizing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development. Martinello </w:t>
      </w:r>
      <w:r>
        <w:rPr>
          <w:i/>
        </w:rPr>
        <w:t>et al </w:t>
      </w:r>
      <w:r>
        <w:rPr/>
        <w:t>(2006)applied experimental DoE in the development and</w:t>
      </w:r>
      <w:r>
        <w:rPr>
          <w:spacing w:val="1"/>
        </w:rPr>
        <w:t> </w:t>
      </w:r>
      <w:r>
        <w:rPr/>
        <w:t>optimization of tablet formulations containing high amounts of paracetamol (more than</w:t>
      </w:r>
      <w:r>
        <w:rPr>
          <w:spacing w:val="1"/>
        </w:rPr>
        <w:t> </w:t>
      </w:r>
      <w:r>
        <w:rPr/>
        <w:t>70%) and manufactured by direct compression.The physicochemical propertiesobtained</w:t>
      </w:r>
      <w:r>
        <w:rPr>
          <w:spacing w:val="1"/>
        </w:rPr>
        <w:t> </w:t>
      </w:r>
      <w:r>
        <w:rPr/>
        <w:t>from the optimized formulation were very close to those from the regression analysis,</w:t>
      </w:r>
      <w:r>
        <w:rPr>
          <w:spacing w:val="1"/>
        </w:rPr>
        <w:t> </w:t>
      </w:r>
      <w:r>
        <w:rPr/>
        <w:t>demonstrating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DoE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formulations.</w:t>
      </w:r>
    </w:p>
    <w:p>
      <w:pPr>
        <w:pStyle w:val="BodyText"/>
        <w:spacing w:line="480" w:lineRule="auto" w:before="118"/>
        <w:ind w:left="465" w:right="1252"/>
        <w:jc w:val="both"/>
      </w:pPr>
      <w:r>
        <w:rPr/>
        <w:t>Design of experiment approach was employed by Larsen </w:t>
      </w:r>
      <w:r>
        <w:rPr>
          <w:i/>
        </w:rPr>
        <w:t>et al</w:t>
      </w:r>
      <w:r>
        <w:rPr/>
        <w:t>(2014)to examine 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mannitol</w:t>
      </w:r>
      <w:r>
        <w:rPr>
          <w:spacing w:val="1"/>
        </w:rPr>
        <w:t> </w:t>
      </w:r>
      <w:r>
        <w:rPr/>
        <w:t>hemihydrate</w:t>
      </w:r>
      <w:r>
        <w:rPr>
          <w:spacing w:val="9"/>
        </w:rPr>
        <w:t> </w:t>
      </w:r>
      <w:r>
        <w:rPr/>
        <w:t>(MHH)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freeze-dried</w:t>
      </w:r>
      <w:r>
        <w:rPr>
          <w:spacing w:val="10"/>
        </w:rPr>
        <w:t> </w:t>
      </w:r>
      <w:r>
        <w:rPr/>
        <w:t>protein</w:t>
      </w:r>
      <w:r>
        <w:rPr>
          <w:spacing w:val="10"/>
        </w:rPr>
        <w:t> </w:t>
      </w:r>
      <w:r>
        <w:rPr/>
        <w:t>formulations.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successful</w:t>
      </w:r>
      <w:r>
        <w:rPr>
          <w:spacing w:val="13"/>
        </w:rPr>
        <w:t> </w:t>
      </w:r>
      <w:r>
        <w:rPr/>
        <w:t>application</w:t>
      </w:r>
      <w:r>
        <w:rPr>
          <w:spacing w:val="10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61"/>
        <w:jc w:val="both"/>
      </w:pPr>
      <w:r>
        <w:rPr/>
        <w:t>DoE revealed that the most significant factors promoting the formation of MHH were a</w:t>
      </w:r>
      <w:r>
        <w:rPr>
          <w:spacing w:val="1"/>
        </w:rPr>
        <w:t> </w:t>
      </w:r>
      <w:r>
        <w:rPr/>
        <w:t>high</w:t>
      </w:r>
      <w:r>
        <w:rPr>
          <w:spacing w:val="-1"/>
        </w:rPr>
        <w:t> </w:t>
      </w:r>
      <w:r>
        <w:rPr/>
        <w:t>protein concentration,</w:t>
      </w:r>
      <w:r>
        <w:rPr>
          <w:spacing w:val="-1"/>
        </w:rPr>
        <w:t> </w:t>
      </w:r>
      <w:r>
        <w:rPr/>
        <w:t>low relative</w:t>
      </w:r>
      <w:r>
        <w:rPr>
          <w:spacing w:val="-1"/>
        </w:rPr>
        <w:t> </w:t>
      </w:r>
      <w:r>
        <w:rPr/>
        <w:t>mannitol content and</w:t>
      </w:r>
      <w:r>
        <w:rPr>
          <w:spacing w:val="-1"/>
        </w:rPr>
        <w:t> </w:t>
      </w:r>
      <w:r>
        <w:rPr/>
        <w:t>annealing</w:t>
      </w:r>
      <w:r>
        <w:rPr>
          <w:spacing w:val="-3"/>
        </w:rPr>
        <w:t> </w:t>
      </w:r>
      <w:r>
        <w:rPr/>
        <w:t>at</w:t>
      </w:r>
      <w:r>
        <w:rPr>
          <w:spacing w:val="5"/>
        </w:rPr>
        <w:t> </w:t>
      </w:r>
      <w:r>
        <w:rPr/>
        <w:t>– 20</w:t>
      </w:r>
      <w:r>
        <w:rPr>
          <w:spacing w:val="-1"/>
        </w:rPr>
        <w:t> </w:t>
      </w:r>
      <w:r>
        <w:rPr/>
        <w:t>°C.</w:t>
      </w:r>
    </w:p>
    <w:p>
      <w:pPr>
        <w:pStyle w:val="BodyText"/>
        <w:spacing w:line="480" w:lineRule="auto" w:before="120"/>
        <w:ind w:left="465" w:right="1251"/>
        <w:jc w:val="both"/>
      </w:pPr>
      <w:r>
        <w:rPr/>
        <w:t>In a study carried out by Kurmi</w:t>
      </w:r>
      <w:r>
        <w:rPr>
          <w:i/>
        </w:rPr>
        <w:t>et al</w:t>
      </w:r>
      <w:r>
        <w:rPr/>
        <w:t>(2014), DoE was applied for optimization of forced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stability-indicating</w:t>
      </w:r>
      <w:r>
        <w:rPr>
          <w:spacing w:val="1"/>
        </w:rPr>
        <w:t> </w:t>
      </w:r>
      <w:r>
        <w:rPr/>
        <w:t>method</w:t>
      </w:r>
      <w:r>
        <w:rPr>
          <w:spacing w:val="61"/>
        </w:rPr>
        <w:t> </w:t>
      </w:r>
      <w:r>
        <w:rPr/>
        <w:t>for</w:t>
      </w:r>
      <w:r>
        <w:rPr>
          <w:spacing w:val="1"/>
        </w:rPr>
        <w:t> </w:t>
      </w:r>
      <w:r>
        <w:rPr/>
        <w:t>furosemide. Based on the DoE results, an optimized method was obtained wherein a</w:t>
      </w:r>
      <w:r>
        <w:rPr>
          <w:spacing w:val="1"/>
        </w:rPr>
        <w:t> </w:t>
      </w:r>
      <w:r>
        <w:rPr/>
        <w:t>total</w:t>
      </w:r>
      <w:r>
        <w:rPr>
          <w:spacing w:val="-1"/>
        </w:rPr>
        <w:t> </w:t>
      </w:r>
      <w:r>
        <w:rPr/>
        <w:t>of twelve degradation products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separated successfully.</w:t>
      </w:r>
    </w:p>
    <w:p>
      <w:pPr>
        <w:pStyle w:val="BodyText"/>
        <w:spacing w:line="480" w:lineRule="auto" w:before="121"/>
        <w:ind w:left="465" w:right="1248"/>
        <w:jc w:val="both"/>
      </w:pPr>
      <w:r>
        <w:rPr/>
        <w:t>The optimization of lipid based oral formulations for cucurmin loading and post dilution</w:t>
      </w:r>
      <w:r>
        <w:rPr>
          <w:spacing w:val="-57"/>
        </w:rPr>
        <w:t> </w:t>
      </w:r>
      <w:r>
        <w:rPr/>
        <w:t>droplet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(DoE)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Box-</w:t>
      </w:r>
      <w:r>
        <w:rPr>
          <w:spacing w:val="1"/>
        </w:rPr>
        <w:t> </w:t>
      </w:r>
      <w:r>
        <w:rPr/>
        <w:t>Behnken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(Pawar</w:t>
      </w:r>
      <w:r>
        <w:rPr>
          <w:spacing w:val="-1"/>
        </w:rPr>
        <w:t> </w:t>
      </w:r>
      <w:r>
        <w:rPr>
          <w:i/>
        </w:rPr>
        <w:t>et al.</w:t>
      </w:r>
      <w:r>
        <w:rPr/>
        <w:t>, 2012).</w:t>
      </w:r>
    </w:p>
    <w:p>
      <w:pPr>
        <w:pStyle w:val="BodyText"/>
        <w:spacing w:line="480" w:lineRule="auto" w:before="120"/>
        <w:ind w:left="465" w:right="1253"/>
        <w:jc w:val="both"/>
      </w:pPr>
      <w:r>
        <w:rPr/>
        <w:t>The present study has employed the DoE concept to optimize the composition of the co-</w:t>
      </w:r>
      <w:r>
        <w:rPr>
          <w:spacing w:val="-57"/>
        </w:rPr>
        <w:t> </w:t>
      </w:r>
      <w:r>
        <w:rPr/>
        <w:t>processed excipient to deliver desirable tableting</w:t>
      </w:r>
      <w:r>
        <w:rPr>
          <w:spacing w:val="-4"/>
        </w:rPr>
        <w:t> </w:t>
      </w:r>
      <w:r>
        <w:rPr/>
        <w:t>properties in the product.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spacing w:before="77"/>
        <w:ind w:left="643" w:right="1436"/>
        <w:jc w:val="center"/>
      </w:pPr>
      <w:bookmarkStart w:name="_TOC_250054" w:id="52"/>
      <w:r>
        <w:rPr/>
        <w:t>CHAPTER</w:t>
      </w:r>
      <w:r>
        <w:rPr>
          <w:spacing w:val="-2"/>
        </w:rPr>
        <w:t> </w:t>
      </w:r>
      <w:bookmarkEnd w:id="52"/>
      <w:r>
        <w:rPr/>
        <w:t>THREE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1"/>
          <w:numId w:val="18"/>
        </w:numPr>
        <w:tabs>
          <w:tab w:pos="3415" w:val="left" w:leader="none"/>
          <w:tab w:pos="3416" w:val="left" w:leader="none"/>
        </w:tabs>
        <w:spacing w:line="240" w:lineRule="auto" w:before="217" w:after="0"/>
        <w:ind w:left="3415" w:right="0" w:hanging="721"/>
        <w:jc w:val="left"/>
      </w:pPr>
      <w:bookmarkStart w:name="_TOC_250053" w:id="53"/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53"/>
      <w:r>
        <w:rPr/>
        <w:t>METHODS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Heading3"/>
        <w:numPr>
          <w:ilvl w:val="1"/>
          <w:numId w:val="18"/>
        </w:numPr>
        <w:tabs>
          <w:tab w:pos="1185" w:val="left" w:leader="none"/>
          <w:tab w:pos="1186" w:val="left" w:leader="none"/>
        </w:tabs>
        <w:spacing w:line="240" w:lineRule="auto" w:before="90" w:after="0"/>
        <w:ind w:left="1185" w:right="0" w:hanging="721"/>
        <w:jc w:val="left"/>
      </w:pPr>
      <w:bookmarkStart w:name="_TOC_250052" w:id="54"/>
      <w:bookmarkEnd w:id="54"/>
      <w:r>
        <w:rPr/>
        <w:t>Materials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2"/>
          <w:numId w:val="18"/>
        </w:numPr>
        <w:tabs>
          <w:tab w:pos="1185" w:val="left" w:leader="none"/>
          <w:tab w:pos="1186" w:val="left" w:leader="none"/>
        </w:tabs>
        <w:spacing w:line="240" w:lineRule="auto" w:before="217" w:after="0"/>
        <w:ind w:left="1185" w:right="0" w:hanging="721"/>
        <w:jc w:val="left"/>
      </w:pPr>
      <w:bookmarkStart w:name="_TOC_250051" w:id="55"/>
      <w:bookmarkEnd w:id="55"/>
      <w:r>
        <w:rPr/>
        <w:t>Chemicals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ind w:left="465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chemicals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listed 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3.1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entire</w:t>
      </w:r>
      <w:r>
        <w:rPr>
          <w:spacing w:val="-3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pStyle w:val="Heading3"/>
        <w:spacing w:before="222"/>
        <w:ind w:left="465"/>
      </w:pPr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-2"/>
        </w:rPr>
        <w:t> </w:t>
      </w:r>
      <w:r>
        <w:rPr/>
        <w:t>List</w:t>
      </w:r>
      <w:r>
        <w:rPr>
          <w:spacing w:val="-2"/>
        </w:rPr>
        <w:t> </w:t>
      </w:r>
      <w:r>
        <w:rPr/>
        <w:t>of Chemicals/Excipients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various</w:t>
      </w:r>
      <w:r>
        <w:rPr>
          <w:spacing w:val="-2"/>
        </w:rPr>
        <w:t> </w:t>
      </w:r>
      <w:r>
        <w:rPr/>
        <w:t>manufacturers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8"/>
        <w:gridCol w:w="4593"/>
      </w:tblGrid>
      <w:tr>
        <w:trPr>
          <w:trHeight w:val="394" w:hRule="atLeast"/>
        </w:trPr>
        <w:tc>
          <w:tcPr>
            <w:tcW w:w="41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459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2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Manufacturer/Supplier</w:t>
            </w:r>
          </w:p>
        </w:tc>
      </w:tr>
      <w:tr>
        <w:trPr>
          <w:trHeight w:val="610" w:hRule="atLeast"/>
        </w:trPr>
        <w:tc>
          <w:tcPr>
            <w:tcW w:w="412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Cassava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  <w:tc>
          <w:tcPr>
            <w:tcW w:w="4593" w:type="dxa"/>
            <w:tcBorders>
              <w:top w:val="single" w:sz="12" w:space="0" w:color="000000"/>
            </w:tcBorders>
          </w:tcPr>
          <w:p>
            <w:pPr>
              <w:pStyle w:val="TableParagraph"/>
              <w:ind w:left="341" w:right="709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Starch 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chemicals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(India)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Private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Ltd,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Tamil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Nadu,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India</w:t>
            </w:r>
          </w:p>
        </w:tc>
      </w:tr>
      <w:tr>
        <w:trPr>
          <w:trHeight w:val="473" w:hRule="atLeast"/>
        </w:trPr>
        <w:tc>
          <w:tcPr>
            <w:tcW w:w="4128" w:type="dxa"/>
          </w:tcPr>
          <w:p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z w:val="24"/>
              </w:rPr>
              <w:t>Gelatin</w:t>
            </w:r>
          </w:p>
        </w:tc>
        <w:tc>
          <w:tcPr>
            <w:tcW w:w="4593" w:type="dxa"/>
          </w:tcPr>
          <w:p>
            <w:pPr>
              <w:pStyle w:val="TableParagraph"/>
              <w:spacing w:before="55"/>
              <w:ind w:left="341"/>
              <w:rPr>
                <w:sz w:val="24"/>
              </w:rPr>
            </w:pPr>
            <w:r>
              <w:rPr>
                <w:sz w:val="24"/>
              </w:rPr>
              <w:t>May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Baker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Ltd,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Dagenham,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England</w:t>
            </w:r>
          </w:p>
        </w:tc>
      </w:tr>
      <w:tr>
        <w:trPr>
          <w:trHeight w:val="552" w:hRule="atLeast"/>
        </w:trPr>
        <w:tc>
          <w:tcPr>
            <w:tcW w:w="4128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Silicon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dioxide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(CAB-O-SIL)</w:t>
            </w:r>
          </w:p>
        </w:tc>
        <w:tc>
          <w:tcPr>
            <w:tcW w:w="4593" w:type="dxa"/>
          </w:tcPr>
          <w:p>
            <w:pPr>
              <w:pStyle w:val="TableParagraph"/>
              <w:spacing w:before="133"/>
              <w:ind w:left="341"/>
              <w:rPr>
                <w:sz w:val="24"/>
              </w:rPr>
            </w:pPr>
            <w:r>
              <w:rPr>
                <w:sz w:val="24"/>
              </w:rPr>
              <w:t>Cabot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GmbH,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Rheinfelden,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Germany</w:t>
            </w:r>
          </w:p>
        </w:tc>
      </w:tr>
      <w:tr>
        <w:trPr>
          <w:trHeight w:val="552" w:hRule="atLeast"/>
        </w:trPr>
        <w:tc>
          <w:tcPr>
            <w:tcW w:w="4128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Ibuprofen</w:t>
            </w:r>
          </w:p>
        </w:tc>
        <w:tc>
          <w:tcPr>
            <w:tcW w:w="4593" w:type="dxa"/>
          </w:tcPr>
          <w:p>
            <w:pPr>
              <w:pStyle w:val="TableParagraph"/>
              <w:spacing w:before="133"/>
              <w:ind w:left="341"/>
              <w:rPr>
                <w:sz w:val="24"/>
              </w:rPr>
            </w:pPr>
            <w:r>
              <w:rPr>
                <w:sz w:val="24"/>
              </w:rPr>
              <w:t>Himedia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laboratories Ltd,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Mumbai, India</w:t>
            </w:r>
          </w:p>
        </w:tc>
      </w:tr>
      <w:tr>
        <w:trPr>
          <w:trHeight w:val="750" w:hRule="atLeast"/>
        </w:trPr>
        <w:tc>
          <w:tcPr>
            <w:tcW w:w="412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Magnesium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stearate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USP/NF</w:t>
            </w:r>
          </w:p>
        </w:tc>
        <w:tc>
          <w:tcPr>
            <w:tcW w:w="4593" w:type="dxa"/>
          </w:tcPr>
          <w:p>
            <w:pPr>
              <w:pStyle w:val="TableParagraph"/>
              <w:spacing w:before="133"/>
              <w:ind w:left="341" w:right="532"/>
              <w:rPr>
                <w:sz w:val="24"/>
              </w:rPr>
            </w:pPr>
            <w:r>
              <w:rPr>
                <w:sz w:val="24"/>
              </w:rPr>
              <w:t>Signet chemical corporation, Mumbai,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India</w:t>
            </w:r>
          </w:p>
        </w:tc>
      </w:tr>
      <w:tr>
        <w:trPr>
          <w:trHeight w:val="672" w:hRule="atLeast"/>
        </w:trPr>
        <w:tc>
          <w:tcPr>
            <w:tcW w:w="4128" w:type="dxa"/>
          </w:tcPr>
          <w:p>
            <w:pPr>
              <w:pStyle w:val="TableParagraph"/>
              <w:spacing w:before="55"/>
              <w:ind w:left="107" w:right="581"/>
              <w:rPr>
                <w:sz w:val="24"/>
              </w:rPr>
            </w:pPr>
            <w:r>
              <w:rPr>
                <w:sz w:val="24"/>
              </w:rPr>
              <w:t>Silicified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Microcrystalline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(Prosolv®)</w:t>
            </w:r>
          </w:p>
        </w:tc>
        <w:tc>
          <w:tcPr>
            <w:tcW w:w="4593" w:type="dxa"/>
          </w:tcPr>
          <w:p>
            <w:pPr>
              <w:pStyle w:val="TableParagraph"/>
              <w:spacing w:before="55"/>
              <w:ind w:left="341" w:right="160"/>
              <w:rPr>
                <w:sz w:val="24"/>
              </w:rPr>
            </w:pPr>
            <w:r>
              <w:rPr>
                <w:sz w:val="24"/>
              </w:rPr>
              <w:t>JRS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Pharma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GmbH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Co.KG,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Rosenberg,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Deutschland</w:t>
            </w:r>
          </w:p>
        </w:tc>
      </w:tr>
      <w:tr>
        <w:trPr>
          <w:trHeight w:val="473" w:hRule="atLeast"/>
        </w:trPr>
        <w:tc>
          <w:tcPr>
            <w:tcW w:w="4128" w:type="dxa"/>
          </w:tcPr>
          <w:p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z w:val="24"/>
              </w:rPr>
              <w:t>StarLac®</w:t>
            </w:r>
          </w:p>
        </w:tc>
        <w:tc>
          <w:tcPr>
            <w:tcW w:w="4593" w:type="dxa"/>
          </w:tcPr>
          <w:p>
            <w:pPr>
              <w:pStyle w:val="TableParagraph"/>
              <w:spacing w:before="55"/>
              <w:ind w:left="341"/>
              <w:rPr>
                <w:sz w:val="24"/>
              </w:rPr>
            </w:pPr>
            <w:r>
              <w:rPr>
                <w:sz w:val="24"/>
              </w:rPr>
              <w:t>Roquette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Pharma,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France</w:t>
            </w:r>
          </w:p>
        </w:tc>
      </w:tr>
      <w:tr>
        <w:trPr>
          <w:trHeight w:val="749" w:hRule="atLeast"/>
        </w:trPr>
        <w:tc>
          <w:tcPr>
            <w:tcW w:w="412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Potassium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dihydrogen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orthophosphate</w:t>
            </w:r>
          </w:p>
        </w:tc>
        <w:tc>
          <w:tcPr>
            <w:tcW w:w="4593" w:type="dxa"/>
          </w:tcPr>
          <w:p>
            <w:pPr>
              <w:pStyle w:val="TableParagraph"/>
              <w:spacing w:before="133"/>
              <w:ind w:left="341" w:right="272"/>
              <w:rPr>
                <w:sz w:val="24"/>
              </w:rPr>
            </w:pPr>
            <w:r>
              <w:rPr>
                <w:sz w:val="24"/>
              </w:rPr>
              <w:t>Rankem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(Avantor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India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Ltd),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Gujarat,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India</w:t>
            </w:r>
          </w:p>
        </w:tc>
      </w:tr>
      <w:tr>
        <w:trPr>
          <w:trHeight w:val="474" w:hRule="atLeast"/>
        </w:trPr>
        <w:tc>
          <w:tcPr>
            <w:tcW w:w="4128" w:type="dxa"/>
          </w:tcPr>
          <w:p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z w:val="24"/>
              </w:rPr>
              <w:t>Sodium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hydroxide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pellets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</w:t>
            </w:r>
          </w:p>
        </w:tc>
        <w:tc>
          <w:tcPr>
            <w:tcW w:w="4593" w:type="dxa"/>
          </w:tcPr>
          <w:p>
            <w:pPr>
              <w:pStyle w:val="TableParagraph"/>
              <w:spacing w:before="55"/>
              <w:ind w:left="341"/>
              <w:rPr>
                <w:sz w:val="24"/>
              </w:rPr>
            </w:pPr>
            <w:r>
              <w:rPr>
                <w:sz w:val="24"/>
              </w:rPr>
              <w:t>Loba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Chemie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PVT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Ltd, Bombay, India</w:t>
            </w:r>
          </w:p>
        </w:tc>
      </w:tr>
      <w:tr>
        <w:trPr>
          <w:trHeight w:val="552" w:hRule="atLeast"/>
        </w:trPr>
        <w:tc>
          <w:tcPr>
            <w:tcW w:w="4128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Ultrapure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4593" w:type="dxa"/>
          </w:tcPr>
          <w:p>
            <w:pPr>
              <w:pStyle w:val="TableParagraph"/>
              <w:spacing w:before="133"/>
              <w:ind w:left="341"/>
              <w:rPr>
                <w:sz w:val="24"/>
              </w:rPr>
            </w:pPr>
            <w:r>
              <w:rPr>
                <w:sz w:val="24"/>
              </w:rPr>
              <w:t>In-house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supply,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NIPER,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Mohali</w:t>
            </w:r>
          </w:p>
        </w:tc>
      </w:tr>
      <w:tr>
        <w:trPr>
          <w:trHeight w:val="692" w:hRule="atLeast"/>
        </w:trPr>
        <w:tc>
          <w:tcPr>
            <w:tcW w:w="412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Demineralised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459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341"/>
              <w:rPr>
                <w:sz w:val="24"/>
              </w:rPr>
            </w:pPr>
            <w:r>
              <w:rPr>
                <w:sz w:val="24"/>
              </w:rPr>
              <w:t>In-house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supply,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NIPER,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Mohali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440" w:bottom="1260" w:left="1520" w:right="160"/>
        </w:sectPr>
      </w:pPr>
    </w:p>
    <w:p>
      <w:pPr>
        <w:pStyle w:val="Heading3"/>
        <w:numPr>
          <w:ilvl w:val="2"/>
          <w:numId w:val="18"/>
        </w:numPr>
        <w:tabs>
          <w:tab w:pos="1185" w:val="left" w:leader="none"/>
          <w:tab w:pos="1186" w:val="left" w:leader="none"/>
        </w:tabs>
        <w:spacing w:line="240" w:lineRule="auto" w:before="76" w:after="0"/>
        <w:ind w:left="1185" w:right="0" w:hanging="721"/>
        <w:jc w:val="left"/>
      </w:pPr>
      <w:bookmarkStart w:name="_TOC_250050" w:id="56"/>
      <w:bookmarkEnd w:id="56"/>
      <w:r>
        <w:rPr/>
        <w:t>Instruments/Equipment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ind w:left="465"/>
      </w:pPr>
      <w:r>
        <w:rPr/>
        <w:t>Instruments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equipment used</w:t>
      </w:r>
      <w:r>
        <w:rPr>
          <w:spacing w:val="-1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the course</w:t>
      </w:r>
      <w:r>
        <w:rPr>
          <w:spacing w:val="-1"/>
        </w:rPr>
        <w:t> </w:t>
      </w:r>
      <w:r>
        <w:rPr/>
        <w:t>of this</w:t>
      </w:r>
      <w:r>
        <w:rPr>
          <w:spacing w:val="-1"/>
        </w:rPr>
        <w:t> </w:t>
      </w:r>
      <w:r>
        <w:rPr/>
        <w:t>project are</w:t>
      </w:r>
      <w:r>
        <w:rPr>
          <w:spacing w:val="-2"/>
        </w:rPr>
        <w:t> </w:t>
      </w:r>
      <w:r>
        <w:rPr/>
        <w:t>listed</w:t>
      </w:r>
      <w:r>
        <w:rPr>
          <w:spacing w:val="-1"/>
        </w:rPr>
        <w:t> </w:t>
      </w:r>
      <w:r>
        <w:rPr/>
        <w:t>in Table</w:t>
      </w:r>
      <w:r>
        <w:rPr>
          <w:spacing w:val="2"/>
        </w:rPr>
        <w:t> </w:t>
      </w:r>
      <w:r>
        <w:rPr/>
        <w:t>3.2.</w:t>
      </w:r>
    </w:p>
    <w:p>
      <w:pPr>
        <w:pStyle w:val="BodyText"/>
        <w:spacing w:before="5"/>
      </w:pPr>
    </w:p>
    <w:p>
      <w:pPr>
        <w:pStyle w:val="Heading3"/>
        <w:spacing w:before="0"/>
        <w:ind w:left="465"/>
      </w:pPr>
      <w:r>
        <w:rPr/>
        <w:t>Table</w:t>
      </w:r>
      <w:r>
        <w:rPr>
          <w:spacing w:val="-2"/>
        </w:rPr>
        <w:t> </w:t>
      </w:r>
      <w:r>
        <w:rPr/>
        <w:t>3.2:</w:t>
      </w:r>
      <w:r>
        <w:rPr>
          <w:spacing w:val="-2"/>
        </w:rPr>
        <w:t> </w:t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Instruments/Equipment</w:t>
      </w:r>
      <w:r>
        <w:rPr>
          <w:spacing w:val="-2"/>
        </w:rPr>
        <w:t> </w:t>
      </w:r>
      <w:r>
        <w:rPr/>
        <w:t>used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8"/>
        <w:gridCol w:w="4840"/>
      </w:tblGrid>
      <w:tr>
        <w:trPr>
          <w:trHeight w:val="394" w:hRule="atLeast"/>
        </w:trPr>
        <w:tc>
          <w:tcPr>
            <w:tcW w:w="388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Instrument/Equipment</w:t>
            </w:r>
          </w:p>
        </w:tc>
        <w:tc>
          <w:tcPr>
            <w:tcW w:w="484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2" w:lineRule="exact"/>
              <w:ind w:left="588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Manufacturer</w:t>
            </w:r>
          </w:p>
        </w:tc>
      </w:tr>
      <w:tr>
        <w:trPr>
          <w:trHeight w:val="412" w:hRule="atLeast"/>
        </w:trPr>
        <w:tc>
          <w:tcPr>
            <w:tcW w:w="388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Electronic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balance</w:t>
            </w:r>
          </w:p>
        </w:tc>
        <w:tc>
          <w:tcPr>
            <w:tcW w:w="484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left="588"/>
              <w:rPr>
                <w:sz w:val="24"/>
              </w:rPr>
            </w:pPr>
            <w:r>
              <w:rPr>
                <w:sz w:val="24"/>
              </w:rPr>
              <w:t>CPA2P,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Sartorius AG, Germany</w:t>
            </w:r>
          </w:p>
        </w:tc>
      </w:tr>
      <w:tr>
        <w:trPr>
          <w:trHeight w:val="551" w:hRule="atLeast"/>
        </w:trPr>
        <w:tc>
          <w:tcPr>
            <w:tcW w:w="388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Analytical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balance</w:t>
            </w:r>
          </w:p>
        </w:tc>
        <w:tc>
          <w:tcPr>
            <w:tcW w:w="4840" w:type="dxa"/>
          </w:tcPr>
          <w:p>
            <w:pPr>
              <w:pStyle w:val="TableParagraph"/>
              <w:spacing w:before="133"/>
              <w:ind w:left="588"/>
              <w:rPr>
                <w:sz w:val="24"/>
              </w:rPr>
            </w:pPr>
            <w:r>
              <w:rPr>
                <w:sz w:val="24"/>
              </w:rPr>
              <w:t>Mettler-Toledo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285, Switzerland</w:t>
            </w:r>
          </w:p>
        </w:tc>
      </w:tr>
      <w:tr>
        <w:trPr>
          <w:trHeight w:val="552" w:hRule="atLeast"/>
        </w:trPr>
        <w:tc>
          <w:tcPr>
            <w:tcW w:w="388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Analytical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balance</w:t>
            </w:r>
          </w:p>
        </w:tc>
        <w:tc>
          <w:tcPr>
            <w:tcW w:w="4840" w:type="dxa"/>
          </w:tcPr>
          <w:p>
            <w:pPr>
              <w:pStyle w:val="TableParagraph"/>
              <w:spacing w:before="133"/>
              <w:ind w:left="588"/>
              <w:rPr>
                <w:sz w:val="24"/>
              </w:rPr>
            </w:pPr>
            <w:r>
              <w:rPr>
                <w:sz w:val="24"/>
              </w:rPr>
              <w:t>Sartorius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GM 1202, Germany</w:t>
            </w:r>
          </w:p>
        </w:tc>
      </w:tr>
      <w:tr>
        <w:trPr>
          <w:trHeight w:val="552" w:hRule="atLeast"/>
        </w:trPr>
        <w:tc>
          <w:tcPr>
            <w:tcW w:w="388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IR-Moisture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balance</w:t>
            </w:r>
          </w:p>
        </w:tc>
        <w:tc>
          <w:tcPr>
            <w:tcW w:w="4840" w:type="dxa"/>
          </w:tcPr>
          <w:p>
            <w:pPr>
              <w:pStyle w:val="TableParagraph"/>
              <w:spacing w:before="133"/>
              <w:ind w:left="588"/>
              <w:rPr>
                <w:sz w:val="24"/>
              </w:rPr>
            </w:pPr>
            <w:r>
              <w:rPr>
                <w:sz w:val="24"/>
              </w:rPr>
              <w:t>Mettler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Toledo LP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16,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Switzerland</w:t>
            </w:r>
          </w:p>
        </w:tc>
      </w:tr>
      <w:tr>
        <w:trPr>
          <w:trHeight w:val="750" w:hRule="atLeast"/>
        </w:trPr>
        <w:tc>
          <w:tcPr>
            <w:tcW w:w="388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meter</w:t>
            </w:r>
          </w:p>
        </w:tc>
        <w:tc>
          <w:tcPr>
            <w:tcW w:w="4840" w:type="dxa"/>
          </w:tcPr>
          <w:p>
            <w:pPr>
              <w:pStyle w:val="TableParagraph"/>
              <w:spacing w:before="133"/>
              <w:ind w:left="588" w:right="384"/>
              <w:rPr>
                <w:sz w:val="24"/>
              </w:rPr>
            </w:pPr>
            <w:r>
              <w:rPr>
                <w:sz w:val="24"/>
              </w:rPr>
              <w:t>Cyberscan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510,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Eutech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Instruments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Ltd,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Switzerland</w:t>
            </w:r>
          </w:p>
        </w:tc>
      </w:tr>
      <w:tr>
        <w:trPr>
          <w:trHeight w:val="474" w:hRule="atLeast"/>
        </w:trPr>
        <w:tc>
          <w:tcPr>
            <w:tcW w:w="3888" w:type="dxa"/>
          </w:tcPr>
          <w:p>
            <w:pPr>
              <w:pStyle w:val="TableParagraph"/>
              <w:spacing w:before="55"/>
              <w:ind w:left="115"/>
              <w:rPr>
                <w:sz w:val="24"/>
              </w:rPr>
            </w:pPr>
            <w:r>
              <w:rPr>
                <w:sz w:val="24"/>
              </w:rPr>
              <w:t>Ultrapure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4840" w:type="dxa"/>
          </w:tcPr>
          <w:p>
            <w:pPr>
              <w:pStyle w:val="TableParagraph"/>
              <w:spacing w:before="55"/>
              <w:ind w:left="588"/>
              <w:rPr>
                <w:sz w:val="24"/>
              </w:rPr>
            </w:pPr>
            <w:r>
              <w:rPr>
                <w:sz w:val="24"/>
              </w:rPr>
              <w:t>Maxima,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ELGA,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England</w:t>
            </w:r>
          </w:p>
        </w:tc>
      </w:tr>
      <w:tr>
        <w:trPr>
          <w:trHeight w:val="552" w:hRule="atLeast"/>
        </w:trPr>
        <w:tc>
          <w:tcPr>
            <w:tcW w:w="388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Shaker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bath</w:t>
            </w:r>
          </w:p>
        </w:tc>
        <w:tc>
          <w:tcPr>
            <w:tcW w:w="4840" w:type="dxa"/>
          </w:tcPr>
          <w:p>
            <w:pPr>
              <w:pStyle w:val="TableParagraph"/>
              <w:spacing w:before="133"/>
              <w:ind w:left="588"/>
              <w:rPr>
                <w:sz w:val="24"/>
              </w:rPr>
            </w:pPr>
            <w:r>
              <w:rPr>
                <w:sz w:val="24"/>
              </w:rPr>
              <w:t>SW 23,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Julabo Labortechnik,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Germany</w:t>
            </w:r>
          </w:p>
        </w:tc>
      </w:tr>
      <w:tr>
        <w:trPr>
          <w:trHeight w:val="552" w:hRule="atLeast"/>
        </w:trPr>
        <w:tc>
          <w:tcPr>
            <w:tcW w:w="388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Fluid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dryer</w:t>
            </w:r>
          </w:p>
        </w:tc>
        <w:tc>
          <w:tcPr>
            <w:tcW w:w="4840" w:type="dxa"/>
          </w:tcPr>
          <w:p>
            <w:pPr>
              <w:pStyle w:val="TableParagraph"/>
              <w:spacing w:before="133"/>
              <w:ind w:left="588"/>
              <w:rPr>
                <w:sz w:val="24"/>
              </w:rPr>
            </w:pPr>
            <w:r>
              <w:rPr>
                <w:sz w:val="24"/>
              </w:rPr>
              <w:t>TG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100, Retsch,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Germany</w:t>
            </w:r>
          </w:p>
        </w:tc>
      </w:tr>
      <w:tr>
        <w:trPr>
          <w:trHeight w:val="750" w:hRule="atLeast"/>
        </w:trPr>
        <w:tc>
          <w:tcPr>
            <w:tcW w:w="388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Rimek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rotary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tablet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</w:t>
            </w:r>
          </w:p>
        </w:tc>
        <w:tc>
          <w:tcPr>
            <w:tcW w:w="4840" w:type="dxa"/>
          </w:tcPr>
          <w:p>
            <w:pPr>
              <w:pStyle w:val="TableParagraph"/>
              <w:spacing w:before="133"/>
              <w:ind w:left="588" w:right="134"/>
              <w:rPr>
                <w:sz w:val="24"/>
              </w:rPr>
            </w:pPr>
            <w:r>
              <w:rPr>
                <w:sz w:val="24"/>
              </w:rPr>
              <w:t>Mini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Karnavati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Engineering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Pvt Ltd.,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India</w:t>
            </w:r>
          </w:p>
        </w:tc>
      </w:tr>
      <w:tr>
        <w:trPr>
          <w:trHeight w:val="672" w:hRule="atLeast"/>
        </w:trPr>
        <w:tc>
          <w:tcPr>
            <w:tcW w:w="3888" w:type="dxa"/>
          </w:tcPr>
          <w:p>
            <w:pPr>
              <w:pStyle w:val="TableParagraph"/>
              <w:spacing w:before="191"/>
              <w:ind w:left="115"/>
              <w:rPr>
                <w:sz w:val="24"/>
              </w:rPr>
            </w:pPr>
            <w:r>
              <w:rPr>
                <w:sz w:val="24"/>
              </w:rPr>
              <w:t>Punches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dies</w:t>
            </w:r>
          </w:p>
        </w:tc>
        <w:tc>
          <w:tcPr>
            <w:tcW w:w="4840" w:type="dxa"/>
          </w:tcPr>
          <w:p>
            <w:pPr>
              <w:pStyle w:val="TableParagraph"/>
              <w:spacing w:before="55"/>
              <w:ind w:left="588" w:right="266"/>
              <w:rPr>
                <w:sz w:val="24"/>
              </w:rPr>
            </w:pPr>
            <w:r>
              <w:rPr>
                <w:sz w:val="24"/>
              </w:rPr>
              <w:t>12 mm D-tooling, Karnavati Engineering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Pvt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Ltd.,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India</w:t>
            </w:r>
          </w:p>
        </w:tc>
      </w:tr>
      <w:tr>
        <w:trPr>
          <w:trHeight w:val="473" w:hRule="atLeast"/>
        </w:trPr>
        <w:tc>
          <w:tcPr>
            <w:tcW w:w="3888" w:type="dxa"/>
          </w:tcPr>
          <w:p>
            <w:pPr>
              <w:pStyle w:val="TableParagraph"/>
              <w:spacing w:before="55"/>
              <w:ind w:left="115"/>
              <w:rPr>
                <w:sz w:val="24"/>
              </w:rPr>
            </w:pPr>
            <w:r>
              <w:rPr>
                <w:sz w:val="24"/>
              </w:rPr>
              <w:t>Hydraulic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press</w:t>
            </w:r>
          </w:p>
        </w:tc>
        <w:tc>
          <w:tcPr>
            <w:tcW w:w="4840" w:type="dxa"/>
          </w:tcPr>
          <w:p>
            <w:pPr>
              <w:pStyle w:val="TableParagraph"/>
              <w:spacing w:before="55"/>
              <w:ind w:left="588"/>
              <w:rPr>
                <w:sz w:val="24"/>
              </w:rPr>
            </w:pPr>
            <w:r>
              <w:rPr>
                <w:sz w:val="24"/>
              </w:rPr>
              <w:t>Model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3912,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Carver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Inc., USA</w:t>
            </w:r>
          </w:p>
        </w:tc>
      </w:tr>
      <w:tr>
        <w:trPr>
          <w:trHeight w:val="552" w:hRule="atLeast"/>
        </w:trPr>
        <w:tc>
          <w:tcPr>
            <w:tcW w:w="388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Ultra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Turrax® Homogeniser</w:t>
            </w:r>
          </w:p>
        </w:tc>
        <w:tc>
          <w:tcPr>
            <w:tcW w:w="4840" w:type="dxa"/>
          </w:tcPr>
          <w:p>
            <w:pPr>
              <w:pStyle w:val="TableParagraph"/>
              <w:spacing w:before="133"/>
              <w:ind w:left="588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basic,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Ika-werke,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India</w:t>
            </w:r>
          </w:p>
        </w:tc>
      </w:tr>
      <w:tr>
        <w:trPr>
          <w:trHeight w:val="552" w:hRule="atLeast"/>
        </w:trPr>
        <w:tc>
          <w:tcPr>
            <w:tcW w:w="388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Optical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microscope</w:t>
            </w:r>
          </w:p>
        </w:tc>
        <w:tc>
          <w:tcPr>
            <w:tcW w:w="4840" w:type="dxa"/>
          </w:tcPr>
          <w:p>
            <w:pPr>
              <w:pStyle w:val="TableParagraph"/>
              <w:spacing w:before="133"/>
              <w:ind w:left="588"/>
              <w:rPr>
                <w:sz w:val="24"/>
              </w:rPr>
            </w:pPr>
            <w:r>
              <w:rPr>
                <w:sz w:val="24"/>
              </w:rPr>
              <w:t>DMLP,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Leica,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Germany</w:t>
            </w:r>
          </w:p>
        </w:tc>
      </w:tr>
      <w:tr>
        <w:trPr>
          <w:trHeight w:val="551" w:hRule="atLeast"/>
        </w:trPr>
        <w:tc>
          <w:tcPr>
            <w:tcW w:w="388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Scanning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electron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microscope</w:t>
            </w:r>
          </w:p>
        </w:tc>
        <w:tc>
          <w:tcPr>
            <w:tcW w:w="4840" w:type="dxa"/>
          </w:tcPr>
          <w:p>
            <w:pPr>
              <w:pStyle w:val="TableParagraph"/>
              <w:spacing w:before="133"/>
              <w:ind w:left="588"/>
              <w:rPr>
                <w:sz w:val="24"/>
              </w:rPr>
            </w:pPr>
            <w:r>
              <w:rPr>
                <w:sz w:val="24"/>
              </w:rPr>
              <w:t>S-3400,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Hitachi Ltd.,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Japan</w:t>
            </w:r>
          </w:p>
        </w:tc>
      </w:tr>
      <w:tr>
        <w:trPr>
          <w:trHeight w:val="551" w:hRule="atLeast"/>
        </w:trPr>
        <w:tc>
          <w:tcPr>
            <w:tcW w:w="3888" w:type="dxa"/>
          </w:tcPr>
          <w:p>
            <w:pPr>
              <w:pStyle w:val="TableParagraph"/>
              <w:spacing w:before="132"/>
              <w:ind w:left="115"/>
              <w:rPr>
                <w:sz w:val="24"/>
              </w:rPr>
            </w:pPr>
            <w:r>
              <w:rPr>
                <w:sz w:val="24"/>
              </w:rPr>
              <w:t>Differential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scanning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calorimeter</w:t>
            </w:r>
          </w:p>
        </w:tc>
        <w:tc>
          <w:tcPr>
            <w:tcW w:w="4840" w:type="dxa"/>
          </w:tcPr>
          <w:p>
            <w:pPr>
              <w:pStyle w:val="TableParagraph"/>
              <w:spacing w:before="132"/>
              <w:ind w:left="588"/>
              <w:rPr>
                <w:sz w:val="24"/>
              </w:rPr>
            </w:pPr>
            <w:r>
              <w:rPr>
                <w:sz w:val="24"/>
              </w:rPr>
              <w:t>DSC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 Instruments,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USA</w:t>
            </w:r>
          </w:p>
        </w:tc>
      </w:tr>
      <w:tr>
        <w:trPr>
          <w:trHeight w:val="552" w:hRule="atLeast"/>
        </w:trPr>
        <w:tc>
          <w:tcPr>
            <w:tcW w:w="388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Dynamic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vapour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sorption</w:t>
            </w:r>
          </w:p>
        </w:tc>
        <w:tc>
          <w:tcPr>
            <w:tcW w:w="4840" w:type="dxa"/>
          </w:tcPr>
          <w:p>
            <w:pPr>
              <w:pStyle w:val="TableParagraph"/>
              <w:spacing w:before="133"/>
              <w:ind w:left="588"/>
              <w:rPr>
                <w:sz w:val="24"/>
              </w:rPr>
            </w:pPr>
            <w:r>
              <w:rPr>
                <w:sz w:val="24"/>
              </w:rPr>
              <w:t>Q5000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Instruments,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USA</w:t>
            </w:r>
          </w:p>
        </w:tc>
      </w:tr>
      <w:tr>
        <w:trPr>
          <w:trHeight w:val="551" w:hRule="atLeast"/>
        </w:trPr>
        <w:tc>
          <w:tcPr>
            <w:tcW w:w="388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Powder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X-ray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diffractometer</w:t>
            </w:r>
          </w:p>
        </w:tc>
        <w:tc>
          <w:tcPr>
            <w:tcW w:w="4840" w:type="dxa"/>
          </w:tcPr>
          <w:p>
            <w:pPr>
              <w:pStyle w:val="TableParagraph"/>
              <w:spacing w:before="133"/>
              <w:ind w:left="588"/>
              <w:rPr>
                <w:sz w:val="24"/>
              </w:rPr>
            </w:pPr>
            <w:r>
              <w:rPr>
                <w:sz w:val="24"/>
              </w:rPr>
              <w:t>D8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Advance,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Bruker, Germany</w:t>
            </w:r>
          </w:p>
        </w:tc>
      </w:tr>
      <w:tr>
        <w:trPr>
          <w:trHeight w:val="750" w:hRule="atLeast"/>
        </w:trPr>
        <w:tc>
          <w:tcPr>
            <w:tcW w:w="3888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FT-IR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spectrometer</w:t>
            </w:r>
          </w:p>
        </w:tc>
        <w:tc>
          <w:tcPr>
            <w:tcW w:w="4840" w:type="dxa"/>
          </w:tcPr>
          <w:p>
            <w:pPr>
              <w:pStyle w:val="TableParagraph"/>
              <w:spacing w:before="133"/>
              <w:ind w:left="588" w:right="264"/>
              <w:rPr>
                <w:sz w:val="24"/>
              </w:rPr>
            </w:pPr>
            <w:r>
              <w:rPr>
                <w:sz w:val="24"/>
              </w:rPr>
              <w:t>Spectrum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400,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Perkin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Elmer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Instruments,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USA</w:t>
            </w:r>
          </w:p>
        </w:tc>
      </w:tr>
      <w:tr>
        <w:trPr>
          <w:trHeight w:val="474" w:hRule="atLeast"/>
        </w:trPr>
        <w:tc>
          <w:tcPr>
            <w:tcW w:w="3888" w:type="dxa"/>
          </w:tcPr>
          <w:p>
            <w:pPr>
              <w:pStyle w:val="TableParagraph"/>
              <w:spacing w:before="55"/>
              <w:ind w:left="115"/>
              <w:rPr>
                <w:sz w:val="24"/>
              </w:rPr>
            </w:pPr>
            <w:r>
              <w:rPr>
                <w:sz w:val="24"/>
              </w:rPr>
              <w:t>CD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spectrometer</w:t>
            </w:r>
          </w:p>
        </w:tc>
        <w:tc>
          <w:tcPr>
            <w:tcW w:w="4840" w:type="dxa"/>
          </w:tcPr>
          <w:p>
            <w:pPr>
              <w:pStyle w:val="TableParagraph"/>
              <w:spacing w:before="55"/>
              <w:ind w:left="588"/>
              <w:rPr>
                <w:sz w:val="24"/>
              </w:rPr>
            </w:pPr>
            <w:r>
              <w:rPr>
                <w:sz w:val="24"/>
              </w:rPr>
              <w:t>J-815,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Jasco, Japan</w:t>
            </w:r>
          </w:p>
        </w:tc>
      </w:tr>
      <w:tr>
        <w:trPr>
          <w:trHeight w:val="815" w:hRule="atLeast"/>
        </w:trPr>
        <w:tc>
          <w:tcPr>
            <w:tcW w:w="388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True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meter</w:t>
            </w:r>
          </w:p>
        </w:tc>
        <w:tc>
          <w:tcPr>
            <w:tcW w:w="48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588" w:right="452"/>
              <w:rPr>
                <w:sz w:val="24"/>
              </w:rPr>
            </w:pPr>
            <w:r>
              <w:rPr>
                <w:sz w:val="24"/>
              </w:rPr>
              <w:t>Pycno 30, Smart Instruments, Mumbai,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India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320" w:bottom="1260" w:left="1520" w:right="160"/>
        </w:sectPr>
      </w:pPr>
    </w:p>
    <w:tbl>
      <w:tblPr>
        <w:tblW w:w="0" w:type="auto"/>
        <w:jc w:val="left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3"/>
        <w:gridCol w:w="5076"/>
      </w:tblGrid>
      <w:tr>
        <w:trPr>
          <w:trHeight w:val="608" w:hRule="atLeast"/>
        </w:trPr>
        <w:tc>
          <w:tcPr>
            <w:tcW w:w="365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31"/>
              <w:ind w:left="115"/>
              <w:rPr>
                <w:sz w:val="24"/>
              </w:rPr>
            </w:pPr>
            <w:r>
              <w:rPr>
                <w:sz w:val="24"/>
              </w:rPr>
              <w:t>Surface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analyser</w:t>
            </w:r>
          </w:p>
        </w:tc>
        <w:tc>
          <w:tcPr>
            <w:tcW w:w="5076" w:type="dxa"/>
            <w:tcBorders>
              <w:top w:val="single" w:sz="12" w:space="0" w:color="000000"/>
            </w:tcBorders>
          </w:tcPr>
          <w:p>
            <w:pPr>
              <w:pStyle w:val="TableParagraph"/>
              <w:ind w:left="823" w:right="633"/>
              <w:rPr>
                <w:sz w:val="24"/>
              </w:rPr>
            </w:pPr>
            <w:r>
              <w:rPr>
                <w:sz w:val="24"/>
              </w:rPr>
              <w:t>Smart sorb 92/93, Smart Instruments,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Mumbai,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India</w:t>
            </w:r>
          </w:p>
        </w:tc>
      </w:tr>
      <w:tr>
        <w:trPr>
          <w:trHeight w:val="474" w:hRule="atLeast"/>
        </w:trPr>
        <w:tc>
          <w:tcPr>
            <w:tcW w:w="3653" w:type="dxa"/>
          </w:tcPr>
          <w:p>
            <w:pPr>
              <w:pStyle w:val="TableParagraph"/>
              <w:spacing w:before="55"/>
              <w:ind w:left="115"/>
              <w:rPr>
                <w:sz w:val="24"/>
              </w:rPr>
            </w:pPr>
            <w:r>
              <w:rPr>
                <w:sz w:val="24"/>
              </w:rPr>
              <w:t>Tapped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tester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(USP)</w:t>
            </w:r>
          </w:p>
        </w:tc>
        <w:tc>
          <w:tcPr>
            <w:tcW w:w="5076" w:type="dxa"/>
          </w:tcPr>
          <w:p>
            <w:pPr>
              <w:pStyle w:val="TableParagraph"/>
              <w:spacing w:before="55"/>
              <w:ind w:left="823"/>
              <w:rPr>
                <w:sz w:val="24"/>
              </w:rPr>
            </w:pPr>
            <w:r>
              <w:rPr>
                <w:sz w:val="24"/>
              </w:rPr>
              <w:t>ETD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1020,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Electrolab,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India</w:t>
            </w:r>
          </w:p>
        </w:tc>
      </w:tr>
      <w:tr>
        <w:trPr>
          <w:trHeight w:val="551" w:hRule="atLeast"/>
        </w:trPr>
        <w:tc>
          <w:tcPr>
            <w:tcW w:w="3653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Tablet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hardness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tester</w:t>
            </w:r>
          </w:p>
        </w:tc>
        <w:tc>
          <w:tcPr>
            <w:tcW w:w="5076" w:type="dxa"/>
          </w:tcPr>
          <w:p>
            <w:pPr>
              <w:pStyle w:val="TableParagraph"/>
              <w:spacing w:before="133"/>
              <w:ind w:left="823"/>
              <w:rPr>
                <w:sz w:val="24"/>
              </w:rPr>
            </w:pPr>
            <w:r>
              <w:rPr>
                <w:sz w:val="24"/>
              </w:rPr>
              <w:t>TBH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Erweka,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Germany</w:t>
            </w:r>
          </w:p>
        </w:tc>
      </w:tr>
      <w:tr>
        <w:trPr>
          <w:trHeight w:val="551" w:hRule="atLeast"/>
        </w:trPr>
        <w:tc>
          <w:tcPr>
            <w:tcW w:w="3653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Granulate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tester</w:t>
            </w:r>
          </w:p>
        </w:tc>
        <w:tc>
          <w:tcPr>
            <w:tcW w:w="5076" w:type="dxa"/>
          </w:tcPr>
          <w:p>
            <w:pPr>
              <w:pStyle w:val="TableParagraph"/>
              <w:spacing w:before="133"/>
              <w:ind w:left="823"/>
              <w:rPr>
                <w:sz w:val="24"/>
              </w:rPr>
            </w:pPr>
            <w:r>
              <w:rPr>
                <w:sz w:val="24"/>
              </w:rPr>
              <w:t>GTB,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Erweka,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Germany</w:t>
            </w:r>
          </w:p>
        </w:tc>
      </w:tr>
      <w:tr>
        <w:trPr>
          <w:trHeight w:val="552" w:hRule="atLeast"/>
        </w:trPr>
        <w:tc>
          <w:tcPr>
            <w:tcW w:w="3653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Friabilator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(USP)</w:t>
            </w:r>
          </w:p>
        </w:tc>
        <w:tc>
          <w:tcPr>
            <w:tcW w:w="5076" w:type="dxa"/>
          </w:tcPr>
          <w:p>
            <w:pPr>
              <w:pStyle w:val="TableParagraph"/>
              <w:spacing w:before="133"/>
              <w:ind w:left="823"/>
              <w:rPr>
                <w:sz w:val="24"/>
              </w:rPr>
            </w:pPr>
            <w:r>
              <w:rPr>
                <w:sz w:val="24"/>
              </w:rPr>
              <w:t>EF-2,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Electrolab,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India</w:t>
            </w:r>
          </w:p>
        </w:tc>
      </w:tr>
      <w:tr>
        <w:trPr>
          <w:trHeight w:val="552" w:hRule="atLeast"/>
        </w:trPr>
        <w:tc>
          <w:tcPr>
            <w:tcW w:w="3653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Disintegration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(USP)</w:t>
            </w:r>
          </w:p>
        </w:tc>
        <w:tc>
          <w:tcPr>
            <w:tcW w:w="5076" w:type="dxa"/>
          </w:tcPr>
          <w:p>
            <w:pPr>
              <w:pStyle w:val="TableParagraph"/>
              <w:spacing w:before="133"/>
              <w:ind w:left="823"/>
              <w:rPr>
                <w:sz w:val="24"/>
              </w:rPr>
            </w:pPr>
            <w:r>
              <w:rPr>
                <w:sz w:val="24"/>
              </w:rPr>
              <w:t>ED-2L,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Electrolab,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India</w:t>
            </w:r>
          </w:p>
        </w:tc>
      </w:tr>
      <w:tr>
        <w:trPr>
          <w:trHeight w:val="552" w:hRule="atLeast"/>
        </w:trPr>
        <w:tc>
          <w:tcPr>
            <w:tcW w:w="3653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Dissolution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(USP)</w:t>
            </w:r>
          </w:p>
        </w:tc>
        <w:tc>
          <w:tcPr>
            <w:tcW w:w="5076" w:type="dxa"/>
          </w:tcPr>
          <w:p>
            <w:pPr>
              <w:pStyle w:val="TableParagraph"/>
              <w:spacing w:before="133"/>
              <w:ind w:left="823"/>
              <w:rPr>
                <w:sz w:val="24"/>
              </w:rPr>
            </w:pPr>
            <w:r>
              <w:rPr>
                <w:sz w:val="24"/>
              </w:rPr>
              <w:t>TDT-08L,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Electrolab, India</w:t>
            </w:r>
          </w:p>
        </w:tc>
      </w:tr>
      <w:tr>
        <w:trPr>
          <w:trHeight w:val="814" w:hRule="atLeast"/>
        </w:trPr>
        <w:tc>
          <w:tcPr>
            <w:tcW w:w="365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UV/VIS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spectrophotometer</w:t>
            </w:r>
          </w:p>
        </w:tc>
        <w:tc>
          <w:tcPr>
            <w:tcW w:w="507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823" w:right="518"/>
              <w:rPr>
                <w:sz w:val="24"/>
              </w:rPr>
            </w:pPr>
            <w:r>
              <w:rPr>
                <w:sz w:val="24"/>
              </w:rPr>
              <w:t>Lambda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35,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Perkin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Elmer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Instruments,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USA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400" w:bottom="1180" w:left="1520" w:right="160"/>
        </w:sectPr>
      </w:pPr>
    </w:p>
    <w:p>
      <w:pPr>
        <w:pStyle w:val="Heading3"/>
        <w:numPr>
          <w:ilvl w:val="1"/>
          <w:numId w:val="18"/>
        </w:numPr>
        <w:tabs>
          <w:tab w:pos="1185" w:val="left" w:leader="none"/>
          <w:tab w:pos="1186" w:val="left" w:leader="none"/>
        </w:tabs>
        <w:spacing w:line="240" w:lineRule="auto" w:before="76" w:after="0"/>
        <w:ind w:left="1185" w:right="0" w:hanging="721"/>
        <w:jc w:val="left"/>
      </w:pPr>
      <w:bookmarkStart w:name="_TOC_250049" w:id="57"/>
      <w:bookmarkEnd w:id="57"/>
      <w:r>
        <w:rPr/>
        <w:t>Methods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2"/>
          <w:numId w:val="18"/>
        </w:numPr>
        <w:tabs>
          <w:tab w:pos="1186" w:val="left" w:leader="none"/>
        </w:tabs>
        <w:spacing w:line="240" w:lineRule="auto" w:before="218" w:after="0"/>
        <w:ind w:left="1185" w:right="1391" w:hanging="720"/>
        <w:jc w:val="both"/>
      </w:pPr>
      <w:bookmarkStart w:name="_TOC_250048" w:id="58"/>
      <w:r>
        <w:rPr/>
        <w:t>Selection and optimization of the composition of the co-processed excipient</w:t>
      </w:r>
      <w:r>
        <w:rPr>
          <w:spacing w:val="-57"/>
        </w:rPr>
        <w:t> </w:t>
      </w:r>
      <w:r>
        <w:rPr/>
        <w:t>using</w:t>
      </w:r>
      <w:r>
        <w:rPr>
          <w:spacing w:val="-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bookmarkEnd w:id="58"/>
      <w:r>
        <w:rPr/>
        <w:t>Experiments (DoE)</w:t>
      </w:r>
    </w:p>
    <w:p>
      <w:pPr>
        <w:pStyle w:val="BodyText"/>
        <w:spacing w:line="480" w:lineRule="auto" w:before="115"/>
        <w:ind w:left="465" w:right="1251"/>
        <w:jc w:val="both"/>
      </w:pPr>
      <w:r>
        <w:rPr/>
        <w:t>A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centroid</w:t>
      </w:r>
      <w:r>
        <w:rPr>
          <w:spacing w:val="1"/>
        </w:rPr>
        <w:t> </w:t>
      </w:r>
      <w:r>
        <w:rPr/>
        <w:t>(mixture)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desirable</w:t>
      </w:r>
      <w:r>
        <w:rPr>
          <w:spacing w:val="1"/>
        </w:rPr>
        <w:t> </w:t>
      </w:r>
      <w:r>
        <w:rPr/>
        <w:t>combination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three</w:t>
      </w:r>
      <w:r>
        <w:rPr>
          <w:spacing w:val="25"/>
        </w:rPr>
        <w:t> </w:t>
      </w:r>
      <w:r>
        <w:rPr/>
        <w:t>excipients</w:t>
      </w:r>
      <w:r>
        <w:rPr>
          <w:spacing w:val="24"/>
        </w:rPr>
        <w:t> </w:t>
      </w:r>
      <w:r>
        <w:rPr/>
        <w:t>comprising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co-processed</w:t>
      </w:r>
      <w:r>
        <w:rPr>
          <w:spacing w:val="24"/>
        </w:rPr>
        <w:t> </w:t>
      </w:r>
      <w:r>
        <w:rPr/>
        <w:t>mixture.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content</w:t>
      </w:r>
      <w:r>
        <w:rPr>
          <w:spacing w:val="-57"/>
        </w:rPr>
        <w:t> </w:t>
      </w:r>
      <w:r>
        <w:rPr/>
        <w:t>of cassava starch (factor A) was varied from 90 – 98 % while the limits for gelatin</w:t>
      </w:r>
      <w:r>
        <w:rPr>
          <w:spacing w:val="1"/>
        </w:rPr>
        <w:t> </w:t>
      </w:r>
      <w:r>
        <w:rPr/>
        <w:t>(factor B) and colloidal silicon dioxide (factor C) were kept at 1 – 9 %. The effect of</w:t>
      </w:r>
      <w:r>
        <w:rPr>
          <w:spacing w:val="1"/>
        </w:rPr>
        <w:t> </w:t>
      </w:r>
      <w:r>
        <w:rPr/>
        <w:t>these independent variables (factors A - C) on dependent variables (Y</w:t>
      </w:r>
      <w:r>
        <w:rPr>
          <w:vertAlign w:val="subscript"/>
        </w:rPr>
        <w:t>1</w:t>
      </w:r>
      <w:r>
        <w:rPr>
          <w:vertAlign w:val="baseline"/>
        </w:rPr>
        <w:t>: tensile strength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vertAlign w:val="subscript"/>
        </w:rPr>
        <w:t>2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disintegration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tablet)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Design</w:t>
      </w:r>
      <w:r>
        <w:rPr>
          <w:spacing w:val="1"/>
          <w:vertAlign w:val="baseline"/>
        </w:rPr>
        <w:t> </w:t>
      </w:r>
      <w:r>
        <w:rPr>
          <w:vertAlign w:val="baseline"/>
        </w:rPr>
        <w:t>Expert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software version 9 (Stat-Ease Inc., USA). A total of 14 experimental formulations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designed by the software with 4 centre points. Experiments were run in random order to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 the predictability of the model. A batch size of 30 g was prepared for each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-1"/>
          <w:vertAlign w:val="baseline"/>
        </w:rPr>
        <w:t> </w:t>
      </w:r>
      <w:r>
        <w:rPr>
          <w:vertAlign w:val="baseline"/>
        </w:rPr>
        <w:t>formulation.</w:t>
      </w:r>
    </w:p>
    <w:p>
      <w:pPr>
        <w:pStyle w:val="BodyText"/>
        <w:spacing w:line="480" w:lineRule="auto" w:before="122"/>
        <w:ind w:left="465" w:right="1255"/>
        <w:jc w:val="both"/>
      </w:pPr>
      <w:r>
        <w:rPr/>
        <w:t>Tablets were prepared using Hydraulic Carver Press by compressing 400 mg powder at</w:t>
      </w:r>
      <w:r>
        <w:rPr>
          <w:spacing w:val="1"/>
        </w:rPr>
        <w:t> </w:t>
      </w:r>
      <w:r>
        <w:rPr/>
        <w:t>2000 PSI (53.28 MN/m</w:t>
      </w:r>
      <w:r>
        <w:rPr>
          <w:vertAlign w:val="superscript"/>
        </w:rPr>
        <w:t>2</w:t>
      </w:r>
      <w:r>
        <w:rPr>
          <w:vertAlign w:val="baseline"/>
        </w:rPr>
        <w:t>) with a dwell time of 30 s using a flat-faced 13 mm punch and</w:t>
      </w:r>
      <w:r>
        <w:rPr>
          <w:spacing w:val="1"/>
          <w:vertAlign w:val="baseline"/>
        </w:rPr>
        <w:t> </w:t>
      </w:r>
      <w:r>
        <w:rPr>
          <w:vertAlign w:val="baseline"/>
        </w:rPr>
        <w:t>die set. The tablets were kept for 24 h to allow for elastic recovery before evaluation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-1"/>
          <w:vertAlign w:val="baseline"/>
        </w:rPr>
        <w:t> </w:t>
      </w:r>
      <w:r>
        <w:rPr>
          <w:vertAlign w:val="baseline"/>
        </w:rPr>
        <w:t>properties.</w:t>
      </w:r>
    </w:p>
    <w:p>
      <w:pPr>
        <w:pStyle w:val="BodyText"/>
        <w:spacing w:line="480" w:lineRule="auto"/>
        <w:ind w:left="465" w:right="1253"/>
        <w:jc w:val="both"/>
      </w:pPr>
      <w:r>
        <w:rPr/>
        <w:t>Table 3.3 shows the concentration range by weight expressed in percentagefor each</w:t>
      </w:r>
      <w:r>
        <w:rPr>
          <w:spacing w:val="1"/>
        </w:rPr>
        <w:t> </w:t>
      </w:r>
      <w:r>
        <w:rPr/>
        <w:t>excipient utilized in the experimental design to optimize the composition of the co-</w:t>
      </w:r>
      <w:r>
        <w:rPr>
          <w:spacing w:val="1"/>
        </w:rPr>
        <w:t> </w:t>
      </w:r>
      <w:r>
        <w:rPr/>
        <w:t>processed excipient.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180" w:left="1520" w:right="160"/>
        </w:sectPr>
      </w:pPr>
    </w:p>
    <w:p>
      <w:pPr>
        <w:pStyle w:val="Heading3"/>
        <w:ind w:left="465" w:right="1958"/>
      </w:pPr>
      <w:r>
        <w:rPr/>
        <w:t>Table 3.3: The constituent excipients and their various concentration ranges</w:t>
      </w:r>
      <w:r>
        <w:rPr>
          <w:spacing w:val="-57"/>
        </w:rPr>
        <w:t> </w:t>
      </w:r>
      <w:r>
        <w:rPr/>
        <w:t>utilized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experimental design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4"/>
        <w:gridCol w:w="2393"/>
        <w:gridCol w:w="2058"/>
        <w:gridCol w:w="2458"/>
      </w:tblGrid>
      <w:tr>
        <w:trPr>
          <w:trHeight w:val="1270" w:hRule="atLeast"/>
        </w:trPr>
        <w:tc>
          <w:tcPr>
            <w:tcW w:w="1804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</w:tc>
        <w:tc>
          <w:tcPr>
            <w:tcW w:w="2393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2058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270" w:right="38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Experimental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design</w:t>
            </w:r>
          </w:p>
        </w:tc>
        <w:tc>
          <w:tcPr>
            <w:tcW w:w="2458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389" w:right="5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Concentration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range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  <w:vertAlign w:val="superscript"/>
              </w:rPr>
              <w:t>w</w:t>
            </w:r>
            <w:r>
              <w:rPr>
                <w:b/>
                <w:sz w:val="24"/>
                <w:vertAlign w:val="baseline"/>
              </w:rPr>
              <w:t>/</w:t>
            </w:r>
            <w:r>
              <w:rPr>
                <w:b/>
                <w:sz w:val="24"/>
                <w:vertAlign w:val="subscript"/>
              </w:rPr>
              <w:t>w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</w:tr>
      <w:tr>
        <w:trPr>
          <w:trHeight w:val="693" w:hRule="atLeast"/>
        </w:trPr>
        <w:tc>
          <w:tcPr>
            <w:tcW w:w="18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76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23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76"/>
              <w:ind w:left="488"/>
              <w:rPr>
                <w:sz w:val="24"/>
              </w:rPr>
            </w:pPr>
            <w:r>
              <w:rPr>
                <w:sz w:val="24"/>
              </w:rPr>
              <w:t>Cassava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  <w:tc>
          <w:tcPr>
            <w:tcW w:w="20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76"/>
              <w:ind w:left="270"/>
              <w:rPr>
                <w:sz w:val="24"/>
              </w:rPr>
            </w:pPr>
            <w:r>
              <w:rPr>
                <w:sz w:val="24"/>
              </w:rPr>
              <w:t>Mixture</w:t>
            </w:r>
          </w:p>
        </w:tc>
        <w:tc>
          <w:tcPr>
            <w:tcW w:w="24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76"/>
              <w:ind w:left="389"/>
              <w:rPr>
                <w:sz w:val="24"/>
              </w:rPr>
            </w:pPr>
            <w:r>
              <w:rPr>
                <w:sz w:val="24"/>
              </w:rPr>
              <w:t>90 – 98</w:t>
            </w:r>
          </w:p>
        </w:tc>
      </w:tr>
      <w:tr>
        <w:trPr>
          <w:trHeight w:val="807" w:hRule="atLeast"/>
        </w:trPr>
        <w:tc>
          <w:tcPr>
            <w:tcW w:w="1804" w:type="dxa"/>
          </w:tcPr>
          <w:p>
            <w:pPr>
              <w:pStyle w:val="TableParagraph"/>
              <w:spacing w:before="231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393" w:type="dxa"/>
          </w:tcPr>
          <w:p>
            <w:pPr>
              <w:pStyle w:val="TableParagraph"/>
              <w:spacing w:before="231"/>
              <w:ind w:left="488"/>
              <w:rPr>
                <w:sz w:val="24"/>
              </w:rPr>
            </w:pPr>
            <w:r>
              <w:rPr>
                <w:sz w:val="24"/>
              </w:rPr>
              <w:t>Gelatin</w:t>
            </w:r>
          </w:p>
        </w:tc>
        <w:tc>
          <w:tcPr>
            <w:tcW w:w="2058" w:type="dxa"/>
          </w:tcPr>
          <w:p>
            <w:pPr>
              <w:pStyle w:val="TableParagraph"/>
              <w:spacing w:before="231"/>
              <w:ind w:left="270"/>
              <w:rPr>
                <w:sz w:val="24"/>
              </w:rPr>
            </w:pPr>
            <w:r>
              <w:rPr>
                <w:sz w:val="24"/>
              </w:rPr>
              <w:t>Mixture</w:t>
            </w:r>
          </w:p>
        </w:tc>
        <w:tc>
          <w:tcPr>
            <w:tcW w:w="2458" w:type="dxa"/>
          </w:tcPr>
          <w:p>
            <w:pPr>
              <w:pStyle w:val="TableParagraph"/>
              <w:spacing w:before="231"/>
              <w:ind w:left="389"/>
              <w:rPr>
                <w:sz w:val="24"/>
              </w:rPr>
            </w:pPr>
            <w:r>
              <w:rPr>
                <w:sz w:val="24"/>
              </w:rPr>
              <w:t>1 – 9</w:t>
            </w:r>
          </w:p>
        </w:tc>
      </w:tr>
      <w:tr>
        <w:trPr>
          <w:trHeight w:val="1269" w:hRule="atLeast"/>
        </w:trPr>
        <w:tc>
          <w:tcPr>
            <w:tcW w:w="180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7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239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488" w:right="251"/>
              <w:rPr>
                <w:sz w:val="24"/>
              </w:rPr>
            </w:pPr>
            <w:r>
              <w:rPr>
                <w:sz w:val="24"/>
              </w:rPr>
              <w:t>Colloidal Silicon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dioxide</w:t>
            </w:r>
          </w:p>
        </w:tc>
        <w:tc>
          <w:tcPr>
            <w:tcW w:w="205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7"/>
              </w:rPr>
            </w:pPr>
          </w:p>
          <w:p>
            <w:pPr>
              <w:pStyle w:val="TableParagraph"/>
              <w:ind w:left="270"/>
              <w:rPr>
                <w:sz w:val="24"/>
              </w:rPr>
            </w:pPr>
            <w:r>
              <w:rPr>
                <w:sz w:val="24"/>
              </w:rPr>
              <w:t>Mixture</w:t>
            </w:r>
          </w:p>
        </w:tc>
        <w:tc>
          <w:tcPr>
            <w:tcW w:w="245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7"/>
              </w:rPr>
            </w:pPr>
          </w:p>
          <w:p>
            <w:pPr>
              <w:pStyle w:val="TableParagraph"/>
              <w:ind w:left="389"/>
              <w:rPr>
                <w:sz w:val="24"/>
              </w:rPr>
            </w:pPr>
            <w:r>
              <w:rPr>
                <w:sz w:val="24"/>
              </w:rPr>
              <w:t>1 – 9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numPr>
          <w:ilvl w:val="2"/>
          <w:numId w:val="18"/>
        </w:numPr>
        <w:tabs>
          <w:tab w:pos="1186" w:val="left" w:leader="none"/>
        </w:tabs>
        <w:spacing w:line="240" w:lineRule="auto" w:before="76" w:after="0"/>
        <w:ind w:left="1185" w:right="0" w:hanging="721"/>
        <w:jc w:val="both"/>
      </w:pPr>
      <w:bookmarkStart w:name="_TOC_250047" w:id="59"/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co-processed</w:t>
      </w:r>
      <w:r>
        <w:rPr>
          <w:spacing w:val="-2"/>
        </w:rPr>
        <w:t> </w:t>
      </w:r>
      <w:r>
        <w:rPr/>
        <w:t>excipient</w:t>
      </w:r>
      <w:r>
        <w:rPr>
          <w:spacing w:val="-2"/>
        </w:rPr>
        <w:t> </w:t>
      </w:r>
      <w:bookmarkEnd w:id="59"/>
      <w:r>
        <w:rPr/>
        <w:t>(CPE)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6"/>
        <w:jc w:val="both"/>
      </w:pPr>
      <w:r>
        <w:rPr/>
        <w:t>Cassava starch dispersion (40 % </w:t>
      </w:r>
      <w:r>
        <w:rPr>
          <w:vertAlign w:val="superscript"/>
        </w:rPr>
        <w:t>w</w:t>
      </w:r>
      <w:r>
        <w:rPr>
          <w:vertAlign w:val="baseline"/>
        </w:rPr>
        <w:t>/</w:t>
      </w:r>
      <w:r>
        <w:rPr>
          <w:vertAlign w:val="subscript"/>
        </w:rPr>
        <w:t>w</w:t>
      </w:r>
      <w:r>
        <w:rPr>
          <w:vertAlign w:val="baseline"/>
        </w:rPr>
        <w:t>) was prepared in distilled water and mixed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corresponding quantities of solubilized gelatin and colloidal silicon dioxide for 5 mins.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subsequently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transferred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shaker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bath</w:t>
      </w:r>
      <w:r>
        <w:rPr>
          <w:spacing w:val="1"/>
          <w:vertAlign w:val="baseline"/>
        </w:rPr>
        <w:t> </w:t>
      </w:r>
      <w:r>
        <w:rPr>
          <w:vertAlign w:val="baseline"/>
        </w:rPr>
        <w:t>(Julabo</w:t>
      </w:r>
      <w:r>
        <w:rPr>
          <w:spacing w:val="1"/>
          <w:vertAlign w:val="baseline"/>
        </w:rPr>
        <w:t> </w:t>
      </w:r>
      <w:r>
        <w:rPr>
          <w:vertAlign w:val="baseline"/>
        </w:rPr>
        <w:t>SW</w:t>
      </w:r>
      <w:r>
        <w:rPr>
          <w:spacing w:val="1"/>
          <w:vertAlign w:val="baseline"/>
        </w:rPr>
        <w:t> </w:t>
      </w:r>
      <w:r>
        <w:rPr>
          <w:vertAlign w:val="baseline"/>
        </w:rPr>
        <w:t>23,</w:t>
      </w:r>
      <w:r>
        <w:rPr>
          <w:spacing w:val="-57"/>
          <w:vertAlign w:val="baseline"/>
        </w:rPr>
        <w:t> </w:t>
      </w:r>
      <w:r>
        <w:rPr>
          <w:vertAlign w:val="baseline"/>
        </w:rPr>
        <w:t>Seelbach, Germany) set at a temperature of 54 ± 2 °C for 15 min (60 rpm). The mixture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8"/>
          <w:vertAlign w:val="baseline"/>
        </w:rPr>
        <w:t> </w:t>
      </w:r>
      <w:r>
        <w:rPr>
          <w:vertAlign w:val="baseline"/>
        </w:rPr>
        <w:t>then</w:t>
      </w:r>
      <w:r>
        <w:rPr>
          <w:spacing w:val="17"/>
          <w:vertAlign w:val="baseline"/>
        </w:rPr>
        <w:t> </w:t>
      </w:r>
      <w:r>
        <w:rPr>
          <w:vertAlign w:val="baseline"/>
        </w:rPr>
        <w:t>homogenized</w:t>
      </w:r>
      <w:r>
        <w:rPr>
          <w:spacing w:val="18"/>
          <w:vertAlign w:val="baseline"/>
        </w:rPr>
        <w:t> </w:t>
      </w:r>
      <w:r>
        <w:rPr>
          <w:vertAlign w:val="baseline"/>
        </w:rPr>
        <w:t>afterwards</w:t>
      </w:r>
      <w:r>
        <w:rPr>
          <w:spacing w:val="17"/>
          <w:vertAlign w:val="baseline"/>
        </w:rPr>
        <w:t> </w:t>
      </w:r>
      <w:r>
        <w:rPr>
          <w:vertAlign w:val="baseline"/>
        </w:rPr>
        <w:t>for</w:t>
      </w:r>
      <w:r>
        <w:rPr>
          <w:spacing w:val="18"/>
          <w:vertAlign w:val="baseline"/>
        </w:rPr>
        <w:t> </w:t>
      </w:r>
      <w:r>
        <w:rPr>
          <w:vertAlign w:val="baseline"/>
        </w:rPr>
        <w:t>5</w:t>
      </w:r>
      <w:r>
        <w:rPr>
          <w:spacing w:val="18"/>
          <w:vertAlign w:val="baseline"/>
        </w:rPr>
        <w:t> </w:t>
      </w:r>
      <w:r>
        <w:rPr>
          <w:vertAlign w:val="baseline"/>
        </w:rPr>
        <w:t>min</w:t>
      </w:r>
      <w:r>
        <w:rPr>
          <w:spacing w:val="17"/>
          <w:vertAlign w:val="baseline"/>
        </w:rPr>
        <w:t> </w:t>
      </w:r>
      <w:r>
        <w:rPr>
          <w:vertAlign w:val="baseline"/>
        </w:rPr>
        <w:t>at</w:t>
      </w:r>
      <w:r>
        <w:rPr>
          <w:spacing w:val="18"/>
          <w:vertAlign w:val="baseline"/>
        </w:rPr>
        <w:t> </w:t>
      </w:r>
      <w:r>
        <w:rPr>
          <w:vertAlign w:val="baseline"/>
        </w:rPr>
        <w:t>a</w:t>
      </w:r>
      <w:r>
        <w:rPr>
          <w:spacing w:val="20"/>
          <w:vertAlign w:val="baseline"/>
        </w:rPr>
        <w:t> </w:t>
      </w:r>
      <w:r>
        <w:rPr>
          <w:vertAlign w:val="baseline"/>
        </w:rPr>
        <w:t>speed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11,000</w:t>
      </w:r>
      <w:r>
        <w:rPr>
          <w:spacing w:val="21"/>
          <w:vertAlign w:val="baseline"/>
        </w:rPr>
        <w:t> </w:t>
      </w:r>
      <w:r>
        <w:rPr>
          <w:vertAlign w:val="baseline"/>
        </w:rPr>
        <w:t>rpm</w:t>
      </w:r>
      <w:r>
        <w:rPr>
          <w:spacing w:val="17"/>
          <w:vertAlign w:val="baseline"/>
        </w:rPr>
        <w:t> </w:t>
      </w:r>
      <w:r>
        <w:rPr>
          <w:vertAlign w:val="baseline"/>
        </w:rPr>
        <w:t>(Ultra</w:t>
      </w:r>
      <w:r>
        <w:rPr>
          <w:spacing w:val="16"/>
          <w:vertAlign w:val="baseline"/>
        </w:rPr>
        <w:t> </w:t>
      </w:r>
      <w:r>
        <w:rPr>
          <w:vertAlign w:val="baseline"/>
        </w:rPr>
        <w:t>Turrax</w:t>
      </w:r>
      <w:r>
        <w:rPr>
          <w:spacing w:val="21"/>
          <w:vertAlign w:val="baseline"/>
        </w:rPr>
        <w:t> </w:t>
      </w:r>
      <w:r>
        <w:rPr>
          <w:vertAlign w:val="baseline"/>
        </w:rPr>
        <w:t>T</w:t>
      </w:r>
      <w:r>
        <w:rPr>
          <w:spacing w:val="-58"/>
          <w:vertAlign w:val="baseline"/>
        </w:rPr>
        <w:t> </w:t>
      </w:r>
      <w:r>
        <w:rPr>
          <w:vertAlign w:val="baseline"/>
        </w:rPr>
        <w:t>25 basic Ika</w:t>
      </w:r>
      <w:r>
        <w:rPr>
          <w:vertAlign w:val="superscript"/>
        </w:rPr>
        <w:t>®</w:t>
      </w:r>
      <w:r>
        <w:rPr>
          <w:vertAlign w:val="baseline"/>
        </w:rPr>
        <w:t> Werke, India), allowed to air dry partly at room temperature (25 ± 2 °C)</w:t>
      </w:r>
      <w:r>
        <w:rPr>
          <w:spacing w:val="1"/>
          <w:vertAlign w:val="baseline"/>
        </w:rPr>
        <w:t> </w:t>
      </w:r>
      <w:r>
        <w:rPr>
          <w:vertAlign w:val="baseline"/>
        </w:rPr>
        <w:t>for 60 min to remove excess moisture and then drying completed in the Fluid bed dryer</w:t>
      </w:r>
      <w:r>
        <w:rPr>
          <w:spacing w:val="1"/>
          <w:vertAlign w:val="baseline"/>
        </w:rPr>
        <w:t> </w:t>
      </w:r>
      <w:r>
        <w:rPr>
          <w:vertAlign w:val="baseline"/>
        </w:rPr>
        <w:t>(Retsch</w:t>
      </w:r>
      <w:r>
        <w:rPr>
          <w:spacing w:val="14"/>
          <w:vertAlign w:val="baseline"/>
        </w:rPr>
        <w:t> </w:t>
      </w:r>
      <w:r>
        <w:rPr>
          <w:vertAlign w:val="baseline"/>
        </w:rPr>
        <w:t>TG</w:t>
      </w:r>
      <w:r>
        <w:rPr>
          <w:spacing w:val="14"/>
          <w:vertAlign w:val="baseline"/>
        </w:rPr>
        <w:t> </w:t>
      </w:r>
      <w:r>
        <w:rPr>
          <w:vertAlign w:val="baseline"/>
        </w:rPr>
        <w:t>100,</w:t>
      </w:r>
      <w:r>
        <w:rPr>
          <w:spacing w:val="15"/>
          <w:vertAlign w:val="baseline"/>
        </w:rPr>
        <w:t> </w:t>
      </w:r>
      <w:r>
        <w:rPr>
          <w:vertAlign w:val="baseline"/>
        </w:rPr>
        <w:t>Germany)</w:t>
      </w:r>
      <w:r>
        <w:rPr>
          <w:spacing w:val="14"/>
          <w:vertAlign w:val="baseline"/>
        </w:rPr>
        <w:t> </w:t>
      </w:r>
      <w:r>
        <w:rPr>
          <w:vertAlign w:val="baseline"/>
        </w:rPr>
        <w:t>at</w:t>
      </w:r>
      <w:r>
        <w:rPr>
          <w:spacing w:val="16"/>
          <w:vertAlign w:val="baseline"/>
        </w:rPr>
        <w:t> </w:t>
      </w:r>
      <w:r>
        <w:rPr>
          <w:vertAlign w:val="baseline"/>
        </w:rPr>
        <w:t>40</w:t>
      </w:r>
      <w:r>
        <w:rPr>
          <w:spacing w:val="15"/>
          <w:vertAlign w:val="baseline"/>
        </w:rPr>
        <w:t> </w:t>
      </w:r>
      <w:r>
        <w:rPr>
          <w:vertAlign w:val="baseline"/>
        </w:rPr>
        <w:t>°C</w:t>
      </w:r>
      <w:r>
        <w:rPr>
          <w:spacing w:val="16"/>
          <w:vertAlign w:val="baseline"/>
        </w:rPr>
        <w:t> </w:t>
      </w:r>
      <w:r>
        <w:rPr>
          <w:vertAlign w:val="baseline"/>
        </w:rPr>
        <w:t>for</w:t>
      </w:r>
      <w:r>
        <w:rPr>
          <w:spacing w:val="13"/>
          <w:vertAlign w:val="baseline"/>
        </w:rPr>
        <w:t> </w:t>
      </w:r>
      <w:r>
        <w:rPr>
          <w:vertAlign w:val="baseline"/>
        </w:rPr>
        <w:t>10</w:t>
      </w:r>
      <w:r>
        <w:rPr>
          <w:spacing w:val="15"/>
          <w:vertAlign w:val="baseline"/>
        </w:rPr>
        <w:t> </w:t>
      </w:r>
      <w:r>
        <w:rPr>
          <w:vertAlign w:val="baseline"/>
        </w:rPr>
        <w:t>min.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product</w:t>
      </w:r>
      <w:r>
        <w:rPr>
          <w:spacing w:val="16"/>
          <w:vertAlign w:val="baseline"/>
        </w:rPr>
        <w:t> </w:t>
      </w:r>
      <w:r>
        <w:rPr>
          <w:vertAlign w:val="baseline"/>
        </w:rPr>
        <w:t>was</w:t>
      </w:r>
      <w:r>
        <w:rPr>
          <w:spacing w:val="15"/>
          <w:vertAlign w:val="baseline"/>
        </w:rPr>
        <w:t> </w:t>
      </w:r>
      <w:r>
        <w:rPr>
          <w:vertAlign w:val="baseline"/>
        </w:rPr>
        <w:t>passed</w:t>
      </w:r>
      <w:r>
        <w:rPr>
          <w:spacing w:val="17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5"/>
          <w:vertAlign w:val="baseline"/>
        </w:rPr>
        <w:t> </w:t>
      </w:r>
      <w:r>
        <w:rPr>
          <w:vertAlign w:val="baseline"/>
        </w:rPr>
        <w:t>BSS</w:t>
      </w:r>
      <w:r>
        <w:rPr>
          <w:spacing w:val="-58"/>
          <w:vertAlign w:val="baseline"/>
        </w:rPr>
        <w:t> </w:t>
      </w:r>
      <w:r>
        <w:rPr>
          <w:vertAlign w:val="baseline"/>
        </w:rPr>
        <w:t>30 (sieve size: 500 µm) and packed into tight sealed containers before storing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desiccator</w:t>
      </w:r>
      <w:r>
        <w:rPr>
          <w:spacing w:val="-1"/>
          <w:vertAlign w:val="baseline"/>
        </w:rPr>
        <w:t> </w:t>
      </w:r>
      <w:r>
        <w:rPr>
          <w:vertAlign w:val="baseline"/>
        </w:rPr>
        <w:t>sequel to further studies.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18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bookmarkStart w:name="_TOC_250046" w:id="60"/>
      <w:r>
        <w:rPr/>
        <w:t>Solid-state</w:t>
      </w:r>
      <w:r>
        <w:rPr>
          <w:spacing w:val="-4"/>
        </w:rPr>
        <w:t> </w:t>
      </w:r>
      <w:bookmarkEnd w:id="60"/>
      <w:r>
        <w:rPr/>
        <w:t>characterization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ListParagraph"/>
        <w:numPr>
          <w:ilvl w:val="3"/>
          <w:numId w:val="18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Optical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polarized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microscopy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465" w:right="1255"/>
        <w:jc w:val="both"/>
      </w:pPr>
      <w:r>
        <w:rPr/>
        <w:t>Microscopical characterization was done to observe the particle shape and birefringence</w:t>
      </w:r>
      <w:r>
        <w:rPr>
          <w:spacing w:val="-57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optical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polarized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mode.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distribution of the powder samples was determined by measuring diameter along the</w:t>
      </w:r>
      <w:r>
        <w:rPr>
          <w:spacing w:val="1"/>
        </w:rPr>
        <w:t> </w:t>
      </w:r>
      <w:r>
        <w:rPr/>
        <w:t>longest axis of at least 500 particles. This study was carried out with the aid of Leica</w:t>
      </w:r>
      <w:r>
        <w:rPr>
          <w:spacing w:val="1"/>
        </w:rPr>
        <w:t> </w:t>
      </w:r>
      <w:r>
        <w:rPr/>
        <w:t>DMLP polarized microscope (Leica Microsystems Wetzlar GmbH, Germany). Images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captured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JVS</w:t>
      </w:r>
      <w:r>
        <w:rPr>
          <w:spacing w:val="1"/>
        </w:rPr>
        <w:t> </w:t>
      </w:r>
      <w:r>
        <w:rPr/>
        <w:t>colour</w:t>
      </w:r>
      <w:r>
        <w:rPr>
          <w:spacing w:val="-2"/>
        </w:rPr>
        <w:t> </w:t>
      </w:r>
      <w:r>
        <w:rPr/>
        <w:t>video</w:t>
      </w:r>
      <w:r>
        <w:rPr>
          <w:spacing w:val="-1"/>
        </w:rPr>
        <w:t> </w:t>
      </w:r>
      <w:r>
        <w:rPr/>
        <w:t>camera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analysed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Linksys</w:t>
      </w:r>
      <w:r>
        <w:rPr>
          <w:spacing w:val="-1"/>
        </w:rPr>
        <w:t> </w:t>
      </w:r>
      <w:r>
        <w:rPr/>
        <w:t>32</w:t>
      </w:r>
      <w:r>
        <w:rPr>
          <w:spacing w:val="-1"/>
        </w:rPr>
        <w:t> </w:t>
      </w:r>
      <w:r>
        <w:rPr/>
        <w:t>software.</w:t>
      </w:r>
    </w:p>
    <w:p>
      <w:pPr>
        <w:pStyle w:val="ListParagraph"/>
        <w:numPr>
          <w:ilvl w:val="3"/>
          <w:numId w:val="18"/>
        </w:numPr>
        <w:tabs>
          <w:tab w:pos="1186" w:val="left" w:leader="none"/>
        </w:tabs>
        <w:spacing w:line="240" w:lineRule="auto" w:before="119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Hot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microscopy (HSM)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465" w:right="1255"/>
        <w:jc w:val="both"/>
      </w:pPr>
      <w:r>
        <w:rPr/>
        <w:t>HSM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Leica</w:t>
      </w:r>
      <w:r>
        <w:rPr>
          <w:spacing w:val="1"/>
        </w:rPr>
        <w:t> </w:t>
      </w:r>
      <w:r>
        <w:rPr/>
        <w:t>DMLP</w:t>
      </w:r>
      <w:r>
        <w:rPr>
          <w:spacing w:val="1"/>
        </w:rPr>
        <w:t> </w:t>
      </w:r>
      <w:r>
        <w:rPr/>
        <w:t>polarized</w:t>
      </w:r>
      <w:r>
        <w:rPr>
          <w:spacing w:val="1"/>
        </w:rPr>
        <w:t> </w:t>
      </w:r>
      <w:r>
        <w:rPr/>
        <w:t>microscope (Leica Microsystems, Ernst-Leitz-Strasse, Germany) equipped with Linkam</w:t>
      </w:r>
      <w:r>
        <w:rPr>
          <w:spacing w:val="-57"/>
        </w:rPr>
        <w:t> </w:t>
      </w:r>
      <w:r>
        <w:rPr/>
        <w:t>LTS 350 hot stage (Leica Microsystems, Ernst-Leitz-Strasse, Germany). Samples were</w:t>
      </w:r>
      <w:r>
        <w:rPr>
          <w:spacing w:val="1"/>
        </w:rPr>
        <w:t> </w:t>
      </w:r>
      <w:r>
        <w:rPr/>
        <w:t>mounted</w:t>
      </w:r>
      <w:r>
        <w:rPr>
          <w:spacing w:val="25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slide</w:t>
      </w:r>
      <w:r>
        <w:rPr>
          <w:spacing w:val="24"/>
        </w:rPr>
        <w:t> </w:t>
      </w:r>
      <w:r>
        <w:rPr/>
        <w:t>and</w:t>
      </w:r>
      <w:r>
        <w:rPr>
          <w:spacing w:val="26"/>
        </w:rPr>
        <w:t> </w:t>
      </w:r>
      <w:r>
        <w:rPr/>
        <w:t>heated</w:t>
      </w:r>
      <w:r>
        <w:rPr>
          <w:spacing w:val="24"/>
        </w:rPr>
        <w:t> </w:t>
      </w:r>
      <w:r>
        <w:rPr/>
        <w:t>from</w:t>
      </w:r>
      <w:r>
        <w:rPr>
          <w:spacing w:val="26"/>
        </w:rPr>
        <w:t> </w:t>
      </w:r>
      <w:r>
        <w:rPr/>
        <w:t>25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300</w:t>
      </w:r>
      <w:r>
        <w:rPr>
          <w:spacing w:val="27"/>
        </w:rPr>
        <w:t> </w:t>
      </w:r>
      <w:r>
        <w:rPr/>
        <w:t>°C</w:t>
      </w:r>
      <w:r>
        <w:rPr>
          <w:spacing w:val="26"/>
        </w:rPr>
        <w:t> </w:t>
      </w:r>
      <w:r>
        <w:rPr/>
        <w:t>at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heating</w:t>
      </w:r>
      <w:r>
        <w:rPr>
          <w:spacing w:val="25"/>
        </w:rPr>
        <w:t> </w:t>
      </w:r>
      <w:r>
        <w:rPr/>
        <w:t>rate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20</w:t>
      </w:r>
      <w:r>
        <w:rPr>
          <w:spacing w:val="26"/>
        </w:rPr>
        <w:t> </w:t>
      </w:r>
      <w:r>
        <w:rPr/>
        <w:t>°C/min.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5"/>
        <w:jc w:val="both"/>
      </w:pPr>
      <w:r>
        <w:rPr/>
        <w:t>Images were captured using JVS colour video camera and analysed using Linksys32</w:t>
      </w:r>
      <w:r>
        <w:rPr>
          <w:spacing w:val="1"/>
        </w:rPr>
        <w:t> </w:t>
      </w:r>
      <w:r>
        <w:rPr/>
        <w:t>software.</w:t>
      </w:r>
    </w:p>
    <w:p>
      <w:pPr>
        <w:pStyle w:val="ListParagraph"/>
        <w:numPr>
          <w:ilvl w:val="3"/>
          <w:numId w:val="18"/>
        </w:numPr>
        <w:tabs>
          <w:tab w:pos="1186" w:val="left" w:leader="none"/>
        </w:tabs>
        <w:spacing w:line="240" w:lineRule="auto" w:before="120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Scanning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electron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microscopy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(SEM)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465" w:right="1255"/>
        <w:jc w:val="both"/>
      </w:pPr>
      <w:r>
        <w:rPr/>
        <w:t>SEM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performed using a</w:t>
      </w:r>
      <w:r>
        <w:rPr>
          <w:spacing w:val="1"/>
        </w:rPr>
        <w:t> </w:t>
      </w:r>
      <w:r>
        <w:rPr/>
        <w:t>scanning electron</w:t>
      </w:r>
      <w:r>
        <w:rPr>
          <w:spacing w:val="1"/>
        </w:rPr>
        <w:t> </w:t>
      </w:r>
      <w:r>
        <w:rPr/>
        <w:t>microscope (S-3400,</w:t>
      </w:r>
      <w:r>
        <w:rPr>
          <w:spacing w:val="1"/>
        </w:rPr>
        <w:t> </w:t>
      </w:r>
      <w:r>
        <w:rPr/>
        <w:t>Hitachi</w:t>
      </w:r>
      <w:r>
        <w:rPr>
          <w:spacing w:val="60"/>
        </w:rPr>
        <w:t> </w:t>
      </w:r>
      <w:r>
        <w:rPr/>
        <w:t>Ltd.,</w:t>
      </w:r>
      <w:r>
        <w:rPr>
          <w:spacing w:val="1"/>
        </w:rPr>
        <w:t> </w:t>
      </w:r>
      <w:r>
        <w:rPr/>
        <w:t>Tokyo, Japan) operated at an excitation voltage of 10 kV at different magnifications.</w:t>
      </w:r>
      <w:r>
        <w:rPr>
          <w:spacing w:val="1"/>
        </w:rPr>
        <w:t> </w:t>
      </w:r>
      <w:r>
        <w:rPr/>
        <w:t>Powders were mounted onto steel stage using double sided adhesive tape and coated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gold using</w:t>
      </w:r>
      <w:r>
        <w:rPr>
          <w:spacing w:val="-2"/>
        </w:rPr>
        <w:t> </w:t>
      </w:r>
      <w:r>
        <w:rPr/>
        <w:t>ion sputter (E-1010,</w:t>
      </w:r>
      <w:r>
        <w:rPr>
          <w:spacing w:val="2"/>
        </w:rPr>
        <w:t> </w:t>
      </w:r>
      <w:r>
        <w:rPr/>
        <w:t>Hitachi</w:t>
      </w:r>
      <w:r>
        <w:rPr>
          <w:spacing w:val="1"/>
        </w:rPr>
        <w:t> </w:t>
      </w:r>
      <w:r>
        <w:rPr/>
        <w:t>Ltd.,</w:t>
      </w:r>
      <w:r>
        <w:rPr>
          <w:spacing w:val="2"/>
        </w:rPr>
        <w:t> </w:t>
      </w:r>
      <w:r>
        <w:rPr/>
        <w:t>Japan).</w:t>
      </w:r>
    </w:p>
    <w:p>
      <w:pPr>
        <w:pStyle w:val="ListParagraph"/>
        <w:numPr>
          <w:ilvl w:val="3"/>
          <w:numId w:val="18"/>
        </w:numPr>
        <w:tabs>
          <w:tab w:pos="1186" w:val="left" w:leader="none"/>
        </w:tabs>
        <w:spacing w:line="240" w:lineRule="auto" w:before="121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Dynamic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vapour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sorption (DVS)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465" w:right="1261"/>
        <w:jc w:val="both"/>
      </w:pPr>
      <w:r>
        <w:rPr/>
        <w:t>The moisture sorption behaviour of the powder samples were analysed using DVS (Q</w:t>
      </w:r>
      <w:r>
        <w:rPr>
          <w:spacing w:val="1"/>
        </w:rPr>
        <w:t> </w:t>
      </w:r>
      <w:r>
        <w:rPr/>
        <w:t>5000</w:t>
      </w:r>
      <w:r>
        <w:rPr>
          <w:spacing w:val="10"/>
        </w:rPr>
        <w:t> </w:t>
      </w:r>
      <w:r>
        <w:rPr/>
        <w:t>SA,</w:t>
      </w:r>
      <w:r>
        <w:rPr>
          <w:spacing w:val="11"/>
        </w:rPr>
        <w:t> </w:t>
      </w:r>
      <w:r>
        <w:rPr/>
        <w:t>TA</w:t>
      </w:r>
      <w:r>
        <w:rPr>
          <w:spacing w:val="13"/>
        </w:rPr>
        <w:t> </w:t>
      </w:r>
      <w:r>
        <w:rPr/>
        <w:t>Instruments,</w:t>
      </w:r>
      <w:r>
        <w:rPr>
          <w:spacing w:val="12"/>
        </w:rPr>
        <w:t> </w:t>
      </w:r>
      <w:r>
        <w:rPr/>
        <w:t>USA)</w:t>
      </w:r>
      <w:r>
        <w:rPr>
          <w:spacing w:val="11"/>
        </w:rPr>
        <w:t> </w:t>
      </w:r>
      <w:r>
        <w:rPr/>
        <w:t>at</w:t>
      </w:r>
      <w:r>
        <w:rPr>
          <w:spacing w:val="11"/>
        </w:rPr>
        <w:t> </w:t>
      </w:r>
      <w:r>
        <w:rPr/>
        <w:t>25</w:t>
      </w:r>
      <w:r>
        <w:rPr>
          <w:spacing w:val="11"/>
        </w:rPr>
        <w:t> </w:t>
      </w:r>
      <w:r>
        <w:rPr/>
        <w:t>°C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measure</w:t>
      </w:r>
      <w:r>
        <w:rPr>
          <w:spacing w:val="10"/>
        </w:rPr>
        <w:t> </w:t>
      </w:r>
      <w:r>
        <w:rPr/>
        <w:t>hygroscopicity.</w:t>
      </w:r>
      <w:r>
        <w:rPr>
          <w:spacing w:val="13"/>
        </w:rPr>
        <w:t> </w:t>
      </w:r>
      <w:r>
        <w:rPr/>
        <w:t>Approximately</w:t>
      </w:r>
      <w:r>
        <w:rPr>
          <w:spacing w:val="4"/>
        </w:rPr>
        <w:t> </w:t>
      </w:r>
      <w:r>
        <w:rPr/>
        <w:t>5</w:t>
      </w:r>
    </w:p>
    <w:p>
      <w:pPr>
        <w:pStyle w:val="BodyText"/>
        <w:spacing w:line="480" w:lineRule="auto"/>
        <w:ind w:left="465" w:right="1257"/>
        <w:jc w:val="both"/>
      </w:pPr>
      <w:r>
        <w:rPr/>
        <w:t>– 15 mg of sample was placed in the sample holder and exposed to increasing humidity</w:t>
      </w:r>
      <w:r>
        <w:rPr>
          <w:spacing w:val="1"/>
        </w:rPr>
        <w:t> </w:t>
      </w:r>
      <w:r>
        <w:rPr/>
        <w:t>from 0 – 90 % at a step rate of 10 % for every 30 min. The sample weight was recorded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RH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Analysis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software</w:t>
      </w:r>
      <w:r>
        <w:rPr>
          <w:spacing w:val="-2"/>
          <w:vertAlign w:val="baseline"/>
        </w:rPr>
        <w:t> </w:t>
      </w:r>
      <w:r>
        <w:rPr>
          <w:vertAlign w:val="baseline"/>
        </w:rPr>
        <w:t>(version 4.5A).</w:t>
      </w:r>
    </w:p>
    <w:p>
      <w:pPr>
        <w:pStyle w:val="ListParagraph"/>
        <w:numPr>
          <w:ilvl w:val="3"/>
          <w:numId w:val="18"/>
        </w:numPr>
        <w:tabs>
          <w:tab w:pos="1186" w:val="left" w:leader="none"/>
        </w:tabs>
        <w:spacing w:line="240" w:lineRule="auto" w:before="121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Confocal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laser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scanning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microscopy (CLSM)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465" w:right="1250"/>
        <w:jc w:val="both"/>
      </w:pPr>
      <w:r>
        <w:rPr/>
        <w:t>CLSM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visualize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FITC-labeled</w:t>
      </w:r>
      <w:r>
        <w:rPr>
          <w:spacing w:val="1"/>
        </w:rPr>
        <w:t> </w:t>
      </w:r>
      <w:r>
        <w:rPr/>
        <w:t>gelatin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co-</w:t>
      </w:r>
      <w:r>
        <w:rPr>
          <w:spacing w:val="1"/>
        </w:rPr>
        <w:t> </w:t>
      </w:r>
      <w:r>
        <w:rPr/>
        <w:t>processed excipient and the pictures evaluated using an image analysis system. A 488-</w:t>
      </w:r>
      <w:r>
        <w:rPr>
          <w:spacing w:val="1"/>
        </w:rPr>
        <w:t> </w:t>
      </w:r>
      <w:r>
        <w:rPr/>
        <w:t>nm</w:t>
      </w:r>
      <w:r>
        <w:rPr>
          <w:spacing w:val="-1"/>
        </w:rPr>
        <w:t> </w:t>
      </w:r>
      <w:r>
        <w:rPr/>
        <w:t>line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Krypton-Argon</w:t>
      </w:r>
      <w:r>
        <w:rPr>
          <w:spacing w:val="-1"/>
        </w:rPr>
        <w:t> </w:t>
      </w:r>
      <w:r>
        <w:rPr/>
        <w:t>laser and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laser</w:t>
      </w:r>
      <w:r>
        <w:rPr>
          <w:spacing w:val="-1"/>
        </w:rPr>
        <w:t> </w:t>
      </w:r>
      <w:r>
        <w:rPr/>
        <w:t>power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0.15 mW were</w:t>
      </w:r>
      <w:r>
        <w:rPr>
          <w:spacing w:val="-2"/>
        </w:rPr>
        <w:t> </w:t>
      </w:r>
      <w:r>
        <w:rPr/>
        <w:t>employed.</w:t>
      </w:r>
    </w:p>
    <w:p>
      <w:pPr>
        <w:pStyle w:val="ListParagraph"/>
        <w:numPr>
          <w:ilvl w:val="3"/>
          <w:numId w:val="18"/>
        </w:numPr>
        <w:tabs>
          <w:tab w:pos="1186" w:val="left" w:leader="none"/>
        </w:tabs>
        <w:spacing w:line="240" w:lineRule="auto" w:before="118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Differential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scanning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calorimetry (DSC)</w:t>
      </w:r>
    </w:p>
    <w:p>
      <w:pPr>
        <w:pStyle w:val="BodyText"/>
        <w:spacing w:before="8"/>
        <w:rPr>
          <w:i/>
          <w:sz w:val="33"/>
        </w:rPr>
      </w:pPr>
    </w:p>
    <w:p>
      <w:pPr>
        <w:pStyle w:val="BodyText"/>
        <w:spacing w:line="480" w:lineRule="auto" w:before="1"/>
        <w:ind w:left="465" w:right="1249"/>
        <w:jc w:val="both"/>
      </w:pPr>
      <w:r>
        <w:rPr/>
        <w:t>DSC study of the samples was conducted using DSC, Model Q2000 (TA Instruments,</w:t>
      </w:r>
      <w:r>
        <w:rPr>
          <w:spacing w:val="1"/>
        </w:rPr>
        <w:t> </w:t>
      </w:r>
      <w:r>
        <w:rPr/>
        <w:t>New Castle, USA). DSC cell was purged with 50 mL/min dry nitrogen. Accurately</w:t>
      </w:r>
      <w:r>
        <w:rPr>
          <w:spacing w:val="1"/>
        </w:rPr>
        <w:t> </w:t>
      </w:r>
      <w:r>
        <w:rPr/>
        <w:t>weighed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(2-4</w:t>
      </w:r>
      <w:r>
        <w:rPr>
          <w:spacing w:val="1"/>
        </w:rPr>
        <w:t> </w:t>
      </w:r>
      <w:r>
        <w:rPr/>
        <w:t>mg)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heated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Tzero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pans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temperature range of 25 to 250 °C at a heating rate of 20 °C/min. Data analysis was</w:t>
      </w:r>
      <w:r>
        <w:rPr>
          <w:spacing w:val="1"/>
        </w:rPr>
        <w:t> </w:t>
      </w:r>
      <w:r>
        <w:rPr/>
        <w:t>performed</w:t>
      </w:r>
      <w:r>
        <w:rPr>
          <w:spacing w:val="27"/>
        </w:rPr>
        <w:t> </w:t>
      </w:r>
      <w:r>
        <w:rPr/>
        <w:t>using</w:t>
      </w:r>
      <w:r>
        <w:rPr>
          <w:spacing w:val="25"/>
        </w:rPr>
        <w:t> </w:t>
      </w:r>
      <w:r>
        <w:rPr/>
        <w:t>Universal</w:t>
      </w:r>
      <w:r>
        <w:rPr>
          <w:vertAlign w:val="superscript"/>
        </w:rPr>
        <w:t>®</w:t>
      </w:r>
      <w:r>
        <w:rPr>
          <w:spacing w:val="25"/>
          <w:vertAlign w:val="baseline"/>
        </w:rPr>
        <w:t> </w:t>
      </w:r>
      <w:r>
        <w:rPr>
          <w:vertAlign w:val="baseline"/>
        </w:rPr>
        <w:t>Analysis</w:t>
      </w:r>
      <w:r>
        <w:rPr>
          <w:spacing w:val="28"/>
          <w:vertAlign w:val="baseline"/>
        </w:rPr>
        <w:t> </w:t>
      </w:r>
      <w:r>
        <w:rPr>
          <w:vertAlign w:val="baseline"/>
        </w:rPr>
        <w:t>2000</w:t>
      </w:r>
      <w:r>
        <w:rPr>
          <w:spacing w:val="27"/>
          <w:vertAlign w:val="baseline"/>
        </w:rPr>
        <w:t> </w:t>
      </w:r>
      <w:r>
        <w:rPr>
          <w:vertAlign w:val="baseline"/>
        </w:rPr>
        <w:t>(version</w:t>
      </w:r>
      <w:r>
        <w:rPr>
          <w:spacing w:val="28"/>
          <w:vertAlign w:val="baseline"/>
        </w:rPr>
        <w:t> </w:t>
      </w:r>
      <w:r>
        <w:rPr>
          <w:vertAlign w:val="baseline"/>
        </w:rPr>
        <w:t>4.5A)</w:t>
      </w:r>
      <w:r>
        <w:rPr>
          <w:spacing w:val="26"/>
          <w:vertAlign w:val="baseline"/>
        </w:rPr>
        <w:t> </w:t>
      </w:r>
      <w:r>
        <w:rPr>
          <w:vertAlign w:val="baseline"/>
        </w:rPr>
        <w:t>software.</w:t>
      </w:r>
      <w:r>
        <w:rPr>
          <w:spacing w:val="27"/>
          <w:vertAlign w:val="baseline"/>
        </w:rPr>
        <w:t> </w:t>
      </w:r>
      <w:r>
        <w:rPr>
          <w:vertAlign w:val="baseline"/>
        </w:rPr>
        <w:t>Prior</w:t>
      </w:r>
      <w:r>
        <w:rPr>
          <w:spacing w:val="27"/>
          <w:vertAlign w:val="baseline"/>
        </w:rPr>
        <w:t> </w:t>
      </w:r>
      <w:r>
        <w:rPr>
          <w:vertAlign w:val="baseline"/>
        </w:rPr>
        <w:t>to</w:t>
      </w:r>
      <w:r>
        <w:rPr>
          <w:spacing w:val="28"/>
          <w:vertAlign w:val="baseline"/>
        </w:rPr>
        <w:t> </w:t>
      </w:r>
      <w:r>
        <w:rPr>
          <w:vertAlign w:val="baseline"/>
        </w:rPr>
        <w:t>analysis,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61"/>
        <w:jc w:val="both"/>
      </w:pPr>
      <w:r>
        <w:rPr/>
        <w:t>calibration of the instrument was performed using zinc (Zn) and indium (In). Modulated</w:t>
      </w:r>
      <w:r>
        <w:rPr>
          <w:spacing w:val="-57"/>
        </w:rPr>
        <w:t> </w:t>
      </w:r>
      <w:r>
        <w:rPr/>
        <w:t>differential</w:t>
      </w:r>
      <w:r>
        <w:rPr>
          <w:spacing w:val="18"/>
        </w:rPr>
        <w:t> </w:t>
      </w:r>
      <w:r>
        <w:rPr/>
        <w:t>scanning</w:t>
      </w:r>
      <w:r>
        <w:rPr>
          <w:spacing w:val="15"/>
        </w:rPr>
        <w:t> </w:t>
      </w:r>
      <w:r>
        <w:rPr/>
        <w:t>Calorimetry</w:t>
      </w:r>
      <w:r>
        <w:rPr>
          <w:spacing w:val="13"/>
        </w:rPr>
        <w:t> </w:t>
      </w:r>
      <w:r>
        <w:rPr/>
        <w:t>(mDSC)</w:t>
      </w:r>
      <w:r>
        <w:rPr>
          <w:spacing w:val="17"/>
        </w:rPr>
        <w:t> </w:t>
      </w:r>
      <w:r>
        <w:rPr/>
        <w:t>was</w:t>
      </w:r>
      <w:r>
        <w:rPr>
          <w:spacing w:val="18"/>
        </w:rPr>
        <w:t> </w:t>
      </w:r>
      <w:r>
        <w:rPr/>
        <w:t>carried</w:t>
      </w:r>
      <w:r>
        <w:rPr>
          <w:spacing w:val="17"/>
        </w:rPr>
        <w:t> </w:t>
      </w:r>
      <w:r>
        <w:rPr/>
        <w:t>out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obtain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better</w:t>
      </w:r>
      <w:r>
        <w:rPr>
          <w:spacing w:val="17"/>
        </w:rPr>
        <w:t> </w:t>
      </w:r>
      <w:r>
        <w:rPr/>
        <w:t>resolution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the glass transition event occurring</w:t>
      </w:r>
      <w:r>
        <w:rPr>
          <w:spacing w:val="-3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starch-based</w:t>
      </w:r>
      <w:r>
        <w:rPr>
          <w:spacing w:val="-1"/>
        </w:rPr>
        <w:t> </w:t>
      </w:r>
      <w:r>
        <w:rPr/>
        <w:t>materials.</w:t>
      </w:r>
    </w:p>
    <w:p>
      <w:pPr>
        <w:pStyle w:val="ListParagraph"/>
        <w:numPr>
          <w:ilvl w:val="3"/>
          <w:numId w:val="18"/>
        </w:numPr>
        <w:tabs>
          <w:tab w:pos="1186" w:val="left" w:leader="none"/>
        </w:tabs>
        <w:spacing w:line="240" w:lineRule="auto" w:before="120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Powder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X-ray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diffractometry (PXRD)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465" w:right="1256"/>
        <w:jc w:val="both"/>
      </w:pPr>
      <w:r>
        <w:rPr/>
        <w:t>PXRD patterns of samples were recorded at room temperature on Bruker‟s D8 advance</w:t>
      </w:r>
      <w:r>
        <w:rPr>
          <w:spacing w:val="1"/>
        </w:rPr>
        <w:t> </w:t>
      </w:r>
      <w:r>
        <w:rPr/>
        <w:t>diffractometer (Bruker, Germany) with Cu Kα radiation (1.54 Å ), at 40 kV, 40 mA</w:t>
      </w:r>
      <w:r>
        <w:rPr>
          <w:spacing w:val="1"/>
        </w:rPr>
        <w:t> </w:t>
      </w:r>
      <w:r>
        <w:rPr/>
        <w:t>passing through nickel filter. Analysis was performed in a continuous mode with a step</w:t>
      </w:r>
      <w:r>
        <w:rPr>
          <w:spacing w:val="1"/>
        </w:rPr>
        <w:t> </w:t>
      </w:r>
      <w:r>
        <w:rPr/>
        <w:t>size of 0.01 ° and step time of 1 sec over an angular range of 2 – 40 ° 2</w:t>
      </w:r>
      <w:r>
        <w:rPr>
          <w:i/>
        </w:rPr>
        <w:t>θ</w:t>
      </w:r>
      <w:r>
        <w:rPr/>
        <w:t>, using zero</w:t>
      </w:r>
      <w:r>
        <w:rPr>
          <w:spacing w:val="1"/>
        </w:rPr>
        <w:t> </w:t>
      </w:r>
      <w:r>
        <w:rPr/>
        <w:t>background holder. The obtained diffractograms were analysed with DIFFRAC plus</w:t>
      </w:r>
      <w:r>
        <w:rPr>
          <w:spacing w:val="1"/>
        </w:rPr>
        <w:t> </w:t>
      </w:r>
      <w:r>
        <w:rPr/>
        <w:t>EVA</w:t>
      </w:r>
      <w:r>
        <w:rPr>
          <w:spacing w:val="-3"/>
        </w:rPr>
        <w:t> </w:t>
      </w:r>
      <w:r>
        <w:rPr/>
        <w:t>(ver.9.0)</w:t>
      </w:r>
      <w:r>
        <w:rPr>
          <w:spacing w:val="-2"/>
        </w:rPr>
        <w:t> </w:t>
      </w:r>
      <w:r>
        <w:rPr/>
        <w:t>diffraction</w:t>
      </w:r>
      <w:r>
        <w:rPr>
          <w:spacing w:val="2"/>
        </w:rPr>
        <w:t> </w:t>
      </w:r>
      <w:r>
        <w:rPr/>
        <w:t>software.</w:t>
      </w:r>
    </w:p>
    <w:p>
      <w:pPr>
        <w:pStyle w:val="ListParagraph"/>
        <w:numPr>
          <w:ilvl w:val="3"/>
          <w:numId w:val="18"/>
        </w:numPr>
        <w:tabs>
          <w:tab w:pos="1186" w:val="left" w:leader="none"/>
        </w:tabs>
        <w:spacing w:line="240" w:lineRule="auto" w:before="121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Fourier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transform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infra-red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(FT-IR)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spectroscopy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465" w:right="1251"/>
        <w:jc w:val="both"/>
      </w:pPr>
      <w:r>
        <w:rPr/>
        <w:t>The FT-IR spectra of all powder samples were recorded from 4000 to 650 cm</w:t>
      </w:r>
      <w:r>
        <w:rPr>
          <w:vertAlign w:val="superscript"/>
        </w:rPr>
        <w:t>–1</w:t>
      </w:r>
      <w:r>
        <w:rPr>
          <w:vertAlign w:val="baseline"/>
        </w:rPr>
        <w:t> on</w:t>
      </w:r>
      <w:r>
        <w:rPr>
          <w:spacing w:val="1"/>
          <w:vertAlign w:val="baseline"/>
        </w:rPr>
        <w:t> </w:t>
      </w:r>
      <w:r>
        <w:rPr>
          <w:vertAlign w:val="baseline"/>
        </w:rPr>
        <w:t>Perkin Elmer Spectrum 400 spectrometer. Analysis of FT-IR spectra was performed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-2"/>
          <w:vertAlign w:val="baseline"/>
        </w:rPr>
        <w:t> </w:t>
      </w:r>
      <w:r>
        <w:rPr>
          <w:vertAlign w:val="baseline"/>
        </w:rPr>
        <w:t>Spectrum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v3.02.01 (version 3.02.01)</w:t>
      </w:r>
      <w:r>
        <w:rPr>
          <w:spacing w:val="-1"/>
          <w:vertAlign w:val="baseline"/>
        </w:rPr>
        <w:t> </w:t>
      </w:r>
      <w:r>
        <w:rPr>
          <w:vertAlign w:val="baseline"/>
        </w:rPr>
        <w:t>software.</w:t>
      </w:r>
    </w:p>
    <w:p>
      <w:pPr>
        <w:pStyle w:val="ListParagraph"/>
        <w:numPr>
          <w:ilvl w:val="3"/>
          <w:numId w:val="18"/>
        </w:numPr>
        <w:tabs>
          <w:tab w:pos="1186" w:val="left" w:leader="none"/>
        </w:tabs>
        <w:spacing w:line="240" w:lineRule="auto" w:before="121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True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density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465" w:right="1258"/>
        <w:jc w:val="both"/>
      </w:pPr>
      <w:r>
        <w:rPr/>
        <w:t>The true density of powder samples were determined in triplicate by helium pycnometry</w:t>
      </w:r>
      <w:r>
        <w:rPr>
          <w:spacing w:val="-57"/>
        </w:rPr>
        <w:t> </w:t>
      </w:r>
      <w:r>
        <w:rPr/>
        <w:t>(Pycno</w:t>
      </w:r>
      <w:r>
        <w:rPr>
          <w:spacing w:val="-1"/>
        </w:rPr>
        <w:t> </w:t>
      </w:r>
      <w:r>
        <w:rPr/>
        <w:t>30, Smart</w:t>
      </w:r>
      <w:r>
        <w:rPr>
          <w:spacing w:val="5"/>
        </w:rPr>
        <w:t> </w:t>
      </w:r>
      <w:r>
        <w:rPr/>
        <w:t>Instruments,</w:t>
      </w:r>
      <w:r>
        <w:rPr>
          <w:spacing w:val="1"/>
        </w:rPr>
        <w:t> </w:t>
      </w:r>
      <w:r>
        <w:rPr/>
        <w:t>India) at 25 ±</w:t>
      </w:r>
      <w:r>
        <w:rPr>
          <w:spacing w:val="-1"/>
        </w:rPr>
        <w:t> </w:t>
      </w:r>
      <w:r>
        <w:rPr/>
        <w:t>2 °C/40 ± 2%</w:t>
      </w:r>
      <w:r>
        <w:rPr>
          <w:spacing w:val="-1"/>
        </w:rPr>
        <w:t> </w:t>
      </w:r>
      <w:r>
        <w:rPr/>
        <w:t>RH.</w:t>
      </w:r>
    </w:p>
    <w:p>
      <w:pPr>
        <w:pStyle w:val="ListParagraph"/>
        <w:numPr>
          <w:ilvl w:val="3"/>
          <w:numId w:val="18"/>
        </w:numPr>
        <w:tabs>
          <w:tab w:pos="1905" w:val="left" w:leader="none"/>
          <w:tab w:pos="1906" w:val="left" w:leader="none"/>
        </w:tabs>
        <w:spacing w:line="240" w:lineRule="auto" w:before="120" w:after="0"/>
        <w:ind w:left="1905" w:right="0" w:hanging="1441"/>
        <w:jc w:val="both"/>
        <w:rPr>
          <w:i/>
          <w:sz w:val="24"/>
        </w:rPr>
      </w:pPr>
      <w:r>
        <w:rPr>
          <w:i/>
          <w:sz w:val="24"/>
        </w:rPr>
        <w:t>Circular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dichroism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(CD)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spectroscopy</w:t>
      </w:r>
    </w:p>
    <w:p>
      <w:pPr>
        <w:pStyle w:val="BodyText"/>
        <w:spacing w:before="3"/>
        <w:rPr>
          <w:i/>
          <w:sz w:val="34"/>
        </w:rPr>
      </w:pPr>
    </w:p>
    <w:p>
      <w:pPr>
        <w:pStyle w:val="BodyText"/>
        <w:spacing w:line="480" w:lineRule="auto"/>
        <w:ind w:left="465" w:right="1253"/>
        <w:jc w:val="both"/>
      </w:pPr>
      <w:r>
        <w:rPr/>
        <w:t>CD spectra was recorded at 25 °C on a Jasco 815 spectrometer (Jasco, Tokyo, Japan)</w:t>
      </w:r>
      <w:r>
        <w:rPr>
          <w:spacing w:val="1"/>
        </w:rPr>
        <w:t> </w:t>
      </w:r>
      <w:r>
        <w:rPr/>
        <w:t>equipped with a temperature control unit using a 1 cm path length quartz cell. Samples</w:t>
      </w:r>
      <w:r>
        <w:rPr>
          <w:spacing w:val="1"/>
        </w:rPr>
        <w:t> </w:t>
      </w:r>
      <w:r>
        <w:rPr/>
        <w:t>containing pure gelatin, gelatin in co-processed excipient and FITC-labelled gelatin in</w:t>
      </w:r>
      <w:r>
        <w:rPr>
          <w:spacing w:val="1"/>
        </w:rPr>
        <w:t> </w:t>
      </w:r>
      <w:r>
        <w:rPr/>
        <w:t>the co-processed excipient were scanned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 wavelength of 200</w:t>
      </w:r>
      <w:r>
        <w:rPr>
          <w:spacing w:val="1"/>
        </w:rPr>
        <w:t> </w:t>
      </w:r>
      <w:r>
        <w:rPr/>
        <w:t>– 250 nm in the</w:t>
      </w:r>
      <w:r>
        <w:rPr>
          <w:spacing w:val="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distilled</w:t>
      </w:r>
      <w:r>
        <w:rPr>
          <w:spacing w:val="-1"/>
        </w:rPr>
        <w:t> </w:t>
      </w:r>
      <w:r>
        <w:rPr/>
        <w:t>water. The</w:t>
      </w:r>
      <w:r>
        <w:rPr>
          <w:spacing w:val="-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each sample</w:t>
      </w:r>
      <w:r>
        <w:rPr>
          <w:spacing w:val="-1"/>
        </w:rPr>
        <w:t> </w:t>
      </w:r>
      <w:r>
        <w:rPr/>
        <w:t>was 0.1 %</w:t>
      </w:r>
      <w:r>
        <w:rPr>
          <w:spacing w:val="5"/>
        </w:rPr>
        <w:t> </w:t>
      </w:r>
      <w:r>
        <w:rPr>
          <w:vertAlign w:val="superscript"/>
        </w:rPr>
        <w:t>w</w:t>
      </w:r>
      <w:r>
        <w:rPr>
          <w:vertAlign w:val="baseline"/>
        </w:rPr>
        <w:t>/</w:t>
      </w:r>
      <w:r>
        <w:rPr>
          <w:vertAlign w:val="subscript"/>
        </w:rPr>
        <w:t>v</w:t>
      </w:r>
      <w:r>
        <w:rPr>
          <w:vertAlign w:val="baseline"/>
        </w:rPr>
        <w:t>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62" w:firstLine="59"/>
        <w:jc w:val="both"/>
      </w:pPr>
      <w:r>
        <w:rPr/>
        <w:t>A reference spectrum containing distilled water was also recorded. CD spectra was</w:t>
      </w:r>
      <w:r>
        <w:rPr>
          <w:spacing w:val="1"/>
        </w:rPr>
        <w:t> </w:t>
      </w:r>
      <w:r>
        <w:rPr/>
        <w:t>analysed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spectra</w:t>
      </w:r>
      <w:r>
        <w:rPr>
          <w:spacing w:val="-1"/>
        </w:rPr>
        <w:t> </w:t>
      </w:r>
      <w:r>
        <w:rPr/>
        <w:t>analysis software</w:t>
      </w:r>
      <w:r>
        <w:rPr>
          <w:spacing w:val="-3"/>
        </w:rPr>
        <w:t> </w:t>
      </w:r>
      <w:r>
        <w:rPr/>
        <w:t>(Jasco Corporation, Japan).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2"/>
          <w:numId w:val="18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bookmarkStart w:name="_TOC_250045" w:id="61"/>
      <w:r>
        <w:rPr/>
        <w:t>Physico-mechanical</w:t>
      </w:r>
      <w:r>
        <w:rPr>
          <w:spacing w:val="-5"/>
        </w:rPr>
        <w:t> </w:t>
      </w:r>
      <w:bookmarkEnd w:id="61"/>
      <w:r>
        <w:rPr/>
        <w:t>properties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ListParagraph"/>
        <w:numPr>
          <w:ilvl w:val="3"/>
          <w:numId w:val="18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Bulk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density,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Tapped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density,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Carr’s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index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Hausner’s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ratio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465" w:right="1254"/>
        <w:jc w:val="both"/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1684273</wp:posOffset>
            </wp:positionH>
            <wp:positionV relativeFrom="paragraph">
              <wp:posOffset>1779437</wp:posOffset>
            </wp:positionV>
            <wp:extent cx="182709" cy="102012"/>
            <wp:effectExtent l="0" t="0" r="0" b="0"/>
            <wp:wrapTopAndBottom/>
            <wp:docPr id="2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0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54.220001pt;margin-top:144.313156pt;width:7.2pt;height:.84pt;mso-position-horizontal-relative:page;mso-position-vertical-relative:paragraph;z-index:-15690752;mso-wrap-distance-left:0;mso-wrap-distance-right:0" filled="true" fillcolor="#00000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2100707</wp:posOffset>
            </wp:positionH>
            <wp:positionV relativeFrom="paragraph">
              <wp:posOffset>1779437</wp:posOffset>
            </wp:positionV>
            <wp:extent cx="191844" cy="102012"/>
            <wp:effectExtent l="0" t="0" r="0" b="0"/>
            <wp:wrapTopAndBottom/>
            <wp:docPr id="2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4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Bulk density (BD) was calculated by carefully adding accurately weighed powder (100</w:t>
      </w:r>
      <w:r>
        <w:rPr>
          <w:spacing w:val="1"/>
        </w:rPr>
        <w:t> </w:t>
      </w:r>
      <w:r>
        <w:rPr/>
        <w:t>g) to 250 mL measuring cylinder. The corresponding volume was</w:t>
      </w:r>
      <w:r>
        <w:rPr>
          <w:spacing w:val="60"/>
        </w:rPr>
        <w:t> </w:t>
      </w:r>
      <w:r>
        <w:rPr/>
        <w:t>read off to get the</w:t>
      </w:r>
      <w:r>
        <w:rPr>
          <w:spacing w:val="1"/>
        </w:rPr>
        <w:t> </w:t>
      </w:r>
      <w:r>
        <w:rPr/>
        <w:t>bulk density. Tapped density (TD) was calculated using USP Tap density apparatus</w:t>
      </w:r>
      <w:r>
        <w:rPr>
          <w:spacing w:val="1"/>
        </w:rPr>
        <w:t> </w:t>
      </w:r>
      <w:r>
        <w:rPr/>
        <w:t>(Electrolab,</w:t>
      </w:r>
      <w:r>
        <w:rPr>
          <w:spacing w:val="1"/>
        </w:rPr>
        <w:t> </w:t>
      </w:r>
      <w:r>
        <w:rPr/>
        <w:t>Mumbai,</w:t>
      </w:r>
      <w:r>
        <w:rPr>
          <w:spacing w:val="1"/>
        </w:rPr>
        <w:t> </w:t>
      </w:r>
      <w:r>
        <w:rPr/>
        <w:t>India)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USP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Carr‟s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(CI)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Hausner‟s</w:t>
      </w:r>
      <w:r>
        <w:rPr>
          <w:spacing w:val="-2"/>
        </w:rPr>
        <w:t> </w:t>
      </w:r>
      <w:r>
        <w:rPr/>
        <w:t>ratio</w:t>
      </w:r>
      <w:r>
        <w:rPr>
          <w:spacing w:val="-1"/>
        </w:rPr>
        <w:t> </w:t>
      </w:r>
      <w:r>
        <w:rPr/>
        <w:t>(HR)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equations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below:</w:t>
      </w:r>
    </w:p>
    <w:p>
      <w:pPr>
        <w:spacing w:line="240" w:lineRule="auto"/>
        <w:ind w:left="482" w:right="0" w:firstLine="0"/>
        <w:rPr>
          <w:sz w:val="20"/>
        </w:rPr>
      </w:pPr>
      <w:r>
        <w:rPr>
          <w:position w:val="16"/>
          <w:sz w:val="20"/>
        </w:rPr>
        <w:drawing>
          <wp:inline distT="0" distB="0" distL="0" distR="0">
            <wp:extent cx="133626" cy="104775"/>
            <wp:effectExtent l="0" t="0" r="0" b="0"/>
            <wp:docPr id="3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2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</w:r>
      <w:r>
        <w:rPr>
          <w:spacing w:val="136"/>
          <w:position w:val="16"/>
          <w:sz w:val="6"/>
        </w:rPr>
        <w:t> </w:t>
      </w:r>
      <w:r>
        <w:rPr>
          <w:spacing w:val="136"/>
          <w:position w:val="20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136"/>
          <w:position w:val="20"/>
          <w:sz w:val="20"/>
        </w:rPr>
      </w:r>
      <w:r>
        <w:rPr>
          <w:spacing w:val="70"/>
          <w:position w:val="20"/>
          <w:sz w:val="20"/>
        </w:rPr>
        <w:t> </w:t>
      </w:r>
      <w:r>
        <w:rPr>
          <w:spacing w:val="70"/>
          <w:sz w:val="20"/>
        </w:rPr>
        <w:pict>
          <v:group style="width:49.35pt;height:11.9pt;mso-position-horizontal-relative:char;mso-position-vertical-relative:line" coordorigin="0,0" coordsize="987,238">
            <v:shape style="position:absolute;left:340;top:76;width:288;height:161" type="#_x0000_t75" stroked="false">
              <v:imagedata r:id="rId36" o:title=""/>
            </v:shape>
            <v:rect style="position:absolute;left:0;top:0;width:987;height:17" filled="true" fillcolor="#000000" stroked="false">
              <v:fill type="solid"/>
            </v:rect>
          </v:group>
        </w:pict>
      </w:r>
      <w:r>
        <w:rPr>
          <w:spacing w:val="70"/>
          <w:sz w:val="20"/>
        </w:rPr>
      </w:r>
      <w:r>
        <w:rPr>
          <w:spacing w:val="81"/>
          <w:sz w:val="13"/>
        </w:rPr>
        <w:t> </w:t>
      </w:r>
      <w:r>
        <w:rPr>
          <w:spacing w:val="81"/>
          <w:position w:val="16"/>
          <w:sz w:val="20"/>
        </w:rPr>
        <w:drawing>
          <wp:inline distT="0" distB="0" distL="0" distR="0">
            <wp:extent cx="82581" cy="82581"/>
            <wp:effectExtent l="0" t="0" r="0" b="0"/>
            <wp:docPr id="3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position w:val="16"/>
          <w:sz w:val="20"/>
        </w:rPr>
      </w:r>
      <w:r>
        <w:rPr>
          <w:spacing w:val="53"/>
          <w:position w:val="16"/>
          <w:sz w:val="16"/>
        </w:rPr>
        <w:t> </w:t>
      </w:r>
      <w:r>
        <w:rPr>
          <w:spacing w:val="53"/>
          <w:position w:val="16"/>
          <w:sz w:val="20"/>
        </w:rPr>
        <w:drawing>
          <wp:inline distT="0" distB="0" distL="0" distR="0">
            <wp:extent cx="227771" cy="104775"/>
            <wp:effectExtent l="0" t="0" r="0" b="0"/>
            <wp:docPr id="3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7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  <w:position w:val="16"/>
          <w:sz w:val="20"/>
        </w:rPr>
      </w:r>
      <w:r>
        <w:rPr>
          <w:spacing w:val="42"/>
          <w:position w:val="16"/>
          <w:sz w:val="17"/>
        </w:rPr>
        <w:t> </w:t>
      </w:r>
      <w:r>
        <w:rPr>
          <w:spacing w:val="42"/>
          <w:position w:val="15"/>
          <w:sz w:val="20"/>
        </w:rPr>
        <w:drawing>
          <wp:inline distT="0" distB="0" distL="0" distR="0">
            <wp:extent cx="118068" cy="112013"/>
            <wp:effectExtent l="0" t="0" r="0" b="0"/>
            <wp:docPr id="3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6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2"/>
          <w:position w:val="15"/>
          <w:sz w:val="20"/>
        </w:rPr>
      </w:r>
      <w:r>
        <w:rPr>
          <w:spacing w:val="77"/>
          <w:position w:val="15"/>
          <w:sz w:val="2"/>
        </w:rPr>
        <w:t> </w:t>
      </w:r>
      <w:r>
        <w:rPr>
          <w:spacing w:val="77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77"/>
          <w:position w:val="16"/>
          <w:sz w:val="20"/>
        </w:rPr>
      </w:r>
      <w:r>
        <w:rPr>
          <w:spacing w:val="55"/>
          <w:position w:val="16"/>
          <w:sz w:val="2"/>
        </w:rPr>
        <w:t> </w:t>
      </w:r>
      <w:r>
        <w:rPr>
          <w:spacing w:val="55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16"/>
          <w:sz w:val="20"/>
        </w:rPr>
      </w:r>
      <w:r>
        <w:rPr>
          <w:spacing w:val="55"/>
          <w:position w:val="16"/>
          <w:sz w:val="2"/>
        </w:rPr>
        <w:t> </w:t>
      </w:r>
      <w:r>
        <w:rPr>
          <w:spacing w:val="55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16"/>
          <w:sz w:val="20"/>
        </w:rPr>
      </w:r>
      <w:r>
        <w:rPr>
          <w:spacing w:val="55"/>
          <w:position w:val="16"/>
          <w:sz w:val="2"/>
        </w:rPr>
        <w:t> </w:t>
      </w:r>
      <w:r>
        <w:rPr>
          <w:spacing w:val="55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40,0l116,0,116,26,140,26,140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16"/>
          <w:sz w:val="20"/>
        </w:rPr>
      </w:r>
      <w:r>
        <w:rPr>
          <w:spacing w:val="56"/>
          <w:position w:val="16"/>
          <w:sz w:val="2"/>
        </w:rPr>
        <w:t> </w:t>
      </w:r>
      <w:r>
        <w:rPr>
          <w:spacing w:val="56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6"/>
          <w:position w:val="16"/>
          <w:sz w:val="20"/>
        </w:rPr>
      </w:r>
      <w:r>
        <w:rPr>
          <w:spacing w:val="10"/>
          <w:position w:val="16"/>
          <w:sz w:val="20"/>
        </w:rPr>
        <w:t> </w:t>
      </w:r>
      <w:r>
        <w:rPr>
          <w:spacing w:val="10"/>
          <w:position w:val="11"/>
          <w:sz w:val="20"/>
        </w:rPr>
        <w:pict>
          <v:group style="width:34pt;height:10.95pt;mso-position-horizontal-relative:char;mso-position-vertical-relative:line" coordorigin="0,0" coordsize="680,219">
            <v:shape style="position:absolute;left:0;top:141;width:140;height:27" coordorigin="0,142" coordsize="140,27" path="m24,142l0,142,0,168,24,168,24,142xm82,142l58,142,58,168,82,168,82,142xm139,142l115,142,115,168,139,168,139,142xe" filled="true" fillcolor="#000000" stroked="false">
              <v:path arrowok="t"/>
              <v:fill type="solid"/>
            </v:shape>
            <v:shape style="position:absolute;left:199;top:7;width:260;height:212" type="#_x0000_t75" stroked="false">
              <v:imagedata r:id="rId11" o:title=""/>
            </v:shape>
            <v:shape style="position:absolute;left:489;top:0;width:190;height:171" coordorigin="490,0" coordsize="190,171" path="m514,142l490,142,490,168,514,168,514,142xm679,113l677,103,674,96,670,89,667,86,665,84,658,79,643,74,624,74,619,77,614,77,612,79,607,79,607,26,672,26,674,0,665,0,665,2,660,7,590,7,590,86,600,91,605,89,612,89,617,86,631,86,638,89,648,94,650,96,653,103,655,108,658,115,658,137,655,146,650,151,646,158,636,161,619,161,612,158,607,156,602,151,600,146,598,137,583,137,583,163,594,166,605,169,615,170,624,170,636,170,655,166,662,161,670,156,672,149,677,139,679,132,679,113xe" filled="true" fillcolor="#000000" stroked="false">
              <v:path arrowok="t"/>
              <v:fill type="solid"/>
            </v:shape>
          </v:group>
        </w:pict>
      </w:r>
      <w:r>
        <w:rPr>
          <w:spacing w:val="10"/>
          <w:position w:val="11"/>
          <w:sz w:val="20"/>
        </w:rPr>
      </w: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1748282</wp:posOffset>
            </wp:positionH>
            <wp:positionV relativeFrom="paragraph">
              <wp:posOffset>173831</wp:posOffset>
            </wp:positionV>
            <wp:extent cx="183903" cy="102679"/>
            <wp:effectExtent l="0" t="0" r="0" b="0"/>
            <wp:wrapTopAndBottom/>
            <wp:docPr id="3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0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472" w:right="0" w:firstLine="0"/>
        <w:rPr>
          <w:sz w:val="20"/>
        </w:rPr>
      </w:pPr>
      <w:r>
        <w:rPr>
          <w:position w:val="16"/>
          <w:sz w:val="20"/>
        </w:rPr>
        <w:drawing>
          <wp:inline distT="0" distB="0" distL="0" distR="0">
            <wp:extent cx="196112" cy="102679"/>
            <wp:effectExtent l="0" t="0" r="0" b="0"/>
            <wp:docPr id="4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1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</w:r>
      <w:r>
        <w:rPr>
          <w:spacing w:val="139"/>
          <w:position w:val="16"/>
          <w:sz w:val="6"/>
        </w:rPr>
        <w:t> </w:t>
      </w:r>
      <w:r>
        <w:rPr>
          <w:spacing w:val="139"/>
          <w:position w:val="20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139"/>
          <w:position w:val="20"/>
          <w:sz w:val="20"/>
        </w:rPr>
      </w:r>
      <w:r>
        <w:rPr>
          <w:spacing w:val="73"/>
          <w:position w:val="20"/>
          <w:sz w:val="20"/>
        </w:rPr>
        <w:t> </w:t>
      </w:r>
      <w:r>
        <w:rPr>
          <w:spacing w:val="73"/>
          <w:sz w:val="20"/>
        </w:rPr>
        <w:pict>
          <v:group style="width:26.9pt;height:11.9pt;mso-position-horizontal-relative:char;mso-position-vertical-relative:line" coordorigin="0,0" coordsize="538,238">
            <v:shape style="position:absolute;left:7;top:76;width:303;height:161" type="#_x0000_t75" stroked="false">
              <v:imagedata r:id="rId34" o:title=""/>
            </v:shape>
            <v:shape style="position:absolute;left:0;top:0;width:538;height:77" coordorigin="0,0" coordsize="538,77" path="m331,0l0,0,0,17,331,17,331,0xm422,50l398,50,398,77,422,77,422,50xm480,50l456,50,456,77,480,77,480,50xm538,50l514,50,514,77,538,77,538,50xe" filled="true" fillcolor="#000000" stroked="false">
              <v:path arrowok="t"/>
              <v:fill type="solid"/>
            </v:shape>
          </v:group>
        </w:pict>
      </w:r>
      <w:r>
        <w:rPr>
          <w:spacing w:val="73"/>
          <w:sz w:val="20"/>
        </w:rPr>
      </w:r>
      <w:r>
        <w:rPr>
          <w:spacing w:val="64"/>
          <w:sz w:val="2"/>
        </w:rPr>
        <w:t> </w:t>
      </w:r>
      <w:r>
        <w:rPr>
          <w:spacing w:val="64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64"/>
          <w:position w:val="16"/>
          <w:sz w:val="20"/>
        </w:rPr>
      </w:r>
      <w:r>
        <w:rPr>
          <w:spacing w:val="55"/>
          <w:position w:val="16"/>
          <w:sz w:val="2"/>
        </w:rPr>
        <w:t> </w:t>
      </w:r>
      <w:r>
        <w:rPr>
          <w:spacing w:val="55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16"/>
          <w:sz w:val="20"/>
        </w:rPr>
      </w:r>
      <w:r>
        <w:rPr>
          <w:spacing w:val="55"/>
          <w:position w:val="16"/>
          <w:sz w:val="2"/>
        </w:rPr>
        <w:t> </w:t>
      </w:r>
      <w:r>
        <w:rPr>
          <w:spacing w:val="55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16"/>
          <w:sz w:val="20"/>
        </w:rPr>
      </w:r>
      <w:r>
        <w:rPr>
          <w:spacing w:val="55"/>
          <w:position w:val="16"/>
          <w:sz w:val="2"/>
        </w:rPr>
        <w:t> </w:t>
      </w:r>
      <w:r>
        <w:rPr>
          <w:spacing w:val="55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16"/>
          <w:sz w:val="20"/>
        </w:rPr>
      </w:r>
      <w:r>
        <w:rPr>
          <w:spacing w:val="55"/>
          <w:position w:val="16"/>
          <w:sz w:val="2"/>
        </w:rPr>
        <w:t> </w:t>
      </w:r>
      <w:r>
        <w:rPr>
          <w:spacing w:val="55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16"/>
          <w:sz w:val="20"/>
        </w:rPr>
      </w:r>
      <w:r>
        <w:rPr>
          <w:spacing w:val="53"/>
          <w:position w:val="16"/>
          <w:sz w:val="2"/>
        </w:rPr>
        <w:t> </w:t>
      </w:r>
      <w:r>
        <w:rPr>
          <w:spacing w:val="53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3"/>
          <w:position w:val="16"/>
          <w:sz w:val="20"/>
        </w:rPr>
      </w:r>
      <w:r>
        <w:rPr>
          <w:spacing w:val="55"/>
          <w:position w:val="16"/>
          <w:sz w:val="2"/>
        </w:rPr>
        <w:t> </w:t>
      </w:r>
      <w:r>
        <w:rPr>
          <w:spacing w:val="55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16"/>
          <w:sz w:val="20"/>
        </w:rPr>
      </w:r>
      <w:r>
        <w:rPr>
          <w:spacing w:val="55"/>
          <w:position w:val="16"/>
          <w:sz w:val="2"/>
        </w:rPr>
        <w:t> </w:t>
      </w:r>
      <w:r>
        <w:rPr>
          <w:spacing w:val="55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16"/>
          <w:sz w:val="20"/>
        </w:rPr>
      </w:r>
      <w:r>
        <w:rPr>
          <w:spacing w:val="10"/>
          <w:position w:val="16"/>
          <w:sz w:val="20"/>
        </w:rPr>
        <w:t> </w:t>
      </w:r>
      <w:r>
        <w:rPr>
          <w:spacing w:val="10"/>
          <w:position w:val="11"/>
          <w:sz w:val="20"/>
        </w:rPr>
        <w:pict>
          <v:group style="width:43.35pt;height:10.7pt;mso-position-horizontal-relative:char;mso-position-vertical-relative:line" coordorigin="0,0" coordsize="867,214">
            <v:shape style="position:absolute;left:0;top:136;width:317;height:27" coordorigin="0,137" coordsize="317,27" path="m24,137l0,137,0,163,24,163,24,137xm82,137l58,137,58,163,82,163,82,137xm139,137l115,137,115,163,139,163,139,137xm228,137l204,137,204,163,228,163,228,137xm317,137l293,137,293,163,317,163,317,137xe" filled="true" fillcolor="#000000" stroked="false">
              <v:path arrowok="t"/>
              <v:fill type="solid"/>
            </v:shape>
            <v:shape style="position:absolute;left:377;top:2;width:260;height:212" type="#_x0000_t75" stroked="false">
              <v:imagedata r:id="rId42" o:title=""/>
            </v:shape>
            <v:rect style="position:absolute;left:670;top:136;width:24;height:27" filled="true" fillcolor="#000000" stroked="false">
              <v:fill type="solid"/>
            </v:rect>
            <v:shape style="position:absolute;left:761;top:0;width:106;height:166" type="#_x0000_t75" stroked="false">
              <v:imagedata r:id="rId43" o:title=""/>
            </v:shape>
          </v:group>
        </w:pict>
      </w:r>
      <w:r>
        <w:rPr>
          <w:spacing w:val="10"/>
          <w:position w:val="11"/>
          <w:sz w:val="20"/>
        </w:rPr>
      </w:r>
    </w:p>
    <w:p>
      <w:pPr>
        <w:pStyle w:val="BodyText"/>
        <w:spacing w:before="6"/>
        <w:rPr>
          <w:sz w:val="30"/>
        </w:rPr>
      </w:pPr>
    </w:p>
    <w:p>
      <w:pPr>
        <w:pStyle w:val="ListParagraph"/>
        <w:numPr>
          <w:ilvl w:val="3"/>
          <w:numId w:val="18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Angle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repose (°)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465" w:right="1254"/>
        <w:jc w:val="both"/>
      </w:pPr>
      <w:r>
        <w:rPr/>
        <w:t>The angle of repose of the powder samples was measured using the granulate flow tester</w:t>
      </w:r>
      <w:r>
        <w:rPr>
          <w:spacing w:val="-57"/>
        </w:rPr>
        <w:t> </w:t>
      </w:r>
      <w:r>
        <w:rPr/>
        <w:t>(GTB, Erweka, Germany).</w:t>
      </w:r>
      <w:r>
        <w:rPr>
          <w:spacing w:val="1"/>
        </w:rPr>
        <w:t> </w:t>
      </w:r>
      <w:r>
        <w:rPr/>
        <w:t>20 g powder was poured into the stainless steel funnel and</w:t>
      </w:r>
      <w:r>
        <w:rPr>
          <w:spacing w:val="1"/>
        </w:rPr>
        <w:t> </w:t>
      </w:r>
      <w:r>
        <w:rPr/>
        <w:t>allowed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flow</w:t>
      </w:r>
      <w:r>
        <w:rPr>
          <w:spacing w:val="13"/>
        </w:rPr>
        <w:t> </w:t>
      </w:r>
      <w:r>
        <w:rPr/>
        <w:t>out</w:t>
      </w:r>
      <w:r>
        <w:rPr>
          <w:spacing w:val="15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opening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shutter.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height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diameter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heap</w:t>
      </w:r>
      <w:r>
        <w:rPr>
          <w:spacing w:val="-57"/>
        </w:rPr>
        <w:t> </w:t>
      </w:r>
      <w:r>
        <w:rPr/>
        <w:t>of powder formed was measured using a laser device and the data collected was used to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angle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repose</w:t>
      </w:r>
      <w:r>
        <w:rPr>
          <w:spacing w:val="1"/>
        </w:rPr>
        <w:t> </w:t>
      </w:r>
      <w:r>
        <w:rPr/>
        <w:t>automatically.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determinations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(n=3).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18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bookmarkStart w:name="_TOC_250044" w:id="62"/>
      <w:r>
        <w:rPr/>
        <w:t>Compaction</w:t>
      </w:r>
      <w:r>
        <w:rPr>
          <w:spacing w:val="-2"/>
        </w:rPr>
        <w:t> </w:t>
      </w:r>
      <w:bookmarkEnd w:id="62"/>
      <w:r>
        <w:rPr/>
        <w:t>Studies</w:t>
      </w:r>
    </w:p>
    <w:p>
      <w:pPr>
        <w:pStyle w:val="BodyText"/>
        <w:rPr>
          <w:b/>
          <w:sz w:val="34"/>
        </w:rPr>
      </w:pPr>
    </w:p>
    <w:p>
      <w:pPr>
        <w:pStyle w:val="ListParagraph"/>
        <w:numPr>
          <w:ilvl w:val="3"/>
          <w:numId w:val="18"/>
        </w:numPr>
        <w:tabs>
          <w:tab w:pos="1186" w:val="left" w:leader="none"/>
        </w:tabs>
        <w:spacing w:line="240" w:lineRule="auto" w:before="1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Heckel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Kawakita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analysis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465" w:right="1259"/>
        <w:jc w:val="both"/>
      </w:pPr>
      <w:r>
        <w:rPr/>
        <w:t>Approximately</w:t>
      </w:r>
      <w:r>
        <w:rPr>
          <w:spacing w:val="1"/>
        </w:rPr>
        <w:t> </w:t>
      </w:r>
      <w:r>
        <w:rPr/>
        <w:t>400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weighed</w:t>
      </w:r>
      <w:r>
        <w:rPr>
          <w:spacing w:val="1"/>
        </w:rPr>
        <w:t> </w:t>
      </w:r>
      <w:r>
        <w:rPr/>
        <w:t>individually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compressed</w:t>
      </w:r>
      <w:r>
        <w:rPr>
          <w:spacing w:val="11"/>
        </w:rPr>
        <w:t> </w:t>
      </w:r>
      <w:r>
        <w:rPr/>
        <w:t>on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Hydraulic</w:t>
      </w:r>
      <w:r>
        <w:rPr>
          <w:spacing w:val="11"/>
        </w:rPr>
        <w:t> </w:t>
      </w:r>
      <w:r>
        <w:rPr/>
        <w:t>press</w:t>
      </w:r>
      <w:r>
        <w:rPr>
          <w:spacing w:val="13"/>
        </w:rPr>
        <w:t> </w:t>
      </w:r>
      <w:r>
        <w:rPr/>
        <w:t>(Model</w:t>
      </w:r>
      <w:r>
        <w:rPr>
          <w:spacing w:val="13"/>
        </w:rPr>
        <w:t> </w:t>
      </w:r>
      <w:r>
        <w:rPr/>
        <w:t>3912,</w:t>
      </w:r>
      <w:r>
        <w:rPr>
          <w:spacing w:val="12"/>
        </w:rPr>
        <w:t> </w:t>
      </w:r>
      <w:r>
        <w:rPr/>
        <w:t>Carver</w:t>
      </w:r>
      <w:r>
        <w:rPr>
          <w:spacing w:val="14"/>
        </w:rPr>
        <w:t> </w:t>
      </w:r>
      <w:r>
        <w:rPr/>
        <w:t>Inc.,</w:t>
      </w:r>
      <w:r>
        <w:rPr>
          <w:spacing w:val="12"/>
        </w:rPr>
        <w:t> </w:t>
      </w:r>
      <w:r>
        <w:rPr/>
        <w:t>USA)</w:t>
      </w:r>
      <w:r>
        <w:rPr>
          <w:spacing w:val="12"/>
        </w:rPr>
        <w:t> </w:t>
      </w:r>
      <w:r>
        <w:rPr/>
        <w:t>at</w:t>
      </w:r>
      <w:r>
        <w:rPr>
          <w:spacing w:val="13"/>
        </w:rPr>
        <w:t> </w:t>
      </w:r>
      <w:r>
        <w:rPr/>
        <w:t>pressures</w:t>
      </w:r>
      <w:r>
        <w:rPr>
          <w:spacing w:val="12"/>
        </w:rPr>
        <w:t> </w:t>
      </w:r>
      <w:r>
        <w:rPr/>
        <w:t>ranging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112"/>
        <w:ind w:left="465" w:right="1259"/>
        <w:jc w:val="both"/>
      </w:pPr>
      <w:r>
        <w:rPr/>
        <w:pict>
          <v:shape style="position:absolute;margin-left:274.269989pt;margin-top:216.293137pt;width:31.95pt;height:6.85pt;mso-position-horizontal-relative:page;mso-position-vertical-relative:paragraph;z-index:15816192" coordorigin="5485,4326" coordsize="639,137" path="m5693,4343l5663,4343,5670,4350,5670,4374,5668,4381,5665,4391,5661,4415,5656,4424,5656,4453,5661,4455,5663,4460,5668,4463,5682,4463,5689,4460,5694,4458,5701,4453,5706,4448,5680,4448,5680,4446,5677,4443,5677,4434,5680,4427,5694,4369,5694,4345,5693,4343xm5545,4340l5521,4340,5521,4343,5524,4345,5524,4357,5521,4362,5521,4371,5500,4460,5524,4460,5538,4400,5538,4393,5541,4386,5545,4379,5548,4374,5550,4367,5553,4364,5543,4364,5541,4362,5543,4357,5545,4350,5545,4340xm5619,4343l5586,4343,5591,4345,5596,4350,5596,4376,5593,4381,5591,4391,5577,4460,5601,4460,5613,4400,5620,4379,5622,4374,5627,4367,5632,4362,5633,4359,5620,4359,5620,4345,5619,4343xm5706,4431l5701,4439,5692,4448,5706,4448,5716,4439,5706,4431xm5603,4326l5586,4326,5577,4328,5569,4335,5560,4343,5553,4352,5543,4364,5553,4364,5569,4347,5579,4343,5619,4343,5617,4338,5613,4333,5610,4328,5603,4326xm5677,4326l5661,4326,5651,4328,5644,4335,5637,4340,5629,4347,5620,4359,5633,4359,5637,4355,5641,4350,5646,4347,5649,4345,5653,4343,5693,4343,5692,4338,5682,4328,5677,4326xm5531,4326l5519,4326,5512,4328,5507,4331,5495,4343,5485,4350,5495,4357,5500,4350,5505,4347,5509,4343,5514,4340,5545,4340,5541,4331,5531,4326xm5814,4326l5790,4326,5778,4331,5766,4338,5759,4346,5752,4354,5747,4364,5742,4374,5738,4385,5735,4396,5733,4407,5733,4417,5733,4434,5735,4443,5740,4451,5747,4460,5754,4463,5773,4463,5781,4460,5790,4453,5797,4448,5799,4446,5769,4446,5764,4443,5759,4434,5757,4427,5757,4405,5759,4393,5764,4379,5766,4367,5773,4357,5788,4343,5797,4338,5855,4338,5856,4335,5836,4335,5826,4331,5819,4328,5814,4326xm5836,4424l5814,4424,5817,4427,5814,4431,5812,4439,5812,4448,5814,4453,5821,4460,5826,4463,5838,4463,5845,4460,5850,4458,5855,4453,5862,4448,5838,4448,5836,4446,5836,4443,5833,4441,5833,4434,5836,4427,5836,4424xm5865,4431l5848,4448,5862,4448,5872,4439,5865,4431xm5855,4338l5814,4338,5819,4340,5821,4343,5826,4352,5826,4369,5824,4374,5824,4383,5821,4395,5817,4407,5809,4417,5805,4427,5793,4439,5785,4443,5781,4446,5799,4446,5805,4439,5814,4424,5836,4424,5838,4417,5855,4338xm5848,4326l5836,4335,5856,4335,5857,4328,5848,4326xm5898,4424l5889,4424,5881,4455,5891,4458,5898,4460,5905,4460,5913,4463,5937,4463,5946,4460,5961,4455,5968,4451,5917,4451,5910,4448,5901,4439,5898,4434,5898,4424xm5968,4326l5941,4326,5932,4328,5917,4333,5908,4343,5905,4347,5903,4355,5903,4371,5908,4381,5915,4388,5920,4391,5925,4395,5932,4400,5939,4403,5953,4417,5956,4422,5956,4436,5953,4441,5949,4446,5944,4448,5937,4451,5968,4451,5970,4446,5975,4439,5977,4434,5977,4417,5975,4412,5975,4407,5973,4403,5968,4398,5963,4395,5956,4388,5949,4386,5941,4381,5937,4379,5934,4374,5929,4371,5927,4369,5927,4367,5925,4364,5925,4352,5927,4347,5932,4343,5941,4338,5993,4338,5994,4333,5987,4331,5982,4328,5975,4328,5968,4326xm5993,4338l5958,4338,5965,4340,5970,4345,5975,4347,5977,4355,5977,4362,5989,4362,5993,4338xm6028,4424l6018,4424,6011,4455,6021,4458,6028,4460,6035,4460,6042,4463,6066,4463,6076,4460,6090,4455,6097,4451,6047,4451,6040,4448,6030,4439,6028,4434,6028,4424xm6097,4326l6071,4326,6061,4328,6047,4333,6037,4343,6035,4347,6033,4355,6033,4371,6037,4381,6045,4388,6049,4391,6054,4395,6061,4400,6069,4403,6083,4417,6085,4422,6085,4436,6083,4441,6078,4446,6073,4448,6066,4451,6097,4451,6100,4446,6105,4439,6107,4434,6107,4417,6105,4412,6105,4407,6102,4403,6097,4398,6093,4395,6085,4388,6078,4386,6071,4381,6066,4379,6064,4374,6059,4371,6057,4369,6057,4367,6054,4364,6054,4352,6057,4347,6061,4343,6071,4338,6123,4338,6124,4333,6117,4331,6112,4328,6105,4328,6097,4326xm6123,4338l6088,4338,6095,4340,6100,4345,6105,4347,6107,4355,6107,4362,6119,4362,6123,4338xe" filled="true" fillcolor="#000000" stroked="false">
            <v:path arrowok="t"/>
            <v:fill type="solid"/>
            <w10:wrap type="none"/>
          </v:shape>
        </w:pict>
      </w:r>
      <w:r>
        <w:rPr/>
        <w:t>from 8.8 – 106.56 MN/m</w:t>
      </w:r>
      <w:r>
        <w:rPr>
          <w:vertAlign w:val="superscript"/>
        </w:rPr>
        <w:t>2</w:t>
      </w:r>
      <w:r>
        <w:rPr>
          <w:vertAlign w:val="baseline"/>
        </w:rPr>
        <w:t> using a flat-faced punch and die set at a dwell time of 30 s. A</w:t>
      </w:r>
      <w:r>
        <w:rPr>
          <w:spacing w:val="-57"/>
          <w:vertAlign w:val="baseline"/>
        </w:rPr>
        <w:t> </w:t>
      </w:r>
      <w:r>
        <w:rPr>
          <w:vertAlign w:val="baseline"/>
        </w:rPr>
        <w:t>minimum of three tablets were compressed at each pressure. The tablets</w:t>
      </w:r>
      <w:r>
        <w:rPr>
          <w:spacing w:val="60"/>
          <w:vertAlign w:val="baseline"/>
        </w:rPr>
        <w:t> </w:t>
      </w:r>
      <w:r>
        <w:rPr>
          <w:vertAlign w:val="baseline"/>
        </w:rPr>
        <w:t>were kept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desiccator for 24 h to allow for elastic recovery prior to analysis. The thickness and</w:t>
      </w:r>
      <w:r>
        <w:rPr>
          <w:spacing w:val="1"/>
          <w:vertAlign w:val="baseline"/>
        </w:rPr>
        <w:t> </w:t>
      </w:r>
      <w:r>
        <w:rPr>
          <w:vertAlign w:val="baseline"/>
        </w:rPr>
        <w:t>diameter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digital</w:t>
      </w:r>
      <w:r>
        <w:rPr>
          <w:spacing w:val="1"/>
          <w:vertAlign w:val="baseline"/>
        </w:rPr>
        <w:t> </w:t>
      </w:r>
      <w:r>
        <w:rPr>
          <w:vertAlign w:val="baseline"/>
        </w:rPr>
        <w:t>micrometre</w:t>
      </w:r>
      <w:r>
        <w:rPr>
          <w:spacing w:val="1"/>
          <w:vertAlign w:val="baseline"/>
        </w:rPr>
        <w:t> </w:t>
      </w:r>
      <w:r>
        <w:rPr>
          <w:vertAlign w:val="baseline"/>
        </w:rPr>
        <w:t>screw</w:t>
      </w:r>
      <w:r>
        <w:rPr>
          <w:spacing w:val="1"/>
          <w:vertAlign w:val="baseline"/>
        </w:rPr>
        <w:t> </w:t>
      </w:r>
      <w:r>
        <w:rPr>
          <w:vertAlign w:val="baseline"/>
        </w:rPr>
        <w:t>gauge</w:t>
      </w:r>
      <w:r>
        <w:rPr>
          <w:spacing w:val="1"/>
          <w:vertAlign w:val="baseline"/>
        </w:rPr>
        <w:t> </w:t>
      </w:r>
      <w:r>
        <w:rPr>
          <w:vertAlign w:val="baseline"/>
        </w:rPr>
        <w:t>(Mitutoyo,</w:t>
      </w:r>
      <w:r>
        <w:rPr>
          <w:spacing w:val="1"/>
          <w:vertAlign w:val="baseline"/>
        </w:rPr>
        <w:t> </w:t>
      </w:r>
      <w:r>
        <w:rPr>
          <w:vertAlign w:val="baseline"/>
        </w:rPr>
        <w:t>Japan).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given</w:t>
      </w:r>
      <w:r>
        <w:rPr>
          <w:spacing w:val="1"/>
          <w:vertAlign w:val="baseline"/>
        </w:rPr>
        <w:t> </w:t>
      </w:r>
      <w:r>
        <w:rPr>
          <w:vertAlign w:val="baseline"/>
        </w:rPr>
        <w:t>below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volume,</w:t>
      </w:r>
      <w:r>
        <w:rPr>
          <w:spacing w:val="-57"/>
          <w:vertAlign w:val="baseline"/>
        </w:rPr>
        <w:t> </w:t>
      </w:r>
      <w:r>
        <w:rPr>
          <w:vertAlign w:val="baseline"/>
        </w:rPr>
        <w:t>density, relative density</w:t>
      </w:r>
      <w:r>
        <w:rPr>
          <w:spacing w:val="-6"/>
          <w:vertAlign w:val="baseline"/>
        </w:rPr>
        <w:t> </w:t>
      </w:r>
      <w:r>
        <w:rPr>
          <w:vertAlign w:val="baseline"/>
        </w:rPr>
        <w:t>and porosity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tablets respectively.</w:t>
      </w:r>
    </w:p>
    <w:p>
      <w:pPr>
        <w:pStyle w:val="BodyText"/>
        <w:spacing w:before="4"/>
        <w:rPr>
          <w:sz w:val="11"/>
        </w:rPr>
      </w:pPr>
      <w:r>
        <w:rPr/>
        <w:pict>
          <v:shape style="position:absolute;margin-left:99.863998pt;margin-top:10.034062pt;width:46.2pt;height:10pt;mso-position-horizontal-relative:page;mso-position-vertical-relative:paragraph;z-index:-15679488;mso-wrap-distance-left:0;mso-wrap-distance-right:0" coordorigin="1997,201" coordsize="924,200" path="m2050,217l2002,217,2007,220,2009,222,2009,225,2012,227,2012,232,2014,237,2014,249,2024,400,2043,400,2062,367,2043,367,2043,357,2041,261,2040,229,2043,227,2043,222,2045,222,2050,217xm2158,210l2103,210,2100,217,2110,220,2115,225,2115,239,2108,253,2105,261,2045,367,2062,367,2129,249,2136,239,2141,232,2144,227,2151,220,2153,220,2156,217,2158,217,2158,210xm2057,210l2000,210,1997,217,2055,217,2057,210xm2264,264l2237,264,2228,266,2218,271,2199,285,2194,295,2187,304,2182,316,2180,328,2175,348,2175,369,2180,381,2194,396,2206,400,2232,400,2242,398,2252,393,2261,391,2264,388,2216,388,2211,386,2201,376,2199,369,2199,350,2201,336,2211,307,2216,295,2230,280,2237,276,2283,276,2276,268,2264,264xm2283,276l2256,276,2261,278,2266,283,2268,288,2271,295,2271,316,2268,328,2266,343,2261,357,2256,369,2242,384,2232,388,2264,388,2268,384,2273,376,2280,367,2285,357,2290,345,2295,321,2295,295,2290,285,2283,276xm2388,201l2379,201,2345,203,2343,210,2352,210,2355,213,2357,213,2357,215,2360,217,2360,232,2357,237,2357,241,2331,350,2328,362,2328,384,2331,391,2338,398,2343,400,2355,400,2362,398,2372,393,2379,386,2355,386,2352,384,2352,381,2350,379,2350,372,2352,364,2355,355,2388,201xm2381,369l2374,376,2372,381,2367,384,2364,386,2379,386,2388,376,2381,369xm2460,278l2436,278,2436,280,2439,283,2439,292,2436,300,2434,309,2427,348,2422,367,2422,381,2424,388,2434,398,2439,400,2458,400,2465,398,2472,391,2482,386,2484,384,2451,384,2448,379,2446,376,2446,355,2448,350,2448,343,2451,336,2458,312,2460,302,2460,278xm2521,362l2499,362,2501,364,2499,372,2496,376,2496,386,2501,396,2511,400,2523,400,2530,398,2535,396,2540,391,2547,386,2523,386,2520,384,2520,381,2518,379,2518,372,2520,364,2521,362xm2549,369l2532,386,2547,386,2556,376,2549,369xm2542,266l2518,266,2506,326,2504,333,2501,343,2496,348,2494,352,2492,360,2484,364,2480,372,2472,379,2463,384,2484,384,2489,376,2499,362,2521,362,2523,355,2542,266xm2448,264l2434,264,2429,266,2427,266,2422,268,2410,280,2400,288,2410,295,2415,288,2420,285,2424,280,2429,278,2460,278,2460,273,2456,271,2453,266,2448,264xm2769,280l2739,280,2746,288,2746,312,2744,319,2741,328,2736,352,2732,362,2732,391,2736,393,2739,398,2744,400,2758,400,2765,398,2770,396,2777,391,2782,386,2756,386,2756,384,2753,381,2753,372,2756,364,2770,307,2770,283,2769,280xm2621,278l2597,278,2597,280,2600,283,2600,295,2597,300,2597,309,2576,398,2600,398,2614,338,2614,331,2616,324,2621,316,2624,312,2626,304,2628,302,2619,302,2616,300,2619,295,2621,288,2621,278xm2695,280l2662,280,2667,283,2672,288,2672,314,2669,319,2667,328,2652,398,2676,398,2688,338,2696,316,2698,312,2703,304,2708,300,2709,297,2696,297,2696,283,2695,280xm2782,369l2777,376,2768,386,2782,386,2792,376,2782,369xm2679,264l2662,264,2652,266,2645,273,2636,280,2628,290,2619,302,2628,302,2645,285,2655,280,2695,280,2693,276,2688,271,2686,266,2679,264xm2753,264l2736,264,2727,266,2720,273,2712,278,2705,285,2696,297,2709,297,2712,292,2717,288,2722,285,2724,283,2729,280,2769,280,2768,276,2758,266,2753,264xm2607,264l2595,264,2588,266,2583,268,2571,280,2561,288,2571,295,2576,288,2580,285,2585,280,2590,278,2621,278,2616,268,2607,264xm2897,264l2876,264,2866,266,2856,271,2844,276,2837,283,2823,302,2818,312,2813,324,2811,333,2808,345,2808,369,2813,381,2828,396,2837,400,2861,400,2873,398,2883,393,2890,388,2896,384,2847,384,2842,381,2835,374,2832,367,2832,338,2853,337,2870,335,2886,331,2900,326,2835,326,2839,316,2844,306,2850,298,2856,290,2864,280,2873,276,2916,276,2907,266,2897,264xm2900,362l2892,369,2878,379,2864,384,2896,384,2900,381,2909,372,2900,362xm2916,276l2888,276,2892,278,2897,283,2897,302,2895,307,2885,316,2878,321,2859,326,2900,326,2914,319,2921,307,2921,283,2916,27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54.940002pt;margin-top:14.024035pt;width:8.4pt;height:3.85pt;mso-position-horizontal-relative:page;mso-position-vertical-relative:paragraph;z-index:-15678976;mso-wrap-distance-left:0;mso-wrap-distance-right:0" coordorigin="3099,280" coordsize="168,77" path="m3267,338l3099,338,3099,357,3267,357,3267,338xm3267,280l3099,280,3099,300,3267,300,3267,28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71.649994pt;margin-top:8.474063pt;width:27.4pt;height:11.55pt;mso-position-horizontal-relative:page;mso-position-vertical-relative:paragraph;z-index:-15678464;mso-wrap-distance-left:0;mso-wrap-distance-right:0" coordorigin="3433,169" coordsize="548,231">
            <v:shape style="position:absolute;left:3433;top:263;width:296;height:137" type="#_x0000_t75" stroked="false">
              <v:imagedata r:id="rId44" o:title=""/>
            </v:shape>
            <v:shape style="position:absolute;left:3761;top:169;width:219;height:231" coordorigin="3762,169" coordsize="219,231" path="m3846,266l3836,266,3834,268,3834,273,3831,276,3829,276,3829,278,3781,278,3788,271,3791,266,3795,264,3798,261,3800,256,3805,253,3807,251,3810,246,3815,244,3817,241,3819,237,3824,232,3829,229,3829,227,3836,220,3836,217,3841,213,3841,208,3843,205,3843,191,3841,186,3839,184,3839,181,3834,179,3831,177,3817,169,3793,169,3786,172,3781,174,3771,177,3764,179,3764,198,3776,198,3781,189,3786,184,3795,179,3807,179,3810,181,3812,181,3819,189,3822,193,3822,213,3819,217,3815,222,3812,227,3807,232,3805,237,3800,241,3793,246,3788,251,3786,256,3781,258,3779,264,3774,268,3771,273,3769,276,3767,280,3764,283,3762,288,3762,295,3843,295,3843,278,3843,271,3846,266xm3980,266l3939,266,3947,232,3927,232,3925,241,3923,249,3923,251,3920,256,3918,258,3918,261,3915,264,3911,268,3908,268,3906,271,3894,271,3891,280,3913,280,3899,352,3896,360,3896,372,3898,384,3903,393,3912,399,3925,400,3932,400,3939,398,3954,388,3971,372,3961,364,3956,372,3951,376,3947,379,3942,384,3923,384,3918,379,3918,364,3920,360,3920,352,3923,345,3925,333,3937,280,3978,280,3980,26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03.570007pt;margin-top:18.344034pt;width:8.2pt;height:1.6pt;mso-position-horizontal-relative:page;mso-position-vertical-relative:paragraph;z-index:-15677952;mso-wrap-distance-left:0;mso-wrap-distance-right:0" coordorigin="4071,367" coordsize="164,32" path="m4100,367l4071,367,4071,398,4100,398,4100,367xm4167,367l4139,367,4139,398,4167,398,4167,367xm4235,367l4206,367,4206,398,4235,398,4235,36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16.410004pt;margin-top:18.344034pt;width:8.2pt;height:1.6pt;mso-position-horizontal-relative:page;mso-position-vertical-relative:paragraph;z-index:-15677440;mso-wrap-distance-left:0;mso-wrap-distance-right:0" coordorigin="4328,367" coordsize="164,32" path="m4357,367l4328,367,4328,398,4357,398,4357,367xm4424,367l4395,367,4395,398,4424,398,4424,367xm4491,367l4463,367,4463,398,4491,398,4491,36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29.250015pt;margin-top:18.344034pt;width:8.2pt;height:1.6pt;mso-position-horizontal-relative:page;mso-position-vertical-relative:paragraph;z-index:-15676928;mso-wrap-distance-left:0;mso-wrap-distance-right:0" coordorigin="4585,367" coordsize="164,32" path="m4614,367l4585,367,4585,398,4614,398,4614,367xm4681,367l4652,367,4652,398,4681,398,4681,367xm4748,367l4719,367,4719,398,4748,398,4748,36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42.090012pt;margin-top:18.344034pt;width:8.2pt;height:1.6pt;mso-position-horizontal-relative:page;mso-position-vertical-relative:paragraph;z-index:-15676416;mso-wrap-distance-left:0;mso-wrap-distance-right:0" coordorigin="4842,367" coordsize="164,32" path="m4871,367l4842,367,4842,398,4871,398,4871,367xm4938,367l4909,367,4909,398,4938,398,4938,367xm5005,367l4976,367,4976,398,5005,398,5005,36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54.930008pt;margin-top:18.344034pt;width:8.2pt;height:1.6pt;mso-position-horizontal-relative:page;mso-position-vertical-relative:paragraph;z-index:-15675904;mso-wrap-distance-left:0;mso-wrap-distance-right:0" coordorigin="5099,367" coordsize="164,32" path="m5127,367l5099,367,5099,398,5127,398,5127,367xm5195,367l5166,367,5166,398,5195,398,5195,367xm5262,367l5233,367,5233,398,5262,398,5262,36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67.890015pt;margin-top:18.344034pt;width:8.2pt;height:1.6pt;mso-position-horizontal-relative:page;mso-position-vertical-relative:paragraph;z-index:-15675392;mso-wrap-distance-left:0;mso-wrap-distance-right:0" coordorigin="5358,367" coordsize="164,32" path="m5387,367l5358,367,5358,398,5387,398,5387,367xm5454,367l5425,367,5425,398,5454,398,5454,367xm5521,367l5493,367,5493,398,5521,398,5521,36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80.75pt;margin-top:18.344034pt;width:8.2pt;height:1.6pt;mso-position-horizontal-relative:page;mso-position-vertical-relative:paragraph;z-index:-15674880;mso-wrap-distance-left:0;mso-wrap-distance-right:0" coordorigin="5615,367" coordsize="164,32" path="m5644,367l5615,367,5615,398,5644,398,5644,367xm5711,367l5682,367,5682,398,5711,398,5711,367xm5778,367l5749,367,5749,398,5778,398,5778,36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93.590027pt;margin-top:18.344034pt;width:8.2pt;height:1.6pt;mso-position-horizontal-relative:page;mso-position-vertical-relative:paragraph;z-index:-15674368;mso-wrap-distance-left:0;mso-wrap-distance-right:0" coordorigin="5872,367" coordsize="164,32" path="m5901,367l5872,367,5872,398,5901,398,5901,367xm5968,367l5939,367,5939,398,5968,398,5968,367xm6035,367l6006,367,6006,398,6035,398,6035,36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06.430023pt;margin-top:18.344034pt;width:8.2pt;height:1.6pt;mso-position-horizontal-relative:page;mso-position-vertical-relative:paragraph;z-index:-15673856;mso-wrap-distance-left:0;mso-wrap-distance-right:0" coordorigin="6129,367" coordsize="164,32" path="m6157,367l6129,367,6129,398,6157,398,6157,367xm6225,367l6196,367,6196,398,6225,398,6225,367xm6292,367l6263,367,6263,398,6292,398,6292,36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19.269989pt;margin-top:10.514063pt;width:30.15pt;height:12.4pt;mso-position-horizontal-relative:page;mso-position-vertical-relative:paragraph;z-index:-15673344;mso-wrap-distance-left:0;mso-wrap-distance-right:0" coordorigin="6385,210" coordsize="603,248">
            <v:shape style="position:absolute;left:6385;top:366;width:164;height:32" coordorigin="6385,367" coordsize="164,32" path="m6414,367l6385,367,6385,398,6414,398,6414,367xm6481,367l6453,367,6453,398,6481,398,6481,367xm6549,367l6520,367,6520,398,6549,398,6549,367xe" filled="true" fillcolor="#000000" stroked="false">
              <v:path arrowok="t"/>
              <v:fill type="solid"/>
            </v:shape>
            <v:shape style="position:absolute;left:6615;top:210;width:308;height:248" type="#_x0000_t75" stroked="false">
              <v:imagedata r:id="rId45" o:title=""/>
            </v:shape>
            <v:rect style="position:absolute;left:6959;top:366;width:29;height:32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4487545</wp:posOffset>
            </wp:positionH>
            <wp:positionV relativeFrom="paragraph">
              <wp:posOffset>133528</wp:posOffset>
            </wp:positionV>
            <wp:extent cx="77599" cy="119062"/>
            <wp:effectExtent l="0" t="0" r="0" b="0"/>
            <wp:wrapTopAndBottom/>
            <wp:docPr id="4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1259128</wp:posOffset>
            </wp:positionH>
            <wp:positionV relativeFrom="paragraph">
              <wp:posOffset>673405</wp:posOffset>
            </wp:positionV>
            <wp:extent cx="747982" cy="157162"/>
            <wp:effectExtent l="0" t="0" r="0" b="0"/>
            <wp:wrapTopAndBottom/>
            <wp:docPr id="4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8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2063750</wp:posOffset>
            </wp:positionH>
            <wp:positionV relativeFrom="paragraph">
              <wp:posOffset>661213</wp:posOffset>
            </wp:positionV>
            <wp:extent cx="983158" cy="171450"/>
            <wp:effectExtent l="0" t="0" r="0" b="0"/>
            <wp:wrapTopAndBottom/>
            <wp:docPr id="4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15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5.690018pt;margin-top:56.624035pt;width:8.4pt;height:3.85pt;mso-position-horizontal-relative:page;mso-position-vertical-relative:paragraph;z-index:-15671296;mso-wrap-distance-left:0;mso-wrap-distance-right:0" coordorigin="4914,1132" coordsize="168,77" path="m5082,1190l4914,1190,4914,1209,5082,1209,5082,1190xm5082,1132l4914,1132,4914,1152,5082,1152,5082,113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62.010010pt;margin-top:41.384064pt;width:80.7pt;height:33.15pt;mso-position-horizontal-relative:page;mso-position-vertical-relative:paragraph;z-index:-15670784;mso-wrap-distance-left:0;mso-wrap-distance-right:0" coordorigin="5240,828" coordsize="1614,663">
            <v:shape style="position:absolute;left:6227;top:827;width:360;height:272" type="#_x0000_t75" stroked="false">
              <v:imagedata r:id="rId49" o:title=""/>
            </v:shape>
            <v:shape style="position:absolute;left:5249;top:1240;width:906;height:200" type="#_x0000_t75" stroked="false">
              <v:imagedata r:id="rId50" o:title=""/>
            </v:shape>
            <v:shape style="position:absolute;left:6258;top:1228;width:574;height:262" type="#_x0000_t75" stroked="false">
              <v:imagedata r:id="rId51" o:title=""/>
            </v:shape>
            <v:rect style="position:absolute;left:5240;top:1161;width:1614;height:20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346.750031pt;margin-top:60.944038pt;width:8.2pt;height:1.6pt;mso-position-horizontal-relative:page;mso-position-vertical-relative:paragraph;z-index:-15670272;mso-wrap-distance-left:0;mso-wrap-distance-right:0" coordorigin="6935,1219" coordsize="164,32" path="m6964,1219l6935,1219,6935,1250,6964,1250,6964,1219xm7031,1219l7002,1219,7002,1250,7031,1250,7031,1219xm7098,1219l7069,1219,7069,1250,7098,1250,7098,121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59.590027pt;margin-top:60.944038pt;width:8.2pt;height:1.6pt;mso-position-horizontal-relative:page;mso-position-vertical-relative:paragraph;z-index:-15669760;mso-wrap-distance-left:0;mso-wrap-distance-right:0" coordorigin="7192,1219" coordsize="164,32" path="m7221,1219l7192,1219,7192,1250,7221,1250,7221,1219xm7288,1219l7259,1219,7259,1250,7288,1250,7288,1219xm7355,1219l7326,1219,7326,1250,7355,1250,7355,121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72.430023pt;margin-top:60.944038pt;width:8.2pt;height:1.6pt;mso-position-horizontal-relative:page;mso-position-vertical-relative:paragraph;z-index:-15669248;mso-wrap-distance-left:0;mso-wrap-distance-right:0" coordorigin="7449,1219" coordsize="164,32" path="m7477,1219l7449,1219,7449,1250,7477,1250,7477,1219xm7545,1219l7516,1219,7516,1250,7545,1250,7545,1219xm7612,1219l7583,1219,7583,1250,7612,1250,7612,121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85.300018pt;margin-top:60.944038pt;width:8.2pt;height:1.6pt;mso-position-horizontal-relative:page;mso-position-vertical-relative:paragraph;z-index:-15668736;mso-wrap-distance-left:0;mso-wrap-distance-right:0" coordorigin="7706,1219" coordsize="164,32" path="m7735,1219l7706,1219,7706,1250,7735,1250,7735,1219xm7802,1219l7773,1219,7773,1250,7802,1250,7802,1219xm7869,1219l7840,1219,7840,1250,7869,1250,7869,121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98.26001pt;margin-top:53.144062pt;width:30pt;height:12.4pt;mso-position-horizontal-relative:page;mso-position-vertical-relative:paragraph;z-index:-15668224;mso-wrap-distance-left:0;mso-wrap-distance-right:0" coordorigin="7965,1063" coordsize="600,248">
            <v:shape style="position:absolute;left:7965;top:1218;width:164;height:32" coordorigin="7965,1219" coordsize="164,32" path="m7994,1219l7965,1219,7965,1250,7994,1250,7994,1219xm8061,1219l8032,1219,8032,1250,8061,1250,8061,1219xm8128,1219l8100,1219,8100,1250,8128,1250,8128,1219xe" filled="true" fillcolor="#000000" stroked="false">
              <v:path arrowok="t"/>
              <v:fill type="solid"/>
            </v:shape>
            <v:shape style="position:absolute;left:8195;top:1062;width:308;height:248" type="#_x0000_t75" stroked="false">
              <v:imagedata r:id="rId52" o:title=""/>
            </v:shape>
            <v:rect style="position:absolute;left:8536;top:1218;width:29;height:32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5486146</wp:posOffset>
            </wp:positionH>
            <wp:positionV relativeFrom="paragraph">
              <wp:posOffset>673405</wp:posOffset>
            </wp:positionV>
            <wp:extent cx="80456" cy="121443"/>
            <wp:effectExtent l="0" t="0" r="0" b="0"/>
            <wp:wrapTopAndBottom/>
            <wp:docPr id="4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5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1265224</wp:posOffset>
            </wp:positionH>
            <wp:positionV relativeFrom="paragraph">
              <wp:posOffset>1272337</wp:posOffset>
            </wp:positionV>
            <wp:extent cx="657325" cy="126301"/>
            <wp:effectExtent l="0" t="0" r="0" b="0"/>
            <wp:wrapTopAndBottom/>
            <wp:docPr id="5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2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1981454</wp:posOffset>
            </wp:positionH>
            <wp:positionV relativeFrom="paragraph">
              <wp:posOffset>1264717</wp:posOffset>
            </wp:positionV>
            <wp:extent cx="898964" cy="171450"/>
            <wp:effectExtent l="0" t="0" r="0" b="0"/>
            <wp:wrapTopAndBottom/>
            <wp:docPr id="5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96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32.610016pt;margin-top:104.144035pt;width:8.4pt;height:3.85pt;mso-position-horizontal-relative:page;mso-position-vertical-relative:paragraph;z-index:-15666176;mso-wrap-distance-left:0;mso-wrap-distance-right:0" coordorigin="4652,2083" coordsize="168,77" path="m4820,2140l4652,2140,4652,2160,4820,2160,4820,2140xm4820,2083l4652,2083,4652,2102,4820,2102,4820,208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49.050003pt;margin-top:92.624062pt;width:15pt;height:13.95pt;mso-position-horizontal-relative:page;mso-position-vertical-relative:paragraph;z-index:-15665664;mso-wrap-distance-left:0;mso-wrap-distance-right:0" coordorigin="4981,1852" coordsize="300,279">
            <v:shape style="position:absolute;left:4985;top:1852;width:267;height:195" type="#_x0000_t75" stroked="false">
              <v:imagedata r:id="rId56" o:title=""/>
            </v:shape>
            <v:rect style="position:absolute;left:4981;top:2111;width:300;height:20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268.010010pt;margin-top:108.464043pt;width:8.2pt;height:1.6pt;mso-position-horizontal-relative:page;mso-position-vertical-relative:paragraph;z-index:-15665152;mso-wrap-distance-left:0;mso-wrap-distance-right:0" coordorigin="5360,2169" coordsize="164,32" path="m5389,2169l5360,2169,5360,2200,5389,2200,5389,2169xm5456,2169l5427,2169,5427,2200,5456,2200,5456,2169xm5524,2169l5495,2169,5495,2200,5524,2200,5524,216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80.870026pt;margin-top:108.464043pt;width:8.2pt;height:1.6pt;mso-position-horizontal-relative:page;mso-position-vertical-relative:paragraph;z-index:-15664640;mso-wrap-distance-left:0;mso-wrap-distance-right:0" coordorigin="5617,2169" coordsize="164,32" path="m5646,2169l5617,2169,5617,2200,5646,2200,5646,2169xm5713,2169l5685,2169,5685,2200,5713,2200,5713,2169xm5781,2169l5752,2169,5752,2200,5781,2200,5781,216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93.710022pt;margin-top:108.464043pt;width:8.2pt;height:1.6pt;mso-position-horizontal-relative:page;mso-position-vertical-relative:paragraph;z-index:-15664128;mso-wrap-distance-left:0;mso-wrap-distance-right:0" coordorigin="5874,2169" coordsize="164,32" path="m5903,2169l5874,2169,5874,2200,5903,2200,5903,2169xm5970,2169l5941,2169,5941,2200,5970,2200,5970,2169xm6037,2169l6009,2169,6009,2200,6037,2200,6037,216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06.550018pt;margin-top:108.464043pt;width:8.2pt;height:1.6pt;mso-position-horizontal-relative:page;mso-position-vertical-relative:paragraph;z-index:-15663616;mso-wrap-distance-left:0;mso-wrap-distance-right:0" coordorigin="6131,2169" coordsize="164,32" path="m6160,2169l6131,2169,6131,2200,6160,2200,6160,2169xm6227,2169l6198,2169,6198,2200,6227,2200,6227,2169xm6294,2169l6265,2169,6265,2200,6294,2200,6294,216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19.510010pt;margin-top:108.464043pt;width:8.2pt;height:1.6pt;mso-position-horizontal-relative:page;mso-position-vertical-relative:paragraph;z-index:-15663104;mso-wrap-distance-left:0;mso-wrap-distance-right:0" coordorigin="6390,2169" coordsize="164,32" path="m6419,2169l6390,2169,6390,2200,6419,2200,6419,2169xm6486,2169l6457,2169,6457,2200,6486,2200,6486,2169xm6553,2169l6525,2169,6525,2200,6553,2200,6553,216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32.350006pt;margin-top:108.464043pt;width:8.2pt;height:1.6pt;mso-position-horizontal-relative:page;mso-position-vertical-relative:paragraph;z-index:-15662592;mso-wrap-distance-left:0;mso-wrap-distance-right:0" coordorigin="6647,2169" coordsize="164,32" path="m6676,2169l6647,2169,6647,2200,6676,2200,6676,2169xm6743,2169l6714,2169,6714,2200,6743,2200,6743,2169xm6810,2169l6781,2169,6781,2200,6810,2200,6810,216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45.190002pt;margin-top:108.464043pt;width:8.2pt;height:1.6pt;mso-position-horizontal-relative:page;mso-position-vertical-relative:paragraph;z-index:-15662080;mso-wrap-distance-left:0;mso-wrap-distance-right:0" coordorigin="6904,2169" coordsize="164,32" path="m6933,2169l6904,2169,6904,2200,6933,2200,6933,2169xm7000,2169l6971,2169,6971,2200,7000,2200,7000,2169xm7067,2169l7038,2169,7038,2200,7067,2200,7067,216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58.030029pt;margin-top:108.464043pt;width:8.2pt;height:1.6pt;mso-position-horizontal-relative:page;mso-position-vertical-relative:paragraph;z-index:-15661568;mso-wrap-distance-left:0;mso-wrap-distance-right:0" coordorigin="7161,2169" coordsize="164,32" path="m7189,2169l7161,2169,7161,2200,7189,2200,7189,2169xm7257,2169l7228,2169,7228,2200,7257,2200,7257,2169xm7324,2169l7295,2169,7295,2200,7324,2200,7324,216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70.870026pt;margin-top:108.464043pt;width:8.2pt;height:1.6pt;mso-position-horizontal-relative:page;mso-position-vertical-relative:paragraph;z-index:-15661056;mso-wrap-distance-left:0;mso-wrap-distance-right:0" coordorigin="7417,2169" coordsize="164,32" path="m7446,2169l7417,2169,7417,2200,7446,2200,7446,2169xm7513,2169l7485,2169,7485,2200,7513,2200,7513,2169xm7581,2169l7552,2169,7552,2200,7581,2200,7581,216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83.740021pt;margin-top:108.464043pt;width:8.2pt;height:1.6pt;mso-position-horizontal-relative:page;mso-position-vertical-relative:paragraph;z-index:-15660544;mso-wrap-distance-left:0;mso-wrap-distance-right:0" coordorigin="7675,2169" coordsize="164,32" path="m7704,2169l7675,2169,7675,2200,7704,2200,7704,2169xm7771,2169l7742,2169,7742,2200,7771,2200,7771,2169xm7838,2169l7809,2169,7809,2200,7838,2200,7838,216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96.700012pt;margin-top:108.464043pt;width:8.2pt;height:1.6pt;mso-position-horizontal-relative:page;mso-position-vertical-relative:paragraph;z-index:-15660032;mso-wrap-distance-left:0;mso-wrap-distance-right:0" coordorigin="7934,2169" coordsize="164,32" path="m7963,2169l7934,2169,7934,2200,7963,2200,7963,2169xm8030,2169l8001,2169,8001,2200,8030,2200,8030,2169xm8097,2169l8068,2169,8068,2200,8097,2200,8097,216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09.540009pt;margin-top:108.464043pt;width:8.2pt;height:1.6pt;mso-position-horizontal-relative:page;mso-position-vertical-relative:paragraph;z-index:-15659520;mso-wrap-distance-left:0;mso-wrap-distance-right:0" coordorigin="8191,2169" coordsize="164,32" path="m8220,2169l8191,2169,8191,2200,8220,2200,8220,2169xm8287,2169l8258,2169,8258,2200,8287,2200,8287,2169xm8354,2169l8325,2169,8325,2200,8354,2200,8354,216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22.380005pt;margin-top:108.464043pt;width:8.2pt;height:1.6pt;mso-position-horizontal-relative:page;mso-position-vertical-relative:paragraph;z-index:-15659008;mso-wrap-distance-left:0;mso-wrap-distance-right:0" coordorigin="8448,2169" coordsize="164,32" path="m8476,2169l8448,2169,8448,2200,8476,2200,8476,2169xm8544,2169l8515,2169,8515,2200,8544,2200,8544,2169xm8611,2169l8582,2169,8582,2200,8611,2200,8611,216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434.26001pt;margin-top:108.464066pt;width:1.44pt;height:1.56pt;mso-position-horizontal-relative:page;mso-position-vertical-relative:paragraph;z-index:-1565849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439.420013pt;margin-top:100.664063pt;width:23.4pt;height:12.4pt;mso-position-horizontal-relative:page;mso-position-vertical-relative:paragraph;z-index:-15657984;mso-wrap-distance-left:0;mso-wrap-distance-right:0" coordorigin="8788,2013" coordsize="468,248">
            <v:rect style="position:absolute;left:8788;top:2169;width:29;height:32" filled="true" fillcolor="#000000" stroked="false">
              <v:fill type="solid"/>
            </v:rect>
            <v:shape style="position:absolute;left:8886;top:2013;width:308;height:248" type="#_x0000_t75" stroked="false">
              <v:imagedata r:id="rId52" o:title=""/>
            </v:shape>
            <v:rect style="position:absolute;left:9227;top:2169;width:29;height:32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5925058</wp:posOffset>
            </wp:positionH>
            <wp:positionV relativeFrom="paragraph">
              <wp:posOffset>1276909</wp:posOffset>
            </wp:positionV>
            <wp:extent cx="78938" cy="121443"/>
            <wp:effectExtent l="0" t="0" r="0" b="0"/>
            <wp:wrapTopAndBottom/>
            <wp:docPr id="5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3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1265224</wp:posOffset>
            </wp:positionH>
            <wp:positionV relativeFrom="paragraph">
              <wp:posOffset>273697</wp:posOffset>
            </wp:positionV>
            <wp:extent cx="954022" cy="171450"/>
            <wp:effectExtent l="0" t="0" r="0" b="0"/>
            <wp:wrapTopAndBottom/>
            <wp:docPr id="5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02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0.530014pt;margin-top:26.110954pt;width:8.4pt;height:3.85pt;mso-position-horizontal-relative:page;mso-position-vertical-relative:paragraph;z-index:-15656448;mso-wrap-distance-left:0;mso-wrap-distance-right:0" coordorigin="3611,522" coordsize="168,77" path="m3779,580l3611,580,3611,599,3779,599,3779,580xm3779,522l3611,522,3611,541,3779,541,3779,52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2477135</wp:posOffset>
            </wp:positionH>
            <wp:positionV relativeFrom="paragraph">
              <wp:posOffset>285889</wp:posOffset>
            </wp:positionV>
            <wp:extent cx="69176" cy="121443"/>
            <wp:effectExtent l="0" t="0" r="0" b="0"/>
            <wp:wrapTopAndBottom/>
            <wp:docPr id="5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08.850006pt;margin-top:27.430956pt;width:8.4pt;height:.96002pt;mso-position-horizontal-relative:page;mso-position-vertical-relative:paragraph;z-index:-1565542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224.449997pt;margin-top:14.590977pt;width:15pt;height:13.95pt;mso-position-horizontal-relative:page;mso-position-vertical-relative:paragraph;z-index:-15654912;mso-wrap-distance-left:0;mso-wrap-distance-right:0" coordorigin="4489,292" coordsize="300,279">
            <v:shape style="position:absolute;left:4493;top:291;width:267;height:195" type="#_x0000_t75" stroked="false">
              <v:imagedata r:id="rId60" o:title=""/>
            </v:shape>
            <v:rect style="position:absolute;left:4489;top:551;width:300;height:20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243.410019pt;margin-top:30.430956pt;width:8.2pt;height:1.6pt;mso-position-horizontal-relative:page;mso-position-vertical-relative:paragraph;z-index:-15654400;mso-wrap-distance-left:0;mso-wrap-distance-right:0" coordorigin="4868,609" coordsize="164,32" path="m4897,609l4868,609,4868,640,4897,640,4897,609xm4964,609l4935,609,4935,640,4964,640,4964,609xm5031,609l5003,609,5003,640,5031,640,5031,6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56.25pt;margin-top:30.430956pt;width:8.2pt;height:1.6pt;mso-position-horizontal-relative:page;mso-position-vertical-relative:paragraph;z-index:-15653888;mso-wrap-distance-left:0;mso-wrap-distance-right:0" coordorigin="5125,609" coordsize="164,32" path="m5154,609l5125,609,5125,640,5154,640,5154,609xm5221,609l5192,609,5192,640,5221,640,5221,609xm5288,609l5259,609,5259,640,5288,640,5288,6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69.090027pt;margin-top:30.430956pt;width:8.2pt;height:1.6pt;mso-position-horizontal-relative:page;mso-position-vertical-relative:paragraph;z-index:-15653376;mso-wrap-distance-left:0;mso-wrap-distance-right:0" coordorigin="5382,609" coordsize="164,32" path="m5411,609l5382,609,5382,640,5411,640,5411,609xm5478,609l5449,609,5449,640,5478,640,5478,609xm5545,609l5517,609,5517,640,5545,640,5545,6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81.950012pt;margin-top:30.430956pt;width:8.2pt;height:1.6pt;mso-position-horizontal-relative:page;mso-position-vertical-relative:paragraph;z-index:-15652864;mso-wrap-distance-left:0;mso-wrap-distance-right:0" coordorigin="5639,609" coordsize="164,32" path="m5668,609l5639,609,5639,640,5668,640,5668,609xm5735,609l5706,609,5706,640,5735,640,5735,609xm5802,609l5773,609,5773,640,5802,640,5802,6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94.790009pt;margin-top:30.430956pt;width:8.2pt;height:1.6pt;mso-position-horizontal-relative:page;mso-position-vertical-relative:paragraph;z-index:-15652352;mso-wrap-distance-left:0;mso-wrap-distance-right:0" coordorigin="5896,609" coordsize="164,32" path="m5925,609l5896,609,5896,640,5925,640,5925,609xm5992,609l5963,609,5963,640,5992,640,5992,609xm6059,609l6030,609,6030,640,6059,640,6059,6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07.75pt;margin-top:30.430956pt;width:8.2pt;height:1.6pt;mso-position-horizontal-relative:page;mso-position-vertical-relative:paragraph;z-index:-15651840;mso-wrap-distance-left:0;mso-wrap-distance-right:0" coordorigin="6155,609" coordsize="164,32" path="m6184,609l6155,609,6155,640,6184,640,6184,609xm6251,609l6222,609,6222,640,6251,640,6251,609xm6318,609l6289,609,6289,640,6318,640,6318,6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20.590027pt;margin-top:30.430956pt;width:8.2pt;height:1.6pt;mso-position-horizontal-relative:page;mso-position-vertical-relative:paragraph;z-index:-15651328;mso-wrap-distance-left:0;mso-wrap-distance-right:0" coordorigin="6412,609" coordsize="164,32" path="m6441,609l6412,609,6412,640,6441,640,6441,609xm6508,609l6479,609,6479,640,6508,640,6508,609xm6575,609l6546,609,6546,640,6575,640,6575,6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33.430023pt;margin-top:30.430956pt;width:8.2pt;height:1.6pt;mso-position-horizontal-relative:page;mso-position-vertical-relative:paragraph;z-index:-15650816;mso-wrap-distance-left:0;mso-wrap-distance-right:0" coordorigin="6669,609" coordsize="164,32" path="m6697,609l6669,609,6669,640,6697,640,6697,609xm6765,609l6736,609,6736,640,6765,640,6765,609xm6832,609l6803,609,6803,640,6832,640,6832,6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46.27002pt;margin-top:30.430956pt;width:8.2pt;height:1.6pt;mso-position-horizontal-relative:page;mso-position-vertical-relative:paragraph;z-index:-15650304;mso-wrap-distance-left:0;mso-wrap-distance-right:0" coordorigin="6925,609" coordsize="164,32" path="m6954,609l6925,609,6925,640,6954,640,6954,609xm7021,609l6993,609,6993,640,7021,640,7021,609xm7089,609l7060,609,7060,640,7089,640,7089,6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59.110016pt;margin-top:30.430956pt;width:8.2pt;height:1.6pt;mso-position-horizontal-relative:page;mso-position-vertical-relative:paragraph;z-index:-15649792;mso-wrap-distance-left:0;mso-wrap-distance-right:0" coordorigin="7182,609" coordsize="164,32" path="m7211,609l7182,609,7182,640,7211,640,7211,609xm7278,609l7249,609,7249,640,7278,640,7278,609xm7345,609l7317,609,7317,640,7345,640,7345,6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371.109985pt;margin-top:30.430977pt;width:1.44pt;height:1.56pt;mso-position-horizontal-relative:page;mso-position-vertical-relative:paragraph;z-index:-15649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/>
        <w:ind w:left="465" w:right="1255"/>
        <w:jc w:val="both"/>
      </w:pP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3164458</wp:posOffset>
            </wp:positionH>
            <wp:positionV relativeFrom="paragraph">
              <wp:posOffset>-938490</wp:posOffset>
            </wp:positionV>
            <wp:extent cx="175800" cy="123825"/>
            <wp:effectExtent l="0" t="0" r="0" b="0"/>
            <wp:wrapNone/>
            <wp:docPr id="6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2852039</wp:posOffset>
            </wp:positionH>
            <wp:positionV relativeFrom="paragraph">
              <wp:posOffset>-328890</wp:posOffset>
            </wp:positionV>
            <wp:extent cx="175800" cy="123825"/>
            <wp:effectExtent l="0" t="0" r="0" b="0"/>
            <wp:wrapNone/>
            <wp:docPr id="6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6.269989pt;margin-top:-37.896889pt;width:23.35pt;height:12.4pt;mso-position-horizontal-relative:page;mso-position-vertical-relative:paragraph;z-index:15817728" coordorigin="7525,-758" coordsize="467,248">
            <v:rect style="position:absolute;left:7525;top:-602;width:29;height:32" filled="true" fillcolor="#000000" stroked="false">
              <v:fill type="solid"/>
            </v:rect>
            <v:shape style="position:absolute;left:7621;top:-758;width:308;height:248" type="#_x0000_t75" stroked="false">
              <v:imagedata r:id="rId62" o:title=""/>
            </v:shape>
            <v:rect style="position:absolute;left:7962;top:-602;width:29;height:32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5129529</wp:posOffset>
            </wp:positionH>
            <wp:positionV relativeFrom="paragraph">
              <wp:posOffset>-482814</wp:posOffset>
            </wp:positionV>
            <wp:extent cx="170021" cy="121443"/>
            <wp:effectExtent l="0" t="0" r="0" b="0"/>
            <wp:wrapNone/>
            <wp:docPr id="65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where</w:t>
      </w:r>
      <w:r>
        <w:rPr>
          <w:i/>
        </w:rPr>
        <w:t>r, t </w:t>
      </w:r>
      <w:r>
        <w:rPr/>
        <w:t>and </w:t>
      </w:r>
      <w:r>
        <w:rPr>
          <w:i/>
        </w:rPr>
        <w:t>ρ</w:t>
      </w:r>
      <w:r>
        <w:rPr>
          <w:i/>
          <w:vertAlign w:val="subscript"/>
        </w:rPr>
        <w:t>T</w:t>
      </w:r>
      <w:r>
        <w:rPr>
          <w:i/>
          <w:vertAlign w:val="baseline"/>
        </w:rPr>
        <w:t> </w:t>
      </w:r>
      <w:r>
        <w:rPr>
          <w:vertAlign w:val="baseline"/>
        </w:rPr>
        <w:t>represents the radius of the tablet, thickness of the tablet and true</w:t>
      </w:r>
      <w:r>
        <w:rPr>
          <w:spacing w:val="1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-6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powder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BodyText"/>
        <w:spacing w:line="480" w:lineRule="auto"/>
        <w:ind w:left="465" w:right="1251"/>
        <w:jc w:val="both"/>
      </w:pP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interpreted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compressibility,</w:t>
      </w:r>
      <w:r>
        <w:rPr>
          <w:spacing w:val="1"/>
        </w:rPr>
        <w:t> </w:t>
      </w:r>
      <w:r>
        <w:rPr/>
        <w:t>tabletability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compactability</w:t>
      </w:r>
      <w:r>
        <w:rPr>
          <w:spacing w:val="1"/>
        </w:rPr>
        <w:t> </w:t>
      </w:r>
      <w:r>
        <w:rPr/>
        <w:t>(CTC)</w:t>
      </w:r>
      <w:r>
        <w:rPr>
          <w:spacing w:val="1"/>
        </w:rPr>
        <w:t> </w:t>
      </w:r>
      <w:r>
        <w:rPr/>
        <w:t>profile,</w:t>
      </w:r>
      <w:r>
        <w:rPr>
          <w:spacing w:val="1"/>
        </w:rPr>
        <w:t> </w:t>
      </w:r>
      <w:r>
        <w:rPr/>
        <w:t>Heckel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Kawakita</w:t>
      </w:r>
      <w:r>
        <w:rPr>
          <w:spacing w:val="1"/>
        </w:rPr>
        <w:t> </w:t>
      </w:r>
      <w:r>
        <w:rPr/>
        <w:t>plot.</w:t>
      </w:r>
      <w:r>
        <w:rPr>
          <w:spacing w:val="1"/>
        </w:rPr>
        <w:t> </w:t>
      </w:r>
      <w:r>
        <w:rPr/>
        <w:t>Tabletability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represented by the plot of tensile strength against compaction pressure (Joiris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1998). Compressibility is represented by the plot of tablet porosity against compaction</w:t>
      </w:r>
      <w:r>
        <w:rPr>
          <w:spacing w:val="1"/>
        </w:rPr>
        <w:t> </w:t>
      </w:r>
      <w:r>
        <w:rPr/>
        <w:t>pressure (Joiris </w:t>
      </w:r>
      <w:r>
        <w:rPr>
          <w:i/>
        </w:rPr>
        <w:t>et al.</w:t>
      </w:r>
      <w:r>
        <w:rPr/>
        <w:t>, 1998). Compactibility is represented by the plot of tensile strength</w:t>
      </w:r>
      <w:r>
        <w:rPr>
          <w:spacing w:val="-57"/>
        </w:rPr>
        <w:t> </w:t>
      </w:r>
      <w:r>
        <w:rPr/>
        <w:t>against</w:t>
      </w:r>
      <w:r>
        <w:rPr>
          <w:spacing w:val="1"/>
        </w:rPr>
        <w:t> </w:t>
      </w:r>
      <w:r>
        <w:rPr/>
        <w:t>porosity</w:t>
      </w:r>
      <w:r>
        <w:rPr>
          <w:spacing w:val="-5"/>
        </w:rPr>
        <w:t> </w:t>
      </w:r>
      <w:r>
        <w:rPr/>
        <w:t>(Joiris</w:t>
      </w:r>
      <w:r>
        <w:rPr>
          <w:spacing w:val="-1"/>
        </w:rPr>
        <w:t> </w:t>
      </w:r>
      <w:r>
        <w:rPr>
          <w:i/>
        </w:rPr>
        <w:t>et al.</w:t>
      </w:r>
      <w:r>
        <w:rPr/>
        <w:t>, 1998).</w:t>
      </w:r>
    </w:p>
    <w:p>
      <w:pPr>
        <w:pStyle w:val="BodyText"/>
        <w:spacing w:line="274" w:lineRule="exact"/>
        <w:ind w:left="465"/>
        <w:jc w:val="both"/>
      </w:pPr>
      <w:r>
        <w:rPr/>
        <w:drawing>
          <wp:anchor distT="0" distB="0" distL="0" distR="0" allowOverlap="1" layoutInCell="1" locked="0" behindDoc="1" simplePos="0" relativeHeight="482494464">
            <wp:simplePos x="0" y="0"/>
            <wp:positionH relativeFrom="page">
              <wp:posOffset>1729994</wp:posOffset>
            </wp:positionH>
            <wp:positionV relativeFrom="paragraph">
              <wp:posOffset>377535</wp:posOffset>
            </wp:positionV>
            <wp:extent cx="69176" cy="121443"/>
            <wp:effectExtent l="0" t="0" r="0" b="0"/>
            <wp:wrapNone/>
            <wp:docPr id="67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Heckel</w:t>
      </w:r>
      <w:r>
        <w:rPr>
          <w:spacing w:val="-2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model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powder</w:t>
      </w:r>
      <w:r>
        <w:rPr>
          <w:spacing w:val="-1"/>
        </w:rPr>
        <w:t> </w:t>
      </w:r>
      <w:r>
        <w:rPr/>
        <w:t>compression,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by:</w:t>
      </w:r>
    </w:p>
    <w:p>
      <w:pPr>
        <w:pStyle w:val="BodyText"/>
        <w:spacing w:before="7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1266748</wp:posOffset>
            </wp:positionH>
            <wp:positionV relativeFrom="paragraph">
              <wp:posOffset>334427</wp:posOffset>
            </wp:positionV>
            <wp:extent cx="134345" cy="123825"/>
            <wp:effectExtent l="0" t="0" r="0" b="0"/>
            <wp:wrapTopAndBottom/>
            <wp:docPr id="6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4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4.379997pt;margin-top:18.412851pt;width:49.1pt;height:27.75pt;mso-position-horizontal-relative:page;mso-position-vertical-relative:paragraph;z-index:-15648256;mso-wrap-distance-left:0;mso-wrap-distance-right:0" coordorigin="2288,368" coordsize="982,555">
            <v:shape style="position:absolute;left:2287;top:368;width:106;height:555" coordorigin="2288,368" coordsize="106,555" path="m2386,368l2332,437,2304,507,2289,594,2288,644,2289,696,2304,784,2332,854,2367,904,2386,923,2393,913,2377,895,2363,872,2336,815,2319,739,2314,647,2315,598,2326,513,2349,446,2393,378,2386,368xe" filled="true" fillcolor="#000000" stroked="false">
              <v:path arrowok="t"/>
              <v:fill type="solid"/>
            </v:shape>
            <v:shape style="position:absolute;left:2426;top:721;width:108;height:190" type="#_x0000_t75" stroked="false">
              <v:imagedata r:id="rId65" o:title=""/>
            </v:shape>
            <v:shape style="position:absolute;left:2959;top:723;width:168;height:188" type="#_x0000_t75" stroked="false">
              <v:imagedata r:id="rId66" o:title=""/>
            </v:shape>
            <v:shape style="position:absolute;left:2402;top:368;width:867;height:555" coordorigin="2403,368" coordsize="867,555" path="m3154,635l2403,635,2403,654,3154,654,3154,635xm3269,644l3267,594,3262,549,3253,507,3240,469,3225,437,3208,410,3190,387,3171,368,3164,378,3179,396,3194,419,3208,446,3221,476,3231,513,3237,553,3241,598,3243,647,3241,695,3237,739,3231,779,3221,815,3208,845,3194,872,3179,895,3164,913,3171,923,3190,904,3208,881,3225,854,3240,822,3253,784,3262,742,3267,696,3269,644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169.610001pt;margin-top:30.292845pt;width:8.4pt;height:3.85pt;mso-position-horizontal-relative:page;mso-position-vertical-relative:paragraph;z-index:-15647744;mso-wrap-distance-left:0;mso-wrap-distance-right:0" coordorigin="3392,606" coordsize="168,77" path="m3560,663l3392,663,3392,683,3560,683,3560,663xm3560,606l3392,606,3392,625,3560,625,3560,606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2327782</wp:posOffset>
            </wp:positionH>
            <wp:positionV relativeFrom="paragraph">
              <wp:posOffset>340523</wp:posOffset>
            </wp:positionV>
            <wp:extent cx="222860" cy="119062"/>
            <wp:effectExtent l="0" t="0" r="0" b="0"/>
            <wp:wrapTopAndBottom/>
            <wp:docPr id="7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8.970016pt;margin-top:27.652843pt;width:8.4pt;height:8.9pt;mso-position-horizontal-relative:page;mso-position-vertical-relative:paragraph;z-index:-15646720;mso-wrap-distance-left:0;mso-wrap-distance-right:0" coordorigin="4179,553" coordsize="168,178" path="m4347,633l4273,633,4273,553,4254,553,4254,633,4179,633,4179,651,4254,651,4254,731,4273,731,4273,651,4347,651,4347,63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2810891</wp:posOffset>
            </wp:positionH>
            <wp:positionV relativeFrom="paragraph">
              <wp:posOffset>338999</wp:posOffset>
            </wp:positionV>
            <wp:extent cx="106071" cy="121443"/>
            <wp:effectExtent l="0" t="0" r="0" b="0"/>
            <wp:wrapTopAndBottom/>
            <wp:docPr id="7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34.530014pt;margin-top:34.612843pt;width:8.2pt;height:1.6pt;mso-position-horizontal-relative:page;mso-position-vertical-relative:paragraph;z-index:-15645696;mso-wrap-distance-left:0;mso-wrap-distance-right:0" coordorigin="4691,692" coordsize="164,32" path="m4719,692l4691,692,4691,723,4719,723,4719,692xm4787,692l4758,692,4758,723,4787,723,4787,692xm4854,692l4825,692,4825,723,4854,723,4854,69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47.37001pt;margin-top:34.612843pt;width:8.2pt;height:1.6pt;mso-position-horizontal-relative:page;mso-position-vertical-relative:paragraph;z-index:-15645184;mso-wrap-distance-left:0;mso-wrap-distance-right:0" coordorigin="4947,692" coordsize="164,32" path="m4976,692l4947,692,4947,723,4976,723,4976,692xm5043,692l5015,692,5015,723,5043,723,5043,692xm5111,692l5082,692,5082,723,5111,723,5111,69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60.209015pt;margin-top:34.612843pt;width:8.2pt;height:1.6pt;mso-position-horizontal-relative:page;mso-position-vertical-relative:paragraph;z-index:-15644672;mso-wrap-distance-left:0;mso-wrap-distance-right:0" coordorigin="5204,692" coordsize="164,32" path="m5233,692l5204,692,5204,723,5233,723,5233,692xm5300,692l5271,692,5271,723,5300,723,5300,692xm5367,692l5339,692,5339,723,5367,723,5367,69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73.050018pt;margin-top:34.612843pt;width:8.2pt;height:1.6pt;mso-position-horizontal-relative:page;mso-position-vertical-relative:paragraph;z-index:-15644160;mso-wrap-distance-left:0;mso-wrap-distance-right:0" coordorigin="5461,692" coordsize="164,32" path="m5490,692l5461,692,5461,723,5490,723,5490,692xm5557,692l5529,692,5529,723,5557,723,5557,692xm5625,692l5596,692,5596,723,5625,723,5625,69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86.029999pt;margin-top:34.612843pt;width:8.2pt;height:1.6pt;mso-position-horizontal-relative:page;mso-position-vertical-relative:paragraph;z-index:-15643648;mso-wrap-distance-left:0;mso-wrap-distance-right:0" coordorigin="5721,692" coordsize="164,32" path="m5749,692l5721,692,5721,723,5749,723,5749,692xm5817,692l5788,692,5788,723,5817,723,5817,692xm5884,692l5855,692,5855,723,5884,723,5884,69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98.870026pt;margin-top:34.612843pt;width:8.2pt;height:1.6pt;mso-position-horizontal-relative:page;mso-position-vertical-relative:paragraph;z-index:-15643136;mso-wrap-distance-left:0;mso-wrap-distance-right:0" coordorigin="5977,692" coordsize="164,32" path="m6006,692l5977,692,5977,723,6006,723,6006,692xm6073,692l6045,692,6045,723,6073,723,6073,692xm6141,692l6112,692,6112,723,6141,723,6141,69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11.710022pt;margin-top:34.612843pt;width:8.2pt;height:1.6pt;mso-position-horizontal-relative:page;mso-position-vertical-relative:paragraph;z-index:-15642624;mso-wrap-distance-left:0;mso-wrap-distance-right:0" coordorigin="6234,692" coordsize="164,32" path="m6263,692l6234,692,6234,723,6263,723,6263,692xm6330,692l6301,692,6301,723,6330,723,6330,692xm6397,692l6369,692,6369,723,6397,723,6397,69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24.549988pt;margin-top:26.812851pt;width:30pt;height:12.4pt;mso-position-horizontal-relative:page;mso-position-vertical-relative:paragraph;z-index:-15642112;mso-wrap-distance-left:0;mso-wrap-distance-right:0" coordorigin="6491,536" coordsize="600,248">
            <v:shape style="position:absolute;left:6491;top:692;width:164;height:32" coordorigin="6491,692" coordsize="164,32" path="m6520,692l6491,692,6491,723,6520,723,6520,692xm6587,692l6558,692,6558,723,6587,723,6587,692xm6654,692l6625,692,6625,723,6654,723,6654,692xe" filled="true" fillcolor="#000000" stroked="false">
              <v:path arrowok="t"/>
              <v:fill type="solid"/>
            </v:shape>
            <v:shape style="position:absolute;left:6721;top:536;width:308;height:248" type="#_x0000_t75" stroked="false">
              <v:imagedata r:id="rId52" o:title=""/>
            </v:shape>
            <v:rect style="position:absolute;left:7062;top:692;width:29;height:32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4557648</wp:posOffset>
            </wp:positionH>
            <wp:positionV relativeFrom="paragraph">
              <wp:posOffset>338999</wp:posOffset>
            </wp:positionV>
            <wp:extent cx="169098" cy="121443"/>
            <wp:effectExtent l="0" t="0" r="0" b="0"/>
            <wp:wrapTopAndBottom/>
            <wp:docPr id="7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9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80" w:lineRule="auto"/>
        <w:ind w:left="465" w:right="1259"/>
        <w:jc w:val="both"/>
      </w:pPr>
      <w:r>
        <w:rPr/>
        <w:pict>
          <v:rect style="position:absolute;margin-left:135.139999pt;margin-top:-21.196898pt;width:8.4pt;height:.96002pt;mso-position-horizontal-relative:page;mso-position-vertical-relative:paragraph;z-index:-20821504" filled="true" fillcolor="#000000" stroked="false">
            <v:fill type="solid"/>
            <w10:wrap type="none"/>
          </v:rect>
        </w:pict>
      </w:r>
      <w:r>
        <w:rPr/>
        <w:t>where</w:t>
      </w:r>
      <w:r>
        <w:rPr>
          <w:i/>
        </w:rPr>
        <w:t>D </w:t>
      </w:r>
      <w:r>
        <w:rPr/>
        <w:t>is the relative compact density at pressure </w:t>
      </w:r>
      <w:r>
        <w:rPr>
          <w:i/>
        </w:rPr>
        <w:t>P</w:t>
      </w:r>
      <w:r>
        <w:rPr/>
        <w:t>, </w:t>
      </w:r>
      <w:r>
        <w:rPr>
          <w:i/>
        </w:rPr>
        <w:t>K </w:t>
      </w:r>
      <w:r>
        <w:rPr/>
        <w:t>is the slope of the linear portion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plot and </w:t>
      </w:r>
      <w:r>
        <w:rPr>
          <w:i/>
        </w:rPr>
        <w:t>A</w:t>
      </w:r>
      <w:r>
        <w:rPr>
          <w:i/>
          <w:spacing w:val="-1"/>
        </w:rPr>
        <w:t> </w:t>
      </w:r>
      <w:r>
        <w:rPr/>
        <w:t>the intercept.</w:t>
      </w:r>
    </w:p>
    <w:p>
      <w:pPr>
        <w:spacing w:after="0" w:line="480" w:lineRule="auto"/>
        <w:jc w:val="both"/>
        <w:sectPr>
          <w:pgSz w:w="11910" w:h="16840"/>
          <w:pgMar w:header="0" w:footer="987" w:top="1280" w:bottom="1260" w:left="1520" w:right="160"/>
        </w:sectPr>
      </w:pPr>
    </w:p>
    <w:p>
      <w:pPr>
        <w:pStyle w:val="BodyText"/>
        <w:spacing w:line="480" w:lineRule="auto" w:before="72" w:after="22"/>
        <w:ind w:left="465" w:right="1254"/>
        <w:jc w:val="both"/>
      </w:pP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1265224</wp:posOffset>
            </wp:positionH>
            <wp:positionV relativeFrom="paragraph">
              <wp:posOffset>1125513</wp:posOffset>
            </wp:positionV>
            <wp:extent cx="70218" cy="80962"/>
            <wp:effectExtent l="0" t="0" r="0" b="0"/>
            <wp:wrapTopAndBottom/>
            <wp:docPr id="7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1659889</wp:posOffset>
            </wp:positionH>
            <wp:positionV relativeFrom="paragraph">
              <wp:posOffset>1125513</wp:posOffset>
            </wp:positionV>
            <wp:extent cx="70269" cy="80962"/>
            <wp:effectExtent l="0" t="0" r="0" b="0"/>
            <wp:wrapTopAndBottom/>
            <wp:docPr id="7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4.380005pt;margin-top:94.703102pt;width:8.4pt;height:8.9pt;mso-position-horizontal-relative:page;mso-position-vertical-relative:paragraph;z-index:-15636480;mso-wrap-distance-left:0;mso-wrap-distance-right:0" coordorigin="2888,1894" coordsize="168,178" path="m3056,1974l2981,1974,2981,1894,2962,1894,2962,1974,2888,1974,2888,1994,2962,1994,2962,2072,2981,2072,2981,1994,3056,1994,3056,197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64.059998pt;margin-top:88.743134pt;width:4.25pt;height:6.25pt;mso-position-horizontal-relative:page;mso-position-vertical-relative:paragraph;z-index:-15635968;mso-wrap-distance-left:0;mso-wrap-distance-right:0" coordorigin="3281,1775" coordsize="85,125" path="m3366,1892l3289,1892,3289,1900,3366,1900,3366,1892xm3344,1890l3308,1890,3306,1892,3347,1892,3344,1890xm3339,1888l3313,1888,3313,1890,3342,1890,3339,1888xm3337,1799l3315,1799,3318,1801,3318,1883,3315,1883,3315,1888,3337,1888,3337,1799xm3337,1775l3330,1775,3315,1784,3306,1789,3299,1792,3291,1796,3281,1801,3284,1804,3284,1806,3287,1808,3287,1811,3294,1806,3303,1801,3306,1799,3337,1799,3337,177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1271269</wp:posOffset>
            </wp:positionH>
            <wp:positionV relativeFrom="paragraph">
              <wp:posOffset>1320585</wp:posOffset>
            </wp:positionV>
            <wp:extent cx="65759" cy="82581"/>
            <wp:effectExtent l="0" t="0" r="0" b="0"/>
            <wp:wrapNone/>
            <wp:docPr id="8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9.264pt;margin-top:98.823151pt;width:6.72pt;height:.95999pt;mso-position-horizontal-relative:page;mso-position-vertical-relative:paragraph;z-index:15837184" filled="true" fillcolor="#000000" stroked="false">
            <v:fill type="solid"/>
            <w10:wrap type="none"/>
          </v:rect>
        </w:pict>
      </w:r>
      <w:r>
        <w:rPr/>
        <w:pict>
          <v:shape style="position:absolute;margin-left:114.020004pt;margin-top:97.383102pt;width:8.4pt;height:3.85pt;mso-position-horizontal-relative:page;mso-position-vertical-relative:paragraph;z-index:15837696" coordorigin="2280,1948" coordsize="168,77" path="m2448,2005l2280,2005,2280,2024,2448,2024,2448,2005xm2448,1948l2280,1948,2280,1967,2448,1967,2448,194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1664461</wp:posOffset>
            </wp:positionH>
            <wp:positionV relativeFrom="paragraph">
              <wp:posOffset>1338873</wp:posOffset>
            </wp:positionV>
            <wp:extent cx="68579" cy="64007"/>
            <wp:effectExtent l="0" t="0" r="0" b="0"/>
            <wp:wrapNone/>
            <wp:docPr id="8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30.339996pt;margin-top:98.823151pt;width:6.72pt;height:.95999pt;mso-position-horizontal-relative:page;mso-position-vertical-relative:paragraph;z-index:15838720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2037842</wp:posOffset>
            </wp:positionH>
            <wp:positionV relativeFrom="paragraph">
              <wp:posOffset>1317537</wp:posOffset>
            </wp:positionV>
            <wp:extent cx="141216" cy="85725"/>
            <wp:effectExtent l="0" t="0" r="0" b="0"/>
            <wp:wrapNone/>
            <wp:docPr id="8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1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59.860001pt;margin-top:98.823151pt;width:12.504pt;height:.95999pt;mso-position-horizontal-relative:page;mso-position-vertical-relative:paragraph;z-index:15839744" filled="true" fillcolor="#000000" stroked="false">
            <v:fill type="solid"/>
            <w10:wrap type="none"/>
          </v:rect>
        </w:pict>
      </w:r>
      <w:r>
        <w:rPr/>
        <w:pict>
          <v:shape style="position:absolute;margin-left:176.450012pt;margin-top:101.703102pt;width:8.2pt;height:1.6pt;mso-position-horizontal-relative:page;mso-position-vertical-relative:paragraph;z-index:15840256" coordorigin="3529,2034" coordsize="164,32" path="m3558,2034l3529,2034,3529,2065,3558,2065,3558,2034xm3625,2034l3596,2034,3596,2065,3625,2065,3625,2034xm3692,2034l3663,2034,3663,2065,3692,2065,3692,203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9.290009pt;margin-top:101.703102pt;width:8.2pt;height:1.6pt;mso-position-horizontal-relative:page;mso-position-vertical-relative:paragraph;z-index:15840768" coordorigin="3786,2034" coordsize="164,32" path="m3815,2034l3786,2034,3786,2065,3815,2065,3815,2034xm3882,2034l3853,2034,3853,2065,3882,2065,3882,2034xm3949,2034l3920,2034,3920,2065,3949,2065,3949,203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130005pt;margin-top:101.703102pt;width:8.2pt;height:1.6pt;mso-position-horizontal-relative:page;mso-position-vertical-relative:paragraph;z-index:15841280" coordorigin="4043,2034" coordsize="164,32" path="m4071,2034l4043,2034,4043,2065,4071,2065,4071,2034xm4139,2034l4110,2034,4110,2065,4139,2065,4139,2034xm4206,2034l4177,2034,4177,2065,4206,2065,4206,203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090012pt;margin-top:101.703102pt;width:8.2pt;height:1.6pt;mso-position-horizontal-relative:page;mso-position-vertical-relative:paragraph;z-index:15841792" coordorigin="4302,2034" coordsize="164,32" path="m4331,2034l4302,2034,4302,2065,4331,2065,4331,2034xm4398,2034l4369,2034,4369,2065,4398,2065,4398,2034xm4465,2034l4436,2034,4436,2065,4465,2065,4465,203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7.930008pt;margin-top:101.703102pt;width:8.2pt;height:1.6pt;mso-position-horizontal-relative:page;mso-position-vertical-relative:paragraph;z-index:15842304" coordorigin="4559,2034" coordsize="164,32" path="m4587,2034l4559,2034,4559,2065,4587,2065,4587,2034xm4655,2034l4626,2034,4626,2065,4655,2065,4655,2034xm4722,2034l4693,2034,4693,2065,4722,2065,4722,203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0.770004pt;margin-top:101.703102pt;width:8.2pt;height:1.6pt;mso-position-horizontal-relative:page;mso-position-vertical-relative:paragraph;z-index:15842816" coordorigin="4815,2034" coordsize="164,32" path="m4844,2034l4815,2034,4815,2065,4844,2065,4844,2034xm4911,2034l4883,2034,4883,2065,4911,2065,4911,2034xm4979,2034l4950,2034,4950,2065,4979,2065,4979,203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3.610016pt;margin-top:101.703102pt;width:8.2pt;height:1.6pt;mso-position-horizontal-relative:page;mso-position-vertical-relative:paragraph;z-index:15843328" coordorigin="5072,2034" coordsize="164,32" path="m5101,2034l5072,2034,5072,2065,5101,2065,5101,2034xm5168,2034l5139,2034,5139,2065,5168,2065,5168,2034xm5235,2034l5207,2034,5207,2065,5235,2065,5235,203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6.450012pt;margin-top:101.703102pt;width:8.2pt;height:1.6pt;mso-position-horizontal-relative:page;mso-position-vertical-relative:paragraph;z-index:15843840" coordorigin="5329,2034" coordsize="164,32" path="m5358,2034l5329,2034,5329,2065,5358,2065,5358,2034xm5425,2034l5396,2034,5396,2065,5425,2065,5425,2034xm5493,2034l5463,2034,5463,2065,5493,2065,5493,203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9.310028pt;margin-top:101.703102pt;width:8.2pt;height:1.6pt;mso-position-horizontal-relative:page;mso-position-vertical-relative:paragraph;z-index:15844352" coordorigin="5586,2034" coordsize="164,32" path="m5615,2034l5586,2034,5586,2065,5615,2065,5615,2034xm5682,2034l5653,2034,5653,2065,5682,2065,5682,2034xm5749,2034l5721,2034,5721,2065,5749,2065,5749,203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2.27002pt;margin-top:101.703102pt;width:8.2pt;height:1.6pt;mso-position-horizontal-relative:page;mso-position-vertical-relative:paragraph;z-index:15844864" coordorigin="5845,2034" coordsize="164,32" path="m5874,2034l5845,2034,5845,2065,5874,2065,5874,2034xm5941,2034l5913,2034,5913,2065,5941,2065,5941,2034xm6009,2034l5980,2034,5980,2065,6009,2065,6009,203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5.110016pt;margin-top:101.703102pt;width:8.2pt;height:1.6pt;mso-position-horizontal-relative:page;mso-position-vertical-relative:paragraph;z-index:15845376" coordorigin="6102,2034" coordsize="164,32" path="m6131,2034l6102,2034,6102,2065,6131,2065,6131,2034xm6198,2034l6169,2034,6169,2065,6198,2065,6198,2034xm6265,2034l6237,2034,6237,2065,6265,2065,6265,2034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17.950012pt;margin-top:93.903137pt;width:30pt;height:12.4pt;mso-position-horizontal-relative:page;mso-position-vertical-relative:paragraph;z-index:15845888" coordorigin="6359,1878" coordsize="600,248">
            <v:shape style="position:absolute;left:6359;top:2034;width:164;height:32" coordorigin="6359,2034" coordsize="164,32" path="m6388,2034l6359,2034,6359,2065,6388,2065,6388,2034xm6455,2034l6426,2034,6426,2065,6455,2065,6455,2034xm6522,2034l6493,2034,6493,2065,6522,2065,6522,2034xe" filled="true" fillcolor="#000000" stroked="false">
              <v:path arrowok="t"/>
              <v:fill type="solid"/>
            </v:shape>
            <v:shape style="position:absolute;left:6589;top:1878;width:308;height:248" type="#_x0000_t75" stroked="false">
              <v:imagedata r:id="rId52" o:title=""/>
            </v:shape>
            <v:rect style="position:absolute;left:6930;top:2034;width:29;height:32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4473828</wp:posOffset>
            </wp:positionH>
            <wp:positionV relativeFrom="paragraph">
              <wp:posOffset>1191045</wp:posOffset>
            </wp:positionV>
            <wp:extent cx="168966" cy="121348"/>
            <wp:effectExtent l="0" t="0" r="0" b="0"/>
            <wp:wrapNone/>
            <wp:docPr id="8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6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Kawakita model describes the relationship between the degree of volume reduction</w:t>
      </w:r>
      <w:r>
        <w:rPr>
          <w:spacing w:val="1"/>
        </w:rPr>
        <w:t> </w:t>
      </w:r>
      <w:r>
        <w:rPr/>
        <w:t>of the powder and the applied pressure (Kawakita and Ludde, 1971). The Kawakita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is given by: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1272794</wp:posOffset>
            </wp:positionH>
            <wp:positionV relativeFrom="paragraph">
              <wp:posOffset>254901</wp:posOffset>
            </wp:positionV>
            <wp:extent cx="91082" cy="121443"/>
            <wp:effectExtent l="0" t="0" r="0" b="0"/>
            <wp:wrapTopAndBottom/>
            <wp:docPr id="8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8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6.300003pt;margin-top:23.670946pt;width:8.4pt;height:3.85pt;mso-position-horizontal-relative:page;mso-position-vertical-relative:paragraph;z-index:-15634944;mso-wrap-distance-left:0;mso-wrap-distance-right:0" coordorigin="2326,473" coordsize="168,77" path="m2494,531l2326,531,2326,550,2494,550,2494,531xm2494,473l2326,473,2326,493,2494,493,2494,47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1659889</wp:posOffset>
            </wp:positionH>
            <wp:positionV relativeFrom="paragraph">
              <wp:posOffset>254901</wp:posOffset>
            </wp:positionV>
            <wp:extent cx="69176" cy="121443"/>
            <wp:effectExtent l="0" t="0" r="0" b="0"/>
            <wp:wrapTopAndBottom/>
            <wp:docPr id="9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44.619995pt;margin-top:24.990986pt;width:8.4pt;height:.95999pt;mso-position-horizontal-relative:page;mso-position-vertical-relative:paragraph;z-index:-1563392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160.100006pt;margin-top:12.150976pt;width:14.45pt;height:13.95pt;mso-position-horizontal-relative:page;mso-position-vertical-relative:paragraph;z-index:-15633408;mso-wrap-distance-left:0;mso-wrap-distance-right:0" coordorigin="3202,243" coordsize="289,279">
            <v:shape style="position:absolute;left:3211;top:243;width:248;height:195" type="#_x0000_t75" stroked="false">
              <v:imagedata r:id="rId78" o:title=""/>
            </v:shape>
            <v:rect style="position:absolute;left:3202;top:502;width:289;height:20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178.610016pt;margin-top:27.990946pt;width:8.2pt;height:1.6pt;mso-position-horizontal-relative:page;mso-position-vertical-relative:paragraph;z-index:-15632896;mso-wrap-distance-left:0;mso-wrap-distance-right:0" coordorigin="3572,560" coordsize="164,32" path="m3601,560l3572,560,3572,591,3601,591,3601,560xm3668,560l3639,560,3639,591,3668,591,3668,560xm3735,560l3707,560,3707,591,3735,591,3735,56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91.450012pt;margin-top:27.990946pt;width:8.2pt;height:1.6pt;mso-position-horizontal-relative:page;mso-position-vertical-relative:paragraph;z-index:-15632384;mso-wrap-distance-left:0;mso-wrap-distance-right:0" coordorigin="3829,560" coordsize="164,32" path="m3858,560l3829,560,3829,591,3858,591,3858,560xm3925,560l3896,560,3896,591,3925,591,3925,560xm3992,560l3963,560,3963,591,3992,591,3992,56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04.290009pt;margin-top:27.990946pt;width:8.2pt;height:1.6pt;mso-position-horizontal-relative:page;mso-position-vertical-relative:paragraph;z-index:-15631872;mso-wrap-distance-left:0;mso-wrap-distance-right:0" coordorigin="4086,560" coordsize="164,32" path="m4115,560l4086,560,4086,591,4115,591,4115,560xm4182,560l4153,560,4153,591,4182,591,4182,560xm4249,560l4220,560,4220,591,4249,591,4249,56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17.250015pt;margin-top:27.990946pt;width:8.2pt;height:1.6pt;mso-position-horizontal-relative:page;mso-position-vertical-relative:paragraph;z-index:-15631360;mso-wrap-distance-left:0;mso-wrap-distance-right:0" coordorigin="4345,560" coordsize="164,32" path="m4374,560l4345,560,4345,591,4374,591,4374,560xm4441,560l4412,560,4412,591,4441,591,4441,560xm4508,560l4479,560,4479,591,4508,591,4508,56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30.090012pt;margin-top:27.990946pt;width:8.2pt;height:1.6pt;mso-position-horizontal-relative:page;mso-position-vertical-relative:paragraph;z-index:-15630848;mso-wrap-distance-left:0;mso-wrap-distance-right:0" coordorigin="4602,560" coordsize="164,32" path="m4631,560l4602,560,4602,591,4631,591,4631,560xm4698,560l4669,560,4669,591,4698,591,4698,560xm4765,560l4736,560,4736,591,4765,591,4765,56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42.930008pt;margin-top:27.990946pt;width:8.2pt;height:1.6pt;mso-position-horizontal-relative:page;mso-position-vertical-relative:paragraph;z-index:-15630336;mso-wrap-distance-left:0;mso-wrap-distance-right:0" coordorigin="4859,560" coordsize="164,32" path="m4887,560l4859,560,4859,591,4887,591,4887,560xm4955,560l4926,560,4926,591,4955,591,4955,560xm5022,560l4993,560,4993,591,5022,591,5022,56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55.77002pt;margin-top:27.990946pt;width:8.2pt;height:1.6pt;mso-position-horizontal-relative:page;mso-position-vertical-relative:paragraph;z-index:-15629824;mso-wrap-distance-left:0;mso-wrap-distance-right:0" coordorigin="5115,560" coordsize="164,32" path="m5144,560l5115,560,5115,591,5144,591,5144,560xm5211,560l5183,560,5183,591,5211,591,5211,560xm5279,560l5250,560,5250,591,5279,591,5279,56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68.610016pt;margin-top:27.990946pt;width:8.2pt;height:1.6pt;mso-position-horizontal-relative:page;mso-position-vertical-relative:paragraph;z-index:-15629312;mso-wrap-distance-left:0;mso-wrap-distance-right:0" coordorigin="5372,560" coordsize="164,32" path="m5401,560l5372,560,5372,591,5401,591,5401,560xm5468,560l5439,560,5439,591,5468,591,5468,560xm5536,560l5507,560,5507,591,5536,591,5536,56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81.470001pt;margin-top:27.990946pt;width:8.2pt;height:1.6pt;mso-position-horizontal-relative:page;mso-position-vertical-relative:paragraph;z-index:-15628800;mso-wrap-distance-left:0;mso-wrap-distance-right:0" coordorigin="5629,560" coordsize="164,32" path="m5658,560l5629,560,5629,591,5658,591,5658,560xm5725,560l5697,560,5697,591,5725,591,5725,560xm5793,560l5764,560,5764,591,5793,591,5793,56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94.430023pt;margin-top:27.990946pt;width:8.2pt;height:1.6pt;mso-position-horizontal-relative:page;mso-position-vertical-relative:paragraph;z-index:-15628288;mso-wrap-distance-left:0;mso-wrap-distance-right:0" coordorigin="5889,560" coordsize="164,32" path="m5917,560l5889,560,5889,591,5917,591,5917,560xm5985,560l5956,560,5956,591,5985,591,5985,560xm6052,560l6023,560,6023,591,6052,591,6052,56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07.27002pt;margin-top:27.990946pt;width:8.2pt;height:1.6pt;mso-position-horizontal-relative:page;mso-position-vertical-relative:paragraph;z-index:-15627776;mso-wrap-distance-left:0;mso-wrap-distance-right:0" coordorigin="6145,560" coordsize="164,32" path="m6174,560l6145,560,6145,591,6174,591,6174,560xm6241,560l6213,560,6213,591,6241,591,6241,560xm6309,560l6280,560,6280,591,6309,591,6309,56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195" w:lineRule="exact"/>
        <w:ind w:left="1684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168539" cy="123825"/>
            <wp:effectExtent l="0" t="0" r="0" b="0"/>
            <wp:docPr id="9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3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480" w:lineRule="auto"/>
        <w:ind w:left="465" w:right="1252"/>
        <w:jc w:val="both"/>
      </w:pPr>
      <w:r>
        <w:rPr/>
        <w:pict>
          <v:group style="position:absolute;margin-left:320.109985pt;margin-top:-37.906849pt;width:30pt;height:12.4pt;mso-position-horizontal-relative:page;mso-position-vertical-relative:paragraph;z-index:15846912" coordorigin="6402,-758" coordsize="600,248">
            <v:shape style="position:absolute;left:6402;top:-603;width:164;height:32" coordorigin="6402,-602" coordsize="164,32" path="m6431,-602l6402,-602,6402,-571,6431,-571,6431,-602xm6498,-602l6469,-602,6469,-571,6498,-571,6498,-602xm6565,-602l6537,-602,6537,-571,6565,-571,6565,-602xe" filled="true" fillcolor="#000000" stroked="false">
              <v:path arrowok="t"/>
              <v:fill type="solid"/>
            </v:shape>
            <v:shape style="position:absolute;left:6632;top:-759;width:308;height:248" type="#_x0000_t75" stroked="false">
              <v:imagedata r:id="rId52" o:title=""/>
            </v:shape>
            <v:rect style="position:absolute;left:6973;top:-603;width:29;height:32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7424">
            <wp:simplePos x="0" y="0"/>
            <wp:positionH relativeFrom="page">
              <wp:posOffset>4501260</wp:posOffset>
            </wp:positionH>
            <wp:positionV relativeFrom="paragraph">
              <wp:posOffset>-482941</wp:posOffset>
            </wp:positionV>
            <wp:extent cx="166985" cy="121443"/>
            <wp:effectExtent l="0" t="0" r="0" b="0"/>
            <wp:wrapNone/>
            <wp:docPr id="9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8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where</w:t>
      </w:r>
      <w:r>
        <w:rPr>
          <w:i/>
        </w:rPr>
        <w:t>ρ</w:t>
      </w:r>
      <w:r>
        <w:rPr>
          <w:i/>
          <w:vertAlign w:val="subscript"/>
        </w:rPr>
        <w:t>a</w:t>
      </w:r>
      <w:r>
        <w:rPr>
          <w:i/>
          <w:vertAlign w:val="baseline"/>
        </w:rPr>
        <w:t>, ρ</w:t>
      </w:r>
      <w:r>
        <w:rPr>
          <w:i/>
          <w:vertAlign w:val="subscript"/>
        </w:rPr>
        <w:t>0</w:t>
      </w:r>
      <w:r>
        <w:rPr>
          <w:vertAlign w:val="baseline"/>
        </w:rPr>
        <w:t>, </w:t>
      </w:r>
      <w:r>
        <w:rPr>
          <w:i/>
          <w:vertAlign w:val="baseline"/>
        </w:rPr>
        <w:t>C</w:t>
      </w:r>
      <w:r>
        <w:rPr>
          <w:vertAlign w:val="baseline"/>
        </w:rPr>
        <w:t>, and </w:t>
      </w:r>
      <w:r>
        <w:rPr>
          <w:i/>
          <w:vertAlign w:val="baseline"/>
        </w:rPr>
        <w:t>P </w:t>
      </w:r>
      <w:r>
        <w:rPr>
          <w:vertAlign w:val="baseline"/>
        </w:rPr>
        <w:t>represents the compact apparent density, powder bulk density,</w:t>
      </w:r>
      <w:r>
        <w:rPr>
          <w:spacing w:val="1"/>
          <w:vertAlign w:val="baseline"/>
        </w:rPr>
        <w:t> </w:t>
      </w:r>
      <w:r>
        <w:rPr>
          <w:vertAlign w:val="baseline"/>
        </w:rPr>
        <w:t>degree of volume reduction and compression pressure, respectively. The constant „</w:t>
      </w:r>
      <w:r>
        <w:rPr>
          <w:i/>
          <w:vertAlign w:val="baseline"/>
        </w:rPr>
        <w:t>a</w:t>
      </w:r>
      <w:r>
        <w:rPr>
          <w:vertAlign w:val="baseline"/>
        </w:rPr>
        <w:t>‟ is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compressibility index, which is related to the total volume reduction for the powder</w:t>
      </w:r>
      <w:r>
        <w:rPr>
          <w:spacing w:val="1"/>
          <w:vertAlign w:val="baseline"/>
        </w:rPr>
        <w:t> </w:t>
      </w:r>
      <w:r>
        <w:rPr>
          <w:vertAlign w:val="baseline"/>
        </w:rPr>
        <w:t>bed,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1"/>
          <w:vertAlign w:val="baseline"/>
        </w:rPr>
        <w:t> </w:t>
      </w:r>
      <w:r>
        <w:rPr>
          <w:vertAlign w:val="baseline"/>
        </w:rPr>
        <w:t>„</w:t>
      </w:r>
      <w:r>
        <w:rPr>
          <w:i/>
          <w:vertAlign w:val="baseline"/>
        </w:rPr>
        <w:t>b</w:t>
      </w:r>
      <w:r>
        <w:rPr>
          <w:vertAlign w:val="baseline"/>
        </w:rPr>
        <w:t>‟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related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resistant</w:t>
      </w:r>
      <w:r>
        <w:rPr>
          <w:spacing w:val="1"/>
          <w:vertAlign w:val="baseline"/>
        </w:rPr>
        <w:t> </w:t>
      </w:r>
      <w:r>
        <w:rPr>
          <w:vertAlign w:val="baseline"/>
        </w:rPr>
        <w:t>forces</w:t>
      </w:r>
      <w:r>
        <w:rPr>
          <w:spacing w:val="1"/>
          <w:vertAlign w:val="baseline"/>
        </w:rPr>
        <w:t> </w:t>
      </w:r>
      <w:r>
        <w:rPr>
          <w:vertAlign w:val="baseline"/>
        </w:rPr>
        <w:t>(friction/cohesion)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compression</w:t>
      </w:r>
      <w:r>
        <w:rPr>
          <w:spacing w:val="-1"/>
          <w:vertAlign w:val="baseline"/>
        </w:rPr>
        <w:t> </w:t>
      </w:r>
      <w:r>
        <w:rPr>
          <w:vertAlign w:val="baseline"/>
        </w:rPr>
        <w:t>(Hedden </w:t>
      </w:r>
      <w:r>
        <w:rPr>
          <w:i/>
          <w:vertAlign w:val="baseline"/>
        </w:rPr>
        <w:t>et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al.</w:t>
      </w:r>
      <w:r>
        <w:rPr>
          <w:vertAlign w:val="baseline"/>
        </w:rPr>
        <w:t>, 2006).</w:t>
      </w:r>
    </w:p>
    <w:p>
      <w:pPr>
        <w:pStyle w:val="ListParagraph"/>
        <w:numPr>
          <w:ilvl w:val="3"/>
          <w:numId w:val="18"/>
        </w:numPr>
        <w:tabs>
          <w:tab w:pos="1186" w:val="left" w:leader="none"/>
        </w:tabs>
        <w:spacing w:line="240" w:lineRule="auto" w:before="118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Tablet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tensile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strength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465" w:right="1258"/>
        <w:jc w:val="both"/>
      </w:pPr>
      <w:r>
        <w:rPr/>
        <w:drawing>
          <wp:anchor distT="0" distB="0" distL="0" distR="0" allowOverlap="1" layoutInCell="1" locked="0" behindDoc="0" simplePos="0" relativeHeight="198">
            <wp:simplePos x="0" y="0"/>
            <wp:positionH relativeFrom="page">
              <wp:posOffset>1658366</wp:posOffset>
            </wp:positionH>
            <wp:positionV relativeFrom="paragraph">
              <wp:posOffset>1427011</wp:posOffset>
            </wp:positionV>
            <wp:extent cx="163079" cy="102679"/>
            <wp:effectExtent l="0" t="0" r="0" b="0"/>
            <wp:wrapTopAndBottom/>
            <wp:docPr id="9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Crushing strength of the tablets was measured using a tablet hardness tester (Erweka,</w:t>
      </w:r>
      <w:r>
        <w:rPr>
          <w:spacing w:val="1"/>
        </w:rPr>
        <w:t> </w:t>
      </w:r>
      <w:r>
        <w:rPr/>
        <w:t>USA). Tablet dimensions were measured using a digital calliper (Digimatic Mitutoyo</w:t>
      </w:r>
      <w:r>
        <w:rPr>
          <w:spacing w:val="1"/>
        </w:rPr>
        <w:t> </w:t>
      </w:r>
      <w:r>
        <w:rPr/>
        <w:t>Corporation, Japan). Tensile strength was calculated using the equation given below to</w:t>
      </w:r>
      <w:r>
        <w:rPr>
          <w:spacing w:val="1"/>
        </w:rPr>
        <w:t> </w:t>
      </w:r>
      <w:r>
        <w:rPr/>
        <w:t>eliminate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undesirable 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tablet thickness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breaking</w:t>
      </w:r>
      <w:r>
        <w:rPr>
          <w:spacing w:val="-4"/>
        </w:rPr>
        <w:t> </w:t>
      </w:r>
      <w:r>
        <w:rPr/>
        <w:t>force.</w:t>
      </w:r>
    </w:p>
    <w:p>
      <w:pPr>
        <w:spacing w:line="240" w:lineRule="auto"/>
        <w:ind w:left="474" w:right="0" w:firstLine="0"/>
        <w:rPr>
          <w:sz w:val="20"/>
        </w:rPr>
      </w:pPr>
      <w:r>
        <w:rPr>
          <w:position w:val="16"/>
          <w:sz w:val="20"/>
        </w:rPr>
        <w:drawing>
          <wp:inline distT="0" distB="0" distL="0" distR="0">
            <wp:extent cx="81923" cy="72866"/>
            <wp:effectExtent l="0" t="0" r="0" b="0"/>
            <wp:docPr id="9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2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</w:r>
      <w:r>
        <w:rPr>
          <w:spacing w:val="129"/>
          <w:position w:val="16"/>
          <w:sz w:val="6"/>
        </w:rPr>
        <w:t> </w:t>
      </w:r>
      <w:r>
        <w:rPr>
          <w:spacing w:val="129"/>
          <w:position w:val="20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129"/>
          <w:position w:val="20"/>
          <w:sz w:val="20"/>
        </w:rPr>
      </w:r>
      <w:r>
        <w:rPr>
          <w:spacing w:val="70"/>
          <w:position w:val="20"/>
          <w:sz w:val="20"/>
        </w:rPr>
        <w:t> </w:t>
      </w:r>
      <w:r>
        <w:rPr>
          <w:spacing w:val="70"/>
          <w:sz w:val="20"/>
        </w:rPr>
        <w:pict>
          <v:group style="width:29.55pt;height:12pt;mso-position-horizontal-relative:char;mso-position-vertical-relative:line" coordorigin="0,0" coordsize="591,240">
            <v:shape style="position:absolute;left:4;top:69;width:368;height:171" type="#_x0000_t75" stroked="false">
              <v:imagedata r:id="rId82" o:title=""/>
            </v:shape>
            <v:shape style="position:absolute;left:0;top:0;width:591;height:77" coordorigin="0,0" coordsize="591,77" path="m382,0l0,0,0,17,382,17,382,0xm475,50l451,50,451,77,475,77,475,50xm533,50l509,50,509,77,533,77,533,50xm590,50l566,50,566,77,590,77,590,50xe" filled="true" fillcolor="#000000" stroked="false">
              <v:path arrowok="t"/>
              <v:fill type="solid"/>
            </v:shape>
          </v:group>
        </w:pict>
      </w:r>
      <w:r>
        <w:rPr>
          <w:spacing w:val="70"/>
          <w:sz w:val="20"/>
        </w:rPr>
      </w:r>
      <w:r>
        <w:rPr>
          <w:spacing w:val="57"/>
          <w:sz w:val="2"/>
        </w:rPr>
        <w:t> </w:t>
      </w:r>
      <w:r>
        <w:rPr>
          <w:spacing w:val="57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40,0l116,0,116,26,140,26,140,0xe" filled="true" fillcolor="#000000" stroked="false">
              <v:path arrowok="t"/>
              <v:fill type="solid"/>
            </v:shape>
          </v:group>
        </w:pict>
      </w:r>
      <w:r>
        <w:rPr>
          <w:spacing w:val="57"/>
          <w:position w:val="16"/>
          <w:sz w:val="20"/>
        </w:rPr>
      </w:r>
      <w:r>
        <w:rPr>
          <w:spacing w:val="56"/>
          <w:position w:val="16"/>
          <w:sz w:val="2"/>
        </w:rPr>
        <w:t> </w:t>
      </w:r>
      <w:r>
        <w:rPr>
          <w:spacing w:val="56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6"/>
          <w:position w:val="16"/>
          <w:sz w:val="20"/>
        </w:rPr>
      </w:r>
      <w:r>
        <w:rPr>
          <w:spacing w:val="55"/>
          <w:position w:val="16"/>
          <w:sz w:val="2"/>
        </w:rPr>
        <w:t> </w:t>
      </w:r>
      <w:r>
        <w:rPr>
          <w:spacing w:val="55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16"/>
          <w:sz w:val="20"/>
        </w:rPr>
      </w:r>
      <w:r>
        <w:rPr>
          <w:spacing w:val="53"/>
          <w:position w:val="16"/>
          <w:sz w:val="2"/>
        </w:rPr>
        <w:t> </w:t>
      </w:r>
      <w:r>
        <w:rPr>
          <w:spacing w:val="53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3"/>
          <w:position w:val="16"/>
          <w:sz w:val="20"/>
        </w:rPr>
      </w:r>
      <w:r>
        <w:rPr>
          <w:spacing w:val="55"/>
          <w:position w:val="16"/>
          <w:sz w:val="2"/>
        </w:rPr>
        <w:t> </w:t>
      </w:r>
      <w:r>
        <w:rPr>
          <w:spacing w:val="55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16"/>
          <w:sz w:val="20"/>
        </w:rPr>
      </w:r>
      <w:r>
        <w:rPr>
          <w:spacing w:val="55"/>
          <w:position w:val="16"/>
          <w:sz w:val="2"/>
        </w:rPr>
        <w:t> </w:t>
      </w:r>
      <w:r>
        <w:rPr>
          <w:spacing w:val="55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16"/>
          <w:sz w:val="20"/>
        </w:rPr>
      </w:r>
      <w:r>
        <w:rPr>
          <w:spacing w:val="55"/>
          <w:position w:val="16"/>
          <w:sz w:val="2"/>
        </w:rPr>
        <w:t> </w:t>
      </w:r>
      <w:r>
        <w:rPr>
          <w:spacing w:val="55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16"/>
          <w:sz w:val="20"/>
        </w:rPr>
      </w:r>
      <w:r>
        <w:rPr>
          <w:spacing w:val="55"/>
          <w:position w:val="16"/>
          <w:sz w:val="2"/>
        </w:rPr>
        <w:t> </w:t>
      </w:r>
      <w:r>
        <w:rPr>
          <w:spacing w:val="55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16"/>
          <w:sz w:val="20"/>
        </w:rPr>
      </w:r>
      <w:r>
        <w:rPr>
          <w:spacing w:val="55"/>
          <w:position w:val="16"/>
          <w:sz w:val="2"/>
        </w:rPr>
        <w:t> </w:t>
      </w:r>
      <w:r>
        <w:rPr>
          <w:spacing w:val="55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16"/>
          <w:sz w:val="20"/>
        </w:rPr>
      </w:r>
      <w:r>
        <w:rPr>
          <w:spacing w:val="10"/>
          <w:position w:val="16"/>
          <w:sz w:val="20"/>
        </w:rPr>
        <w:t> </w:t>
      </w:r>
      <w:r>
        <w:rPr>
          <w:spacing w:val="10"/>
          <w:position w:val="11"/>
          <w:sz w:val="20"/>
        </w:rPr>
        <w:pict>
          <v:group style="width:25.7pt;height:10.6pt;mso-position-horizontal-relative:char;mso-position-vertical-relative:line" coordorigin="0,0" coordsize="514,212">
            <v:shape style="position:absolute;left:0;top:134;width:140;height:27" coordorigin="0,134" coordsize="140,27" path="m24,134l0,134,0,161,24,161,24,134xm82,134l58,134,58,161,82,161,82,134xm139,134l115,134,115,161,139,161,139,134xe" filled="true" fillcolor="#000000" stroked="false">
              <v:path arrowok="t"/>
              <v:fill type="solid"/>
            </v:shape>
            <v:shape style="position:absolute;left:199;top:0;width:260;height:212" type="#_x0000_t75" stroked="false">
              <v:imagedata r:id="rId83" o:title=""/>
            </v:shape>
            <v:rect style="position:absolute;left:490;top:134;width:24;height:27" filled="true" fillcolor="#000000" stroked="false">
              <v:fill type="solid"/>
            </v:rect>
          </v:group>
        </w:pict>
      </w:r>
      <w:r>
        <w:rPr>
          <w:spacing w:val="10"/>
          <w:position w:val="11"/>
          <w:sz w:val="20"/>
        </w:rPr>
      </w:r>
      <w:r>
        <w:rPr>
          <w:spacing w:val="11"/>
          <w:position w:val="11"/>
          <w:sz w:val="16"/>
        </w:rPr>
        <w:t> </w:t>
      </w:r>
      <w:r>
        <w:rPr>
          <w:spacing w:val="11"/>
          <w:position w:val="16"/>
          <w:sz w:val="20"/>
        </w:rPr>
        <w:drawing>
          <wp:inline distT="0" distB="0" distL="0" distR="0">
            <wp:extent cx="147979" cy="102679"/>
            <wp:effectExtent l="0" t="0" r="0" b="0"/>
            <wp:docPr id="101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position w:val="16"/>
          <w:sz w:val="20"/>
        </w:rPr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1"/>
        <w:ind w:left="465" w:right="1253"/>
        <w:jc w:val="both"/>
      </w:pPr>
      <w:r>
        <w:rPr/>
        <w:t>Where </w:t>
      </w:r>
      <w:r>
        <w:rPr>
          <w:i/>
        </w:rPr>
        <w:t>σ </w:t>
      </w:r>
      <w:r>
        <w:rPr/>
        <w:t>is the tensile strength (MM/m</w:t>
      </w:r>
      <w:r>
        <w:rPr>
          <w:vertAlign w:val="superscript"/>
        </w:rPr>
        <w:t>2</w:t>
      </w:r>
      <w:r>
        <w:rPr>
          <w:vertAlign w:val="baseline"/>
        </w:rPr>
        <w:t>), </w:t>
      </w:r>
      <w:r>
        <w:rPr>
          <w:i/>
          <w:vertAlign w:val="baseline"/>
        </w:rPr>
        <w:t>F </w:t>
      </w:r>
      <w:r>
        <w:rPr>
          <w:vertAlign w:val="baseline"/>
        </w:rPr>
        <w:t>is the observed breaking force (N), </w:t>
      </w:r>
      <w:r>
        <w:rPr>
          <w:i/>
          <w:vertAlign w:val="baseline"/>
        </w:rPr>
        <w:t>d </w:t>
      </w:r>
      <w:r>
        <w:rPr>
          <w:vertAlign w:val="baseline"/>
        </w:rPr>
        <w:t>is the</w:t>
      </w:r>
      <w:r>
        <w:rPr>
          <w:spacing w:val="1"/>
          <w:vertAlign w:val="baseline"/>
        </w:rPr>
        <w:t> </w:t>
      </w:r>
      <w:r>
        <w:rPr>
          <w:vertAlign w:val="baseline"/>
        </w:rPr>
        <w:t>diameter</w:t>
      </w:r>
      <w:r>
        <w:rPr>
          <w:spacing w:val="-3"/>
          <w:vertAlign w:val="baseline"/>
        </w:rPr>
        <w:t> </w:t>
      </w:r>
      <w:r>
        <w:rPr>
          <w:vertAlign w:val="baseline"/>
        </w:rPr>
        <w:t>(mm), and </w:t>
      </w:r>
      <w:r>
        <w:rPr>
          <w:i/>
          <w:vertAlign w:val="baseline"/>
        </w:rPr>
        <w:t>t </w:t>
      </w:r>
      <w:r>
        <w:rPr>
          <w:vertAlign w:val="baseline"/>
        </w:rPr>
        <w:t>is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thickness of the compact (mm).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2"/>
          <w:numId w:val="18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bookmarkStart w:name="_TOC_250043" w:id="63"/>
      <w:r>
        <w:rPr/>
        <w:t>Dilution</w:t>
      </w:r>
      <w:r>
        <w:rPr>
          <w:spacing w:val="-2"/>
        </w:rPr>
        <w:t> </w:t>
      </w:r>
      <w:r>
        <w:rPr/>
        <w:t>Potential</w:t>
      </w:r>
      <w:r>
        <w:rPr>
          <w:spacing w:val="-2"/>
        </w:rPr>
        <w:t> </w:t>
      </w:r>
      <w:bookmarkEnd w:id="63"/>
      <w:r>
        <w:rPr/>
        <w:t>Studies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5" w:right="1254"/>
        <w:jc w:val="both"/>
      </w:pPr>
      <w:r>
        <w:rPr/>
        <w:t>Binary</w:t>
      </w:r>
      <w:r>
        <w:rPr>
          <w:spacing w:val="16"/>
        </w:rPr>
        <w:t> </w:t>
      </w:r>
      <w:r>
        <w:rPr/>
        <w:t>mixtures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ibuprofen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co-processed</w:t>
      </w:r>
      <w:r>
        <w:rPr>
          <w:spacing w:val="21"/>
        </w:rPr>
        <w:t> </w:t>
      </w:r>
      <w:r>
        <w:rPr/>
        <w:t>excipient</w:t>
      </w:r>
      <w:r>
        <w:rPr>
          <w:spacing w:val="22"/>
        </w:rPr>
        <w:t> </w:t>
      </w:r>
      <w:r>
        <w:rPr/>
        <w:t>were</w:t>
      </w:r>
      <w:r>
        <w:rPr>
          <w:spacing w:val="19"/>
        </w:rPr>
        <w:t> </w:t>
      </w:r>
      <w:r>
        <w:rPr/>
        <w:t>obtained</w:t>
      </w:r>
      <w:r>
        <w:rPr>
          <w:spacing w:val="21"/>
        </w:rPr>
        <w:t> </w:t>
      </w:r>
      <w:r>
        <w:rPr/>
        <w:t>by</w:t>
      </w:r>
      <w:r>
        <w:rPr>
          <w:spacing w:val="16"/>
        </w:rPr>
        <w:t> </w:t>
      </w:r>
      <w:r>
        <w:rPr/>
        <w:t>mixing</w:t>
      </w:r>
      <w:r>
        <w:rPr>
          <w:spacing w:val="-57"/>
        </w:rPr>
        <w:t> </w:t>
      </w:r>
      <w:r>
        <w:rPr/>
        <w:t>in the following ratios: 20:80, 40:60, 50:50, 60:40 and 80:20, using a mortar and pestle</w:t>
      </w:r>
      <w:r>
        <w:rPr>
          <w:spacing w:val="1"/>
        </w:rPr>
        <w:t> </w:t>
      </w:r>
      <w:r>
        <w:rPr/>
        <w:t>for</w:t>
      </w:r>
      <w:r>
        <w:rPr>
          <w:spacing w:val="23"/>
        </w:rPr>
        <w:t> </w:t>
      </w:r>
      <w:r>
        <w:rPr/>
        <w:t>5</w:t>
      </w:r>
      <w:r>
        <w:rPr>
          <w:spacing w:val="25"/>
        </w:rPr>
        <w:t> </w:t>
      </w:r>
      <w:r>
        <w:rPr/>
        <w:t>min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compressed</w:t>
      </w:r>
      <w:r>
        <w:rPr>
          <w:spacing w:val="25"/>
        </w:rPr>
        <w:t> </w:t>
      </w:r>
      <w:r>
        <w:rPr/>
        <w:t>into</w:t>
      </w:r>
      <w:r>
        <w:rPr>
          <w:spacing w:val="26"/>
        </w:rPr>
        <w:t> </w:t>
      </w:r>
      <w:r>
        <w:rPr/>
        <w:t>tablets</w:t>
      </w:r>
      <w:r>
        <w:rPr>
          <w:spacing w:val="25"/>
        </w:rPr>
        <w:t> </w:t>
      </w:r>
      <w:r>
        <w:rPr/>
        <w:t>weighing</w:t>
      </w:r>
      <w:r>
        <w:rPr>
          <w:spacing w:val="26"/>
        </w:rPr>
        <w:t> </w:t>
      </w:r>
      <w:r>
        <w:rPr/>
        <w:t>400</w:t>
      </w:r>
      <w:r>
        <w:rPr>
          <w:spacing w:val="25"/>
        </w:rPr>
        <w:t> </w:t>
      </w:r>
      <w:r>
        <w:rPr/>
        <w:t>mg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a</w:t>
      </w:r>
      <w:r>
        <w:rPr>
          <w:spacing w:val="24"/>
        </w:rPr>
        <w:t> </w:t>
      </w:r>
      <w:r>
        <w:rPr/>
        <w:t>Hydraulic</w:t>
      </w:r>
      <w:r>
        <w:rPr>
          <w:spacing w:val="26"/>
        </w:rPr>
        <w:t> </w:t>
      </w:r>
      <w:r>
        <w:rPr/>
        <w:t>press</w:t>
      </w:r>
      <w:r>
        <w:rPr>
          <w:spacing w:val="26"/>
        </w:rPr>
        <w:t> </w:t>
      </w:r>
      <w:r>
        <w:rPr/>
        <w:t>at</w:t>
      </w:r>
      <w:r>
        <w:rPr>
          <w:spacing w:val="25"/>
        </w:rPr>
        <w:t> </w:t>
      </w:r>
      <w:r>
        <w:rPr/>
        <w:t>66.6</w:t>
      </w:r>
    </w:p>
    <w:p>
      <w:pPr>
        <w:pStyle w:val="BodyText"/>
        <w:spacing w:before="1"/>
        <w:ind w:left="465"/>
        <w:jc w:val="both"/>
      </w:pPr>
      <w:r>
        <w:rPr/>
        <w:t>MN/m</w:t>
      </w:r>
      <w:r>
        <w:rPr>
          <w:vertAlign w:val="superscript"/>
        </w:rPr>
        <w:t>2</w:t>
      </w:r>
      <w:r>
        <w:rPr>
          <w:spacing w:val="2"/>
          <w:vertAlign w:val="baseline"/>
        </w:rPr>
        <w:t> </w:t>
      </w:r>
      <w:r>
        <w:rPr>
          <w:vertAlign w:val="baseline"/>
        </w:rPr>
        <w:t>(2500 PSI)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2"/>
          <w:vertAlign w:val="baseline"/>
        </w:rPr>
        <w:t> </w:t>
      </w:r>
      <w:r>
        <w:rPr>
          <w:vertAlign w:val="baseline"/>
        </w:rPr>
        <w:t>dwell</w:t>
      </w:r>
      <w:r>
        <w:rPr>
          <w:spacing w:val="2"/>
          <w:vertAlign w:val="baseline"/>
        </w:rPr>
        <w:t> </w:t>
      </w:r>
      <w:r>
        <w:rPr>
          <w:vertAlign w:val="baseline"/>
        </w:rPr>
        <w:t>time of 30</w:t>
      </w:r>
      <w:r>
        <w:rPr>
          <w:spacing w:val="2"/>
          <w:vertAlign w:val="baseline"/>
        </w:rPr>
        <w:t> </w:t>
      </w:r>
      <w:r>
        <w:rPr>
          <w:vertAlign w:val="baseline"/>
        </w:rPr>
        <w:t>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2"/>
          <w:vertAlign w:val="baseline"/>
        </w:rPr>
        <w:t> </w:t>
      </w:r>
      <w:r>
        <w:rPr>
          <w:vertAlign w:val="baseline"/>
        </w:rPr>
        <w:t>were kept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 desiccator</w:t>
      </w:r>
      <w:r>
        <w:rPr>
          <w:spacing w:val="4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24</w:t>
      </w:r>
    </w:p>
    <w:p>
      <w:pPr>
        <w:spacing w:after="0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7"/>
        <w:jc w:val="both"/>
      </w:pPr>
      <w:r>
        <w:rPr/>
        <w:t>h prior to evaluation. Tensile strength of the compacts was determined and plotted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excipient.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excipient</w:t>
      </w:r>
      <w:r>
        <w:rPr>
          <w:spacing w:val="-57"/>
        </w:rPr>
        <w:t> </w:t>
      </w:r>
      <w:r>
        <w:rPr/>
        <w:t>required to produce tablets of desirable hardness was extrapolated from the graph. A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of five</w:t>
      </w:r>
      <w:r>
        <w:rPr>
          <w:spacing w:val="1"/>
        </w:rPr>
        <w:t> </w:t>
      </w:r>
      <w:r>
        <w:rPr/>
        <w:t>(5)</w:t>
      </w:r>
      <w:r>
        <w:rPr>
          <w:spacing w:val="-2"/>
        </w:rPr>
        <w:t> </w:t>
      </w:r>
      <w:r>
        <w:rPr/>
        <w:t>determinations</w:t>
      </w:r>
      <w:r>
        <w:rPr>
          <w:spacing w:val="-1"/>
        </w:rPr>
        <w:t> </w:t>
      </w:r>
      <w:r>
        <w:rPr/>
        <w:t>was obtained for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ratio.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2"/>
          <w:numId w:val="18"/>
        </w:numPr>
        <w:tabs>
          <w:tab w:pos="1186" w:val="left" w:leader="none"/>
        </w:tabs>
        <w:spacing w:line="240" w:lineRule="auto" w:before="1" w:after="0"/>
        <w:ind w:left="1185" w:right="0" w:hanging="721"/>
        <w:jc w:val="both"/>
      </w:pPr>
      <w:bookmarkStart w:name="_TOC_250042" w:id="64"/>
      <w:r>
        <w:rPr/>
        <w:t>Lubricant</w:t>
      </w:r>
      <w:r>
        <w:rPr>
          <w:spacing w:val="-2"/>
        </w:rPr>
        <w:t> </w:t>
      </w:r>
      <w:r>
        <w:rPr/>
        <w:t>Sensitivity</w:t>
      </w:r>
      <w:r>
        <w:rPr>
          <w:spacing w:val="-2"/>
        </w:rPr>
        <w:t> </w:t>
      </w:r>
      <w:bookmarkEnd w:id="64"/>
      <w:r>
        <w:rPr/>
        <w:t>Ratio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5" w:right="1251"/>
        <w:jc w:val="both"/>
      </w:pPr>
      <w:r>
        <w:rPr/>
        <w:drawing>
          <wp:anchor distT="0" distB="0" distL="0" distR="0" allowOverlap="1" layoutInCell="1" locked="0" behindDoc="0" simplePos="0" relativeHeight="233">
            <wp:simplePos x="0" y="0"/>
            <wp:positionH relativeFrom="page">
              <wp:posOffset>1265224</wp:posOffset>
            </wp:positionH>
            <wp:positionV relativeFrom="paragraph">
              <wp:posOffset>1893736</wp:posOffset>
            </wp:positionV>
            <wp:extent cx="244424" cy="104775"/>
            <wp:effectExtent l="0" t="0" r="0" b="0"/>
            <wp:wrapTopAndBottom/>
            <wp:docPr id="103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860008pt;margin-top:152.113098pt;width:7.2pt;height:3.4pt;mso-position-horizontal-relative:page;mso-position-vertical-relative:paragraph;z-index:-15608832;mso-wrap-distance-left:0;mso-wrap-distance-right:0" coordorigin="2537,3042" coordsize="144,68" path="m2681,3093l2537,3093,2537,3109,2681,3109,2681,3093xm2681,3042l2537,3042,2537,3059,2681,3059,2681,304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40.899994pt;margin-top:139.993118pt;width:63.05pt;height:27.85pt;mso-position-horizontal-relative:page;mso-position-vertical-relative:paragraph;z-index:-15608320;mso-wrap-distance-left:0;mso-wrap-distance-right:0" coordorigin="2818,2800" coordsize="1261,557">
            <v:shape style="position:absolute;left:2820;top:2799;width:202;height:214" type="#_x0000_t75" stroked="false">
              <v:imagedata r:id="rId86" o:title=""/>
            </v:shape>
            <v:shape style="position:absolute;left:3437;top:2799;width:411;height:214" type="#_x0000_t75" stroked="false">
              <v:imagedata r:id="rId87" o:title=""/>
            </v:shape>
            <v:shape style="position:absolute;left:3235;top:3143;width:203;height:214" type="#_x0000_t75" stroked="false">
              <v:imagedata r:id="rId88" o:title=""/>
            </v:shape>
            <v:shape style="position:absolute;left:2818;top:3068;width:1261;height:77" coordorigin="2818,3069" coordsize="1261,77" path="m3872,3069l2818,3069,2818,3085,3872,3085,3872,3069xm3963,3119l3939,3119,3939,3145,3963,3145,3963,3119xm4021,3119l3997,3119,3997,3145,4021,3145,4021,3119xm4079,3119l4055,3119,4055,3145,4079,3145,4079,311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08.009995pt;margin-top:155.953125pt;width:7pt;height:1.35pt;mso-position-horizontal-relative:page;mso-position-vertical-relative:paragraph;z-index:-15607808;mso-wrap-distance-left:0;mso-wrap-distance-right:0" coordorigin="4160,3119" coordsize="140,27" path="m4184,3119l4160,3119,4160,3145,4184,3145,4184,3119xm4242,3119l4218,3119,4218,3145,4242,3145,4242,3119xm4299,3119l4275,3119,4275,3145,4299,3145,4299,311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19.050003pt;margin-top:155.953125pt;width:7pt;height:1.35pt;mso-position-horizontal-relative:page;mso-position-vertical-relative:paragraph;z-index:-15607296;mso-wrap-distance-left:0;mso-wrap-distance-right:0" coordorigin="4381,3119" coordsize="140,27" path="m4405,3119l4381,3119,4381,3145,4405,3145,4405,3119xm4463,3119l4439,3119,4439,3145,4463,3145,4463,3119xm4520,3119l4496,3119,4496,3145,4520,3145,4520,311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30.089996pt;margin-top:155.953125pt;width:7pt;height:1.35pt;mso-position-horizontal-relative:page;mso-position-vertical-relative:paragraph;z-index:-15606784;mso-wrap-distance-left:0;mso-wrap-distance-right:0" coordorigin="4602,3119" coordsize="140,27" path="m4626,3119l4602,3119,4602,3145,4626,3145,4626,3119xm4683,3119l4659,3119,4659,3145,4683,3145,4683,3119xm4741,3119l4717,3119,4717,3145,4741,3145,4741,311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41.130005pt;margin-top:155.953125pt;width:7pt;height:1.35pt;mso-position-horizontal-relative:page;mso-position-vertical-relative:paragraph;z-index:-15606272;mso-wrap-distance-left:0;mso-wrap-distance-right:0" coordorigin="4823,3119" coordsize="140,27" path="m4847,3119l4823,3119,4823,3145,4847,3145,4847,3119xm4904,3119l4880,3119,4880,3145,4904,3145,4904,3119xm4962,3119l4938,3119,4938,3145,4962,3145,4962,311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52.169998pt;margin-top:155.953125pt;width:7pt;height:1.35pt;mso-position-horizontal-relative:page;mso-position-vertical-relative:paragraph;z-index:-15605760;mso-wrap-distance-left:0;mso-wrap-distance-right:0" coordorigin="5043,3119" coordsize="140,27" path="m5067,3119l5043,3119,5043,3145,5067,3145,5067,3119xm5125,3119l5101,3119,5101,3145,5125,3145,5125,3119xm5183,3119l5159,3119,5159,3145,5183,3145,5183,311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63.089996pt;margin-top:155.953125pt;width:7pt;height:1.35pt;mso-position-horizontal-relative:page;mso-position-vertical-relative:paragraph;z-index:-15605248;mso-wrap-distance-left:0;mso-wrap-distance-right:0" coordorigin="5262,3119" coordsize="140,27" path="m5286,3119l5262,3119,5262,3145,5286,3145,5286,3119xm5343,3119l5319,3119,5319,3145,5343,3145,5343,3119xm5401,3119l5377,3119,5377,3145,5401,3145,5401,311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74.149994pt;margin-top:149.233124pt;width:25.8pt;height:10.6pt;mso-position-horizontal-relative:page;mso-position-vertical-relative:paragraph;z-index:-15604736;mso-wrap-distance-left:0;mso-wrap-distance-right:0" coordorigin="5483,2985" coordsize="516,212">
            <v:shape style="position:absolute;left:5483;top:3119;width:140;height:27" coordorigin="5483,3119" coordsize="140,27" path="m5507,3119l5483,3119,5483,3145,5507,3145,5507,3119xm5565,3119l5541,3119,5541,3145,5565,3145,5565,3119xm5622,3119l5598,3119,5598,3145,5622,3145,5622,3119xe" filled="true" fillcolor="#000000" stroked="false">
              <v:path arrowok="t"/>
              <v:fill type="solid"/>
            </v:shape>
            <v:shape style="position:absolute;left:5682;top:2984;width:260;height:212" type="#_x0000_t75" stroked="false">
              <v:imagedata r:id="rId11" o:title=""/>
            </v:shape>
            <v:rect style="position:absolute;left:5975;top:3119;width:24;height:27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3">
            <wp:simplePos x="0" y="0"/>
            <wp:positionH relativeFrom="page">
              <wp:posOffset>3855084</wp:posOffset>
            </wp:positionH>
            <wp:positionV relativeFrom="paragraph">
              <wp:posOffset>1890688</wp:posOffset>
            </wp:positionV>
            <wp:extent cx="142121" cy="107346"/>
            <wp:effectExtent l="0" t="0" r="0" b="0"/>
            <wp:wrapTopAndBottom/>
            <wp:docPr id="105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8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2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58.300003pt;margin-top:144.31311pt;width:7.224pt;height:.84pt;mso-position-horizontal-relative:page;mso-position-vertical-relative:paragraph;z-index:15853568" filled="true" fillcolor="#000000" stroked="false">
            <v:fill type="solid"/>
            <w10:wrap type="none"/>
          </v:rect>
        </w:pict>
      </w:r>
      <w:r>
        <w:rPr/>
        <w:t>Powder samples of the co-processed excipient and magnesium stearate (1 %</w:t>
      </w:r>
      <w:r>
        <w:rPr>
          <w:vertAlign w:val="superscript"/>
        </w:rPr>
        <w:t>w</w:t>
      </w:r>
      <w:r>
        <w:rPr>
          <w:vertAlign w:val="baseline"/>
        </w:rPr>
        <w:t>/</w:t>
      </w:r>
      <w:r>
        <w:rPr>
          <w:vertAlign w:val="subscript"/>
        </w:rPr>
        <w:t>w</w:t>
      </w:r>
      <w:r>
        <w:rPr>
          <w:vertAlign w:val="baseline"/>
        </w:rPr>
        <w:t>) were</w:t>
      </w:r>
      <w:r>
        <w:rPr>
          <w:spacing w:val="1"/>
          <w:vertAlign w:val="baseline"/>
        </w:rPr>
        <w:t> </w:t>
      </w:r>
      <w:r>
        <w:rPr>
          <w:vertAlign w:val="baseline"/>
        </w:rPr>
        <w:t>mixed in a tumbling mixer for 5 min and compressed into tablets weighing 400 mg on a</w:t>
      </w:r>
      <w:r>
        <w:rPr>
          <w:spacing w:val="1"/>
          <w:vertAlign w:val="baseline"/>
        </w:rPr>
        <w:t> </w:t>
      </w:r>
      <w:r>
        <w:rPr>
          <w:vertAlign w:val="baseline"/>
        </w:rPr>
        <w:t>Hydraulic press at 66.6 MN/m</w:t>
      </w:r>
      <w:r>
        <w:rPr>
          <w:vertAlign w:val="superscript"/>
        </w:rPr>
        <w:t>2</w:t>
      </w:r>
      <w:r>
        <w:rPr>
          <w:vertAlign w:val="baseline"/>
        </w:rPr>
        <w:t> and a dwell time of 30 s. The tablets were kept in a</w:t>
      </w:r>
      <w:r>
        <w:rPr>
          <w:spacing w:val="1"/>
          <w:vertAlign w:val="baseline"/>
        </w:rPr>
        <w:t> </w:t>
      </w:r>
      <w:r>
        <w:rPr>
          <w:vertAlign w:val="baseline"/>
        </w:rPr>
        <w:t>desiccator for 24 h prior to evaluation. Lubricantsensitivity was expressed as a ratio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-4"/>
          <w:vertAlign w:val="baseline"/>
        </w:rPr>
        <w:t> </w:t>
      </w:r>
      <w:r>
        <w:rPr>
          <w:vertAlign w:val="baseline"/>
        </w:rPr>
        <w:t>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relationship: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480" w:lineRule="auto" w:before="90"/>
        <w:ind w:left="465" w:right="1255"/>
        <w:jc w:val="both"/>
      </w:pPr>
      <w:r>
        <w:rPr/>
        <w:t>where</w:t>
      </w:r>
      <w:r>
        <w:rPr>
          <w:i/>
        </w:rPr>
        <w:t>S</w:t>
      </w:r>
      <w:r>
        <w:rPr>
          <w:i/>
          <w:vertAlign w:val="subscript"/>
        </w:rPr>
        <w:t>0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S</w:t>
      </w:r>
      <w:r>
        <w:rPr>
          <w:i/>
          <w:vertAlign w:val="subscript"/>
        </w:rPr>
        <w:t>Lub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crushing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lubricant,</w:t>
      </w:r>
      <w:r>
        <w:rPr>
          <w:spacing w:val="-1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2"/>
          <w:numId w:val="18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5" w:right="0" w:hanging="721"/>
        <w:jc w:val="left"/>
      </w:pPr>
      <w:bookmarkStart w:name="_TOC_250041" w:id="65"/>
      <w:r>
        <w:rPr/>
        <w:t>Formulation</w:t>
      </w:r>
      <w:r>
        <w:rPr>
          <w:spacing w:val="-2"/>
        </w:rPr>
        <w:t> </w:t>
      </w:r>
      <w:r>
        <w:rPr/>
        <w:t>Studies</w:t>
      </w:r>
      <w:r>
        <w:rPr>
          <w:spacing w:val="-5"/>
        </w:rPr>
        <w:t> </w:t>
      </w:r>
      <w:r>
        <w:rPr/>
        <w:t>with</w:t>
      </w:r>
      <w:r>
        <w:rPr>
          <w:spacing w:val="-2"/>
        </w:rPr>
        <w:t> </w:t>
      </w:r>
      <w:bookmarkEnd w:id="65"/>
      <w:r>
        <w:rPr/>
        <w:t>Ibuprofen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5" w:right="1253"/>
        <w:jc w:val="both"/>
      </w:pPr>
      <w:r>
        <w:rPr/>
        <w:t>Tablets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ibuprofen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choice.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excipient was used to prepare tablets by direct compression and compared with two</w:t>
      </w:r>
      <w:r>
        <w:rPr>
          <w:spacing w:val="1"/>
        </w:rPr>
        <w:t> </w:t>
      </w:r>
      <w:r>
        <w:rPr/>
        <w:t>commercially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excipients,</w:t>
      </w:r>
      <w:r>
        <w:rPr>
          <w:spacing w:val="1"/>
        </w:rPr>
        <w:t> </w:t>
      </w:r>
      <w:r>
        <w:rPr/>
        <w:t>Prosolv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StarLac</w:t>
      </w:r>
      <w:r>
        <w:rPr>
          <w:vertAlign w:val="superscript"/>
        </w:rPr>
        <w:t>®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target</w:t>
      </w:r>
      <w:r>
        <w:rPr>
          <w:spacing w:val="-57"/>
          <w:vertAlign w:val="baseline"/>
        </w:rPr>
        <w:t> </w:t>
      </w:r>
      <w:r>
        <w:rPr>
          <w:vertAlign w:val="baseline"/>
        </w:rPr>
        <w:t>tablet weight was set at 400 mg and a batch size of 200 tablets was prepared for each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formulation.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tablet formula</w:t>
      </w:r>
      <w:r>
        <w:rPr>
          <w:spacing w:val="-1"/>
          <w:vertAlign w:val="baseline"/>
        </w:rPr>
        <w:t> </w:t>
      </w:r>
      <w:r>
        <w:rPr>
          <w:vertAlign w:val="baseline"/>
        </w:rPr>
        <w:t>is given below in</w:t>
      </w:r>
      <w:r>
        <w:rPr>
          <w:spacing w:val="-1"/>
          <w:vertAlign w:val="baseline"/>
        </w:rPr>
        <w:t> </w:t>
      </w:r>
      <w:r>
        <w:rPr>
          <w:vertAlign w:val="baseline"/>
        </w:rPr>
        <w:t>Table 3.4.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spacing w:before="116"/>
        <w:ind w:left="465" w:right="1605"/>
      </w:pPr>
      <w:r>
        <w:rPr/>
        <w:t>Table 3.4: Formula for preparing Ibuprofen tablets using StarGelaSil, Prosolv</w:t>
      </w:r>
      <w:r>
        <w:rPr>
          <w:vertAlign w:val="superscript"/>
        </w:rPr>
        <w:t>®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StarLac</w:t>
      </w:r>
      <w:r>
        <w:rPr>
          <w:vertAlign w:val="superscript"/>
        </w:rPr>
        <w:t>®</w:t>
      </w:r>
      <w:r>
        <w:rPr>
          <w:vertAlign w:val="baseline"/>
        </w:rPr>
        <w:t> as multifunctional excipients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1323"/>
        <w:gridCol w:w="1180"/>
        <w:gridCol w:w="1263"/>
        <w:gridCol w:w="1156"/>
        <w:gridCol w:w="1048"/>
        <w:gridCol w:w="1303"/>
      </w:tblGrid>
      <w:tr>
        <w:trPr>
          <w:trHeight w:val="899" w:hRule="atLeast"/>
        </w:trPr>
        <w:tc>
          <w:tcPr>
            <w:tcW w:w="146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Ingredients</w:t>
            </w:r>
          </w:p>
        </w:tc>
        <w:tc>
          <w:tcPr>
            <w:tcW w:w="1323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0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9" w:type="dxa"/>
            <w:gridSpan w:val="2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Batch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Tablets</w:t>
            </w:r>
          </w:p>
        </w:tc>
        <w:tc>
          <w:tcPr>
            <w:tcW w:w="1048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3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01" w:hRule="atLeast"/>
        </w:trPr>
        <w:tc>
          <w:tcPr>
            <w:tcW w:w="1465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3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right="66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180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3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156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1" w:type="dxa"/>
            <w:gridSpan w:val="2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973" w:right="10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</w:tr>
      <w:tr>
        <w:trPr>
          <w:trHeight w:val="898" w:hRule="atLeast"/>
        </w:trPr>
        <w:tc>
          <w:tcPr>
            <w:tcW w:w="146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8"/>
              <w:ind w:left="364" w:right="442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t>1 tab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(mg)</w:t>
            </w:r>
          </w:p>
        </w:tc>
        <w:tc>
          <w:tcPr>
            <w:tcW w:w="118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8"/>
              <w:ind w:left="349" w:right="248" w:hanging="284"/>
              <w:rPr>
                <w:b/>
                <w:sz w:val="24"/>
              </w:rPr>
            </w:pPr>
            <w:r>
              <w:rPr>
                <w:b/>
                <w:sz w:val="24"/>
              </w:rPr>
              <w:t>200 tabs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  <w:tc>
          <w:tcPr>
            <w:tcW w:w="126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8"/>
              <w:ind w:left="280" w:right="466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t>1 tab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(mg)</w:t>
            </w:r>
          </w:p>
        </w:tc>
        <w:tc>
          <w:tcPr>
            <w:tcW w:w="115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8"/>
              <w:ind w:left="323" w:right="250" w:hanging="284"/>
              <w:rPr>
                <w:b/>
                <w:sz w:val="24"/>
              </w:rPr>
            </w:pPr>
            <w:r>
              <w:rPr>
                <w:b/>
                <w:sz w:val="24"/>
              </w:rPr>
              <w:t>200 tabs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  <w:tc>
          <w:tcPr>
            <w:tcW w:w="104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8"/>
              <w:ind w:left="281" w:right="250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t>1 tab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(mg)</w:t>
            </w:r>
          </w:p>
        </w:tc>
        <w:tc>
          <w:tcPr>
            <w:tcW w:w="130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8"/>
              <w:ind w:left="549" w:right="171" w:hanging="284"/>
              <w:rPr>
                <w:b/>
                <w:sz w:val="24"/>
              </w:rPr>
            </w:pPr>
            <w:r>
              <w:rPr>
                <w:b/>
                <w:sz w:val="24"/>
              </w:rPr>
              <w:t>200 tabs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</w:tr>
      <w:tr>
        <w:trPr>
          <w:trHeight w:val="1074" w:hRule="atLeast"/>
        </w:trPr>
        <w:tc>
          <w:tcPr>
            <w:tcW w:w="146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22" w:right="385"/>
              <w:rPr>
                <w:sz w:val="24"/>
              </w:rPr>
            </w:pPr>
            <w:r>
              <w:rPr>
                <w:spacing w:val="-1"/>
                <w:sz w:val="24"/>
              </w:rPr>
              <w:t>Ibuprofen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32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6"/>
              </w:rPr>
            </w:pPr>
          </w:p>
          <w:p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18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6"/>
              </w:rPr>
            </w:pPr>
          </w:p>
          <w:p>
            <w:pPr>
              <w:pStyle w:val="TableParagraph"/>
              <w:ind w:left="261" w:right="45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6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6"/>
              </w:rPr>
            </w:pPr>
          </w:p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15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6"/>
              </w:rPr>
            </w:pPr>
          </w:p>
          <w:p>
            <w:pPr>
              <w:pStyle w:val="TableParagraph"/>
              <w:ind w:left="235" w:right="45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4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6"/>
              </w:rPr>
            </w:pPr>
          </w:p>
          <w:p>
            <w:pPr>
              <w:pStyle w:val="TableParagraph"/>
              <w:ind w:left="323" w:right="325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30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6"/>
              </w:rPr>
            </w:pPr>
          </w:p>
          <w:p>
            <w:pPr>
              <w:pStyle w:val="TableParagraph"/>
              <w:ind w:left="459" w:right="38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716" w:hRule="atLeast"/>
        </w:trPr>
        <w:tc>
          <w:tcPr>
            <w:tcW w:w="14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22"/>
              <w:rPr>
                <w:sz w:val="24"/>
              </w:rPr>
            </w:pPr>
            <w:r>
              <w:rPr>
                <w:sz w:val="24"/>
              </w:rPr>
              <w:t>SGS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(49 %)</w:t>
            </w:r>
          </w:p>
        </w:tc>
        <w:tc>
          <w:tcPr>
            <w:tcW w:w="132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24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18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61" w:right="459"/>
              <w:jc w:val="center"/>
              <w:rPr>
                <w:sz w:val="24"/>
              </w:rPr>
            </w:pPr>
            <w:r>
              <w:rPr>
                <w:sz w:val="24"/>
              </w:rPr>
              <w:t>39.2</w:t>
            </w:r>
          </w:p>
        </w:tc>
        <w:tc>
          <w:tcPr>
            <w:tcW w:w="126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2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5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2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088" w:hRule="atLeast"/>
        </w:trPr>
        <w:tc>
          <w:tcPr>
            <w:tcW w:w="1465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line="149" w:lineRule="exact"/>
              <w:ind w:left="856"/>
              <w:rPr>
                <w:sz w:val="16"/>
              </w:rPr>
            </w:pPr>
            <w:r>
              <w:rPr>
                <w:w w:val="100"/>
                <w:sz w:val="16"/>
              </w:rPr>
              <w:t>®</w:t>
            </w:r>
          </w:p>
          <w:p>
            <w:pPr>
              <w:pStyle w:val="TableParagraph"/>
              <w:spacing w:line="240" w:lineRule="exact"/>
              <w:ind w:left="122"/>
              <w:rPr>
                <w:sz w:val="24"/>
              </w:rPr>
            </w:pPr>
            <w:r>
              <w:rPr>
                <w:sz w:val="24"/>
              </w:rPr>
              <w:t>Prosolv</w:t>
            </w:r>
          </w:p>
          <w:p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(49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323" w:type="dxa"/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ind w:right="1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0" w:type="dxa"/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ind w:right="19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3" w:type="dxa"/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156" w:type="dxa"/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ind w:left="235" w:right="461"/>
              <w:jc w:val="center"/>
              <w:rPr>
                <w:sz w:val="24"/>
              </w:rPr>
            </w:pPr>
            <w:r>
              <w:rPr>
                <w:sz w:val="24"/>
              </w:rPr>
              <w:t>39.2</w:t>
            </w:r>
          </w:p>
        </w:tc>
        <w:tc>
          <w:tcPr>
            <w:tcW w:w="1048" w:type="dxa"/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3" w:type="dxa"/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204" w:hRule="atLeast"/>
        </w:trPr>
        <w:tc>
          <w:tcPr>
            <w:tcW w:w="1465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150" w:lineRule="exact" w:before="1"/>
              <w:ind w:left="868"/>
              <w:rPr>
                <w:sz w:val="16"/>
              </w:rPr>
            </w:pPr>
            <w:r>
              <w:rPr>
                <w:w w:val="100"/>
                <w:sz w:val="16"/>
              </w:rPr>
              <w:t>®</w:t>
            </w:r>
          </w:p>
          <w:p>
            <w:pPr>
              <w:pStyle w:val="TableParagraph"/>
              <w:spacing w:line="240" w:lineRule="exact"/>
              <w:ind w:left="122"/>
              <w:rPr>
                <w:sz w:val="24"/>
              </w:rPr>
            </w:pPr>
            <w:r>
              <w:rPr>
                <w:sz w:val="24"/>
              </w:rPr>
              <w:t>StarLac</w:t>
            </w:r>
          </w:p>
          <w:p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(49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323" w:type="dxa"/>
          </w:tcPr>
          <w:p>
            <w:pPr>
              <w:pStyle w:val="TableParagraph"/>
              <w:spacing w:before="3"/>
              <w:rPr>
                <w:b/>
                <w:sz w:val="37"/>
              </w:rPr>
            </w:pPr>
          </w:p>
          <w:p>
            <w:pPr>
              <w:pStyle w:val="TableParagraph"/>
              <w:ind w:right="1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0" w:type="dxa"/>
          </w:tcPr>
          <w:p>
            <w:pPr>
              <w:pStyle w:val="TableParagraph"/>
              <w:spacing w:before="3"/>
              <w:rPr>
                <w:b/>
                <w:sz w:val="37"/>
              </w:rPr>
            </w:pPr>
          </w:p>
          <w:p>
            <w:pPr>
              <w:pStyle w:val="TableParagraph"/>
              <w:ind w:right="19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3" w:type="dxa"/>
          </w:tcPr>
          <w:p>
            <w:pPr>
              <w:pStyle w:val="TableParagraph"/>
              <w:spacing w:before="3"/>
              <w:rPr>
                <w:b/>
                <w:sz w:val="37"/>
              </w:rPr>
            </w:pPr>
          </w:p>
          <w:p>
            <w:pPr>
              <w:pStyle w:val="TableParagraph"/>
              <w:ind w:right="2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56" w:type="dxa"/>
          </w:tcPr>
          <w:p>
            <w:pPr>
              <w:pStyle w:val="TableParagraph"/>
              <w:spacing w:before="3"/>
              <w:rPr>
                <w:b/>
                <w:sz w:val="37"/>
              </w:rPr>
            </w:pPr>
          </w:p>
          <w:p>
            <w:pPr>
              <w:pStyle w:val="TableParagraph"/>
              <w:ind w:right="2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8" w:type="dxa"/>
          </w:tcPr>
          <w:p>
            <w:pPr>
              <w:pStyle w:val="TableParagraph"/>
              <w:spacing w:before="3"/>
              <w:rPr>
                <w:b/>
                <w:sz w:val="37"/>
              </w:rPr>
            </w:pPr>
          </w:p>
          <w:p>
            <w:pPr>
              <w:pStyle w:val="TableParagraph"/>
              <w:ind w:left="323" w:right="325"/>
              <w:jc w:val="center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303" w:type="dxa"/>
          </w:tcPr>
          <w:p>
            <w:pPr>
              <w:pStyle w:val="TableParagraph"/>
              <w:spacing w:before="3"/>
              <w:rPr>
                <w:b/>
                <w:sz w:val="37"/>
              </w:rPr>
            </w:pPr>
          </w:p>
          <w:p>
            <w:pPr>
              <w:pStyle w:val="TableParagraph"/>
              <w:ind w:left="459" w:right="384"/>
              <w:jc w:val="center"/>
              <w:rPr>
                <w:sz w:val="24"/>
              </w:rPr>
            </w:pPr>
            <w:r>
              <w:rPr>
                <w:sz w:val="24"/>
              </w:rPr>
              <w:t>39.2</w:t>
            </w:r>
          </w:p>
        </w:tc>
      </w:tr>
      <w:tr>
        <w:trPr>
          <w:trHeight w:val="1257" w:hRule="atLeast"/>
        </w:trPr>
        <w:tc>
          <w:tcPr>
            <w:tcW w:w="146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122" w:right="102"/>
              <w:rPr>
                <w:sz w:val="24"/>
              </w:rPr>
            </w:pPr>
            <w:r>
              <w:rPr>
                <w:spacing w:val="-1"/>
                <w:sz w:val="24"/>
              </w:rPr>
              <w:t>Mag.stearate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323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2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0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2"/>
              <w:ind w:left="261" w:right="459"/>
              <w:jc w:val="center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1263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2"/>
              <w:ind w:right="2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6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2"/>
              <w:ind w:left="235" w:right="461"/>
              <w:jc w:val="center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104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2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03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2"/>
              <w:ind w:left="459" w:right="384"/>
              <w:jc w:val="center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</w:tr>
      <w:tr>
        <w:trPr>
          <w:trHeight w:val="680" w:hRule="atLeast"/>
        </w:trPr>
        <w:tc>
          <w:tcPr>
            <w:tcW w:w="146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70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(100</w:t>
            </w:r>
          </w:p>
          <w:p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%)</w:t>
            </w:r>
          </w:p>
        </w:tc>
        <w:tc>
          <w:tcPr>
            <w:tcW w:w="132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07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400</w:t>
            </w:r>
          </w:p>
        </w:tc>
        <w:tc>
          <w:tcPr>
            <w:tcW w:w="118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07"/>
              <w:ind w:left="261" w:right="4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  <w:tc>
          <w:tcPr>
            <w:tcW w:w="126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07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400</w:t>
            </w:r>
          </w:p>
        </w:tc>
        <w:tc>
          <w:tcPr>
            <w:tcW w:w="115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07"/>
              <w:ind w:left="235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  <w:tc>
          <w:tcPr>
            <w:tcW w:w="104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07"/>
              <w:ind w:left="323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400</w:t>
            </w:r>
          </w:p>
        </w:tc>
        <w:tc>
          <w:tcPr>
            <w:tcW w:w="130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07"/>
              <w:ind w:left="459" w:right="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</w:tr>
    </w:tbl>
    <w:p>
      <w:pPr>
        <w:spacing w:before="116"/>
        <w:ind w:left="465" w:right="0" w:firstLine="0"/>
        <w:jc w:val="left"/>
        <w:rPr>
          <w:b/>
          <w:sz w:val="24"/>
        </w:rPr>
      </w:pPr>
      <w:r>
        <w:rPr>
          <w:b/>
          <w:sz w:val="24"/>
        </w:rPr>
        <w:t>Key:-</w:t>
      </w:r>
    </w:p>
    <w:p>
      <w:pPr>
        <w:pStyle w:val="BodyText"/>
        <w:spacing w:line="343" w:lineRule="auto" w:before="116"/>
        <w:ind w:left="465" w:right="7045"/>
      </w:pPr>
      <w:r>
        <w:rPr/>
        <w:t>Batch I: StarGelaSil Tablets</w:t>
      </w:r>
      <w:r>
        <w:rPr>
          <w:spacing w:val="-57"/>
        </w:rPr>
        <w:t> </w:t>
      </w:r>
      <w:r>
        <w:rPr/>
        <w:t>Batch II: Prosolv</w:t>
      </w:r>
      <w:r>
        <w:rPr>
          <w:vertAlign w:val="superscript"/>
        </w:rPr>
        <w:t>®</w:t>
      </w:r>
      <w:r>
        <w:rPr>
          <w:vertAlign w:val="baseline"/>
        </w:rPr>
        <w:t> Tablets</w:t>
      </w:r>
      <w:r>
        <w:rPr>
          <w:spacing w:val="1"/>
          <w:vertAlign w:val="baseline"/>
        </w:rPr>
        <w:t> </w:t>
      </w:r>
      <w:r>
        <w:rPr>
          <w:vertAlign w:val="baseline"/>
        </w:rPr>
        <w:t>Batch</w:t>
      </w:r>
      <w:r>
        <w:rPr>
          <w:spacing w:val="2"/>
          <w:vertAlign w:val="baseline"/>
        </w:rPr>
        <w:t> </w:t>
      </w:r>
      <w:r>
        <w:rPr>
          <w:vertAlign w:val="baseline"/>
        </w:rPr>
        <w:t>III:</w:t>
      </w:r>
      <w:r>
        <w:rPr>
          <w:spacing w:val="-2"/>
          <w:vertAlign w:val="baseline"/>
        </w:rPr>
        <w:t> </w:t>
      </w:r>
      <w:r>
        <w:rPr>
          <w:vertAlign w:val="baseline"/>
        </w:rPr>
        <w:t>StarLac</w:t>
      </w:r>
      <w:r>
        <w:rPr>
          <w:vertAlign w:val="superscript"/>
        </w:rPr>
        <w:t>®</w:t>
      </w:r>
      <w:r>
        <w:rPr>
          <w:spacing w:val="-5"/>
          <w:vertAlign w:val="baseline"/>
        </w:rPr>
        <w:t> </w:t>
      </w:r>
      <w:r>
        <w:rPr>
          <w:vertAlign w:val="baseline"/>
        </w:rPr>
        <w:t>Tablets</w:t>
      </w:r>
    </w:p>
    <w:p>
      <w:pPr>
        <w:spacing w:after="0" w:line="343" w:lineRule="auto"/>
        <w:sectPr>
          <w:pgSz w:w="11910" w:h="16840"/>
          <w:pgMar w:header="0" w:footer="987" w:top="1280" w:bottom="1260" w:left="1520" w:right="160"/>
        </w:sectPr>
      </w:pPr>
    </w:p>
    <w:p>
      <w:pPr>
        <w:pStyle w:val="BodyText"/>
        <w:spacing w:before="72"/>
        <w:ind w:left="465"/>
        <w:jc w:val="both"/>
      </w:pPr>
      <w:r>
        <w:rPr/>
        <w:t>A</w:t>
      </w:r>
      <w:r>
        <w:rPr>
          <w:spacing w:val="29"/>
        </w:rPr>
        <w:t> </w:t>
      </w:r>
      <w:r>
        <w:rPr/>
        <w:t>sample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ibuprofen</w:t>
      </w:r>
      <w:r>
        <w:rPr>
          <w:spacing w:val="33"/>
        </w:rPr>
        <w:t> </w:t>
      </w:r>
      <w:r>
        <w:rPr/>
        <w:t>(40</w:t>
      </w:r>
      <w:r>
        <w:rPr>
          <w:spacing w:val="32"/>
        </w:rPr>
        <w:t> </w:t>
      </w:r>
      <w:r>
        <w:rPr/>
        <w:t>g)</w:t>
      </w:r>
      <w:r>
        <w:rPr>
          <w:spacing w:val="33"/>
        </w:rPr>
        <w:t> </w:t>
      </w:r>
      <w:r>
        <w:rPr/>
        <w:t>was</w:t>
      </w:r>
      <w:r>
        <w:rPr>
          <w:spacing w:val="32"/>
        </w:rPr>
        <w:t> </w:t>
      </w:r>
      <w:r>
        <w:rPr/>
        <w:t>weighed</w:t>
      </w:r>
      <w:r>
        <w:rPr>
          <w:spacing w:val="33"/>
        </w:rPr>
        <w:t> </w:t>
      </w:r>
      <w:r>
        <w:rPr/>
        <w:t>on</w:t>
      </w:r>
      <w:r>
        <w:rPr>
          <w:spacing w:val="32"/>
        </w:rPr>
        <w:t> </w:t>
      </w:r>
      <w:r>
        <w:rPr/>
        <w:t>an</w:t>
      </w:r>
      <w:r>
        <w:rPr>
          <w:spacing w:val="30"/>
        </w:rPr>
        <w:t> </w:t>
      </w:r>
      <w:r>
        <w:rPr/>
        <w:t>electronic</w:t>
      </w:r>
      <w:r>
        <w:rPr>
          <w:spacing w:val="28"/>
        </w:rPr>
        <w:t> </w:t>
      </w:r>
      <w:r>
        <w:rPr/>
        <w:t>balance</w:t>
      </w:r>
      <w:r>
        <w:rPr>
          <w:spacing w:val="30"/>
        </w:rPr>
        <w:t> </w:t>
      </w:r>
      <w:r>
        <w:rPr/>
        <w:t>and</w:t>
      </w:r>
      <w:r>
        <w:rPr>
          <w:spacing w:val="32"/>
        </w:rPr>
        <w:t> </w:t>
      </w:r>
      <w:r>
        <w:rPr/>
        <w:t>mixed</w:t>
      </w:r>
      <w:r>
        <w:rPr>
          <w:spacing w:val="30"/>
        </w:rPr>
        <w:t> </w:t>
      </w:r>
      <w:r>
        <w:rPr/>
        <w:t>with</w:t>
      </w:r>
    </w:p>
    <w:p>
      <w:pPr>
        <w:pStyle w:val="BodyText"/>
      </w:pPr>
    </w:p>
    <w:p>
      <w:pPr>
        <w:pStyle w:val="BodyText"/>
        <w:spacing w:line="480" w:lineRule="auto"/>
        <w:ind w:left="465" w:right="1252"/>
        <w:jc w:val="both"/>
      </w:pPr>
      <w:r>
        <w:rPr/>
        <w:t>39.2 g of the excipient using a mortar and pestle for 5 min. 0.8 g of magnesium stearate</w:t>
      </w:r>
      <w:r>
        <w:rPr>
          <w:spacing w:val="1"/>
        </w:rPr>
        <w:t> </w:t>
      </w:r>
      <w:r>
        <w:rPr/>
        <w:t>was added to the powder mix in a turbula mixer and allowed to mix for another 5 min.</w:t>
      </w:r>
      <w:r>
        <w:rPr>
          <w:spacing w:val="1"/>
        </w:rPr>
        <w:t> </w:t>
      </w:r>
      <w:r>
        <w:rPr/>
        <w:t>Tablets were compressed using the Rimek rotary tablet press fitted with flat-faced 12</w:t>
      </w:r>
      <w:r>
        <w:rPr>
          <w:spacing w:val="1"/>
        </w:rPr>
        <w:t> </w:t>
      </w:r>
      <w:r>
        <w:rPr/>
        <w:t>mm punch and die tooling. The punches were separated by a distance of 4 mm to</w:t>
      </w:r>
      <w:r>
        <w:rPr>
          <w:spacing w:val="1"/>
        </w:rPr>
        <w:t> </w:t>
      </w:r>
      <w:r>
        <w:rPr/>
        <w:t>maintain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compression</w:t>
      </w:r>
      <w:r>
        <w:rPr>
          <w:spacing w:val="32"/>
        </w:rPr>
        <w:t> </w:t>
      </w:r>
      <w:r>
        <w:rPr/>
        <w:t>force</w:t>
      </w:r>
      <w:r>
        <w:rPr>
          <w:spacing w:val="33"/>
        </w:rPr>
        <w:t> </w:t>
      </w:r>
      <w:r>
        <w:rPr/>
        <w:t>during</w:t>
      </w:r>
      <w:r>
        <w:rPr>
          <w:spacing w:val="29"/>
        </w:rPr>
        <w:t> </w:t>
      </w:r>
      <w:r>
        <w:rPr/>
        <w:t>tableting.</w:t>
      </w:r>
      <w:r>
        <w:rPr>
          <w:spacing w:val="34"/>
        </w:rPr>
        <w:t> </w:t>
      </w:r>
      <w:r>
        <w:rPr/>
        <w:t>The</w:t>
      </w:r>
      <w:r>
        <w:rPr>
          <w:spacing w:val="32"/>
        </w:rPr>
        <w:t> </w:t>
      </w:r>
      <w:r>
        <w:rPr/>
        <w:t>speed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rotation</w:t>
      </w:r>
      <w:r>
        <w:rPr>
          <w:spacing w:val="34"/>
        </w:rPr>
        <w:t> </w:t>
      </w:r>
      <w:r>
        <w:rPr/>
        <w:t>was</w:t>
      </w:r>
      <w:r>
        <w:rPr>
          <w:spacing w:val="32"/>
        </w:rPr>
        <w:t> </w:t>
      </w:r>
      <w:r>
        <w:rPr/>
        <w:t>set</w:t>
      </w:r>
      <w:r>
        <w:rPr>
          <w:spacing w:val="32"/>
        </w:rPr>
        <w:t> </w:t>
      </w:r>
      <w:r>
        <w:rPr/>
        <w:t>at</w:t>
      </w:r>
      <w:r>
        <w:rPr>
          <w:spacing w:val="33"/>
        </w:rPr>
        <w:t> </w:t>
      </w:r>
      <w:r>
        <w:rPr/>
        <w:t>14</w:t>
      </w:r>
      <w:r>
        <w:rPr>
          <w:spacing w:val="-58"/>
        </w:rPr>
        <w:t> </w:t>
      </w:r>
      <w:r>
        <w:rPr/>
        <w:t>rpm. Tablets were collected and stored away in the desiccator for 24 h at 23 ± 2 °C to</w:t>
      </w:r>
      <w:r>
        <w:rPr>
          <w:spacing w:val="1"/>
        </w:rPr>
        <w:t> </w:t>
      </w:r>
      <w:r>
        <w:rPr/>
        <w:t>allow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elastic recovery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prevent capping</w:t>
      </w:r>
      <w:r>
        <w:rPr>
          <w:spacing w:val="-4"/>
        </w:rPr>
        <w:t> </w:t>
      </w:r>
      <w:r>
        <w:rPr/>
        <w:t>or lamination</w:t>
      </w:r>
      <w:r>
        <w:rPr>
          <w:spacing w:val="1"/>
        </w:rPr>
        <w:t> </w:t>
      </w:r>
      <w:r>
        <w:rPr/>
        <w:t>before</w:t>
      </w:r>
      <w:r>
        <w:rPr>
          <w:spacing w:val="-1"/>
        </w:rPr>
        <w:t> </w:t>
      </w:r>
      <w:r>
        <w:rPr/>
        <w:t>any</w:t>
      </w:r>
      <w:r>
        <w:rPr>
          <w:spacing w:val="-4"/>
        </w:rPr>
        <w:t> </w:t>
      </w:r>
      <w:r>
        <w:rPr/>
        <w:t>further study.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18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bookmarkStart w:name="_TOC_250040" w:id="66"/>
      <w:r>
        <w:rPr/>
        <w:t>Tablet</w:t>
      </w:r>
      <w:r>
        <w:rPr>
          <w:spacing w:val="-3"/>
        </w:rPr>
        <w:t> </w:t>
      </w:r>
      <w:bookmarkEnd w:id="66"/>
      <w:r>
        <w:rPr/>
        <w:t>Evaluation</w:t>
      </w:r>
    </w:p>
    <w:p>
      <w:pPr>
        <w:pStyle w:val="BodyText"/>
        <w:rPr>
          <w:b/>
          <w:sz w:val="34"/>
        </w:rPr>
      </w:pPr>
    </w:p>
    <w:p>
      <w:pPr>
        <w:pStyle w:val="ListParagraph"/>
        <w:numPr>
          <w:ilvl w:val="3"/>
          <w:numId w:val="18"/>
        </w:numPr>
        <w:tabs>
          <w:tab w:pos="1186" w:val="left" w:leader="none"/>
        </w:tabs>
        <w:spacing w:line="240" w:lineRule="auto" w:before="1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Weight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variation</w:t>
      </w:r>
    </w:p>
    <w:p>
      <w:pPr>
        <w:pStyle w:val="BodyText"/>
        <w:spacing w:before="4"/>
        <w:rPr>
          <w:i/>
          <w:sz w:val="34"/>
        </w:rPr>
      </w:pPr>
    </w:p>
    <w:p>
      <w:pPr>
        <w:pStyle w:val="BodyText"/>
        <w:spacing w:line="480" w:lineRule="auto" w:before="1"/>
        <w:ind w:left="465" w:right="1254"/>
        <w:jc w:val="both"/>
      </w:pPr>
      <w:r>
        <w:rPr/>
        <w:t>Twenty tablets were weighed individually and the mean weight calculated. The standard</w:t>
      </w:r>
      <w:r>
        <w:rPr>
          <w:spacing w:val="-57"/>
        </w:rPr>
        <w:t> </w:t>
      </w:r>
      <w:r>
        <w:rPr/>
        <w:t>deviation</w:t>
      </w:r>
      <w:r>
        <w:rPr>
          <w:spacing w:val="-1"/>
        </w:rPr>
        <w:t> </w:t>
      </w:r>
      <w:r>
        <w:rPr/>
        <w:t>was also recorded</w:t>
      </w:r>
      <w:r>
        <w:rPr>
          <w:spacing w:val="1"/>
        </w:rPr>
        <w:t> </w:t>
      </w:r>
      <w:r>
        <w:rPr/>
        <w:t>(USP/NF, 2009).</w:t>
      </w:r>
    </w:p>
    <w:p>
      <w:pPr>
        <w:pStyle w:val="ListParagraph"/>
        <w:numPr>
          <w:ilvl w:val="3"/>
          <w:numId w:val="18"/>
        </w:numPr>
        <w:tabs>
          <w:tab w:pos="1186" w:val="left" w:leader="none"/>
        </w:tabs>
        <w:spacing w:line="240" w:lineRule="auto" w:before="120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Tablet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thickness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diameter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465" w:right="1253"/>
        <w:jc w:val="both"/>
      </w:pPr>
      <w:r>
        <w:rPr/>
        <w:t>The thickness and diameter of tablets were measured using the digital micrometre screw</w:t>
      </w:r>
      <w:r>
        <w:rPr>
          <w:spacing w:val="-57"/>
        </w:rPr>
        <w:t> </w:t>
      </w:r>
      <w:r>
        <w:rPr/>
        <w:t>gauge</w:t>
      </w:r>
      <w:r>
        <w:rPr>
          <w:spacing w:val="1"/>
        </w:rPr>
        <w:t> </w:t>
      </w:r>
      <w:r>
        <w:rPr/>
        <w:t>(Mitutoyo,</w:t>
      </w:r>
      <w:r>
        <w:rPr>
          <w:spacing w:val="1"/>
        </w:rPr>
        <w:t> </w:t>
      </w:r>
      <w:r>
        <w:rPr/>
        <w:t>Japan).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(10)</w:t>
      </w:r>
      <w:r>
        <w:rPr>
          <w:spacing w:val="1"/>
        </w:rPr>
        <w:t> </w:t>
      </w:r>
      <w:r>
        <w:rPr/>
        <w:t>determinations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deviation.</w:t>
      </w:r>
    </w:p>
    <w:p>
      <w:pPr>
        <w:pStyle w:val="ListParagraph"/>
        <w:numPr>
          <w:ilvl w:val="3"/>
          <w:numId w:val="18"/>
        </w:numPr>
        <w:tabs>
          <w:tab w:pos="1186" w:val="left" w:leader="none"/>
        </w:tabs>
        <w:spacing w:line="240" w:lineRule="auto" w:before="120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Tensile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strength</w:t>
      </w:r>
    </w:p>
    <w:p>
      <w:pPr>
        <w:pStyle w:val="BodyText"/>
        <w:spacing w:before="6"/>
        <w:rPr>
          <w:i/>
          <w:sz w:val="34"/>
        </w:rPr>
      </w:pPr>
    </w:p>
    <w:p>
      <w:pPr>
        <w:pStyle w:val="BodyText"/>
        <w:spacing w:line="477" w:lineRule="auto"/>
        <w:ind w:left="465" w:right="1261"/>
        <w:jc w:val="both"/>
      </w:pPr>
      <w:r>
        <w:rPr/>
        <w:t>Tensile strength of ten (10) tablets was determined as per the method already described</w:t>
      </w:r>
      <w:r>
        <w:rPr>
          <w:spacing w:val="1"/>
        </w:rPr>
        <w:t> </w:t>
      </w:r>
      <w:r>
        <w:rPr/>
        <w:t>above.</w:t>
      </w:r>
    </w:p>
    <w:p>
      <w:pPr>
        <w:pStyle w:val="ListParagraph"/>
        <w:numPr>
          <w:ilvl w:val="3"/>
          <w:numId w:val="18"/>
        </w:numPr>
        <w:tabs>
          <w:tab w:pos="1186" w:val="left" w:leader="none"/>
        </w:tabs>
        <w:spacing w:line="240" w:lineRule="auto" w:before="123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Friability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465" w:right="1253"/>
        <w:jc w:val="both"/>
      </w:pPr>
      <w:r>
        <w:rPr/>
        <w:t>Tablet</w:t>
      </w:r>
      <w:r>
        <w:rPr>
          <w:spacing w:val="1"/>
        </w:rPr>
        <w:t> </w:t>
      </w:r>
      <w:r>
        <w:rPr/>
        <w:t>friability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USP</w:t>
      </w:r>
      <w:r>
        <w:rPr>
          <w:spacing w:val="1"/>
        </w:rPr>
        <w:t> </w:t>
      </w:r>
      <w:r>
        <w:rPr/>
        <w:t>32/NF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specifications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friabilator</w:t>
      </w:r>
      <w:r>
        <w:rPr>
          <w:spacing w:val="29"/>
        </w:rPr>
        <w:t> </w:t>
      </w:r>
      <w:r>
        <w:rPr/>
        <w:t>was</w:t>
      </w:r>
      <w:r>
        <w:rPr>
          <w:spacing w:val="31"/>
        </w:rPr>
        <w:t> </w:t>
      </w:r>
      <w:r>
        <w:rPr/>
        <w:t>employed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determine</w:t>
      </w:r>
      <w:r>
        <w:rPr>
          <w:spacing w:val="29"/>
        </w:rPr>
        <w:t> </w:t>
      </w:r>
      <w:r>
        <w:rPr/>
        <w:t>tablet</w:t>
      </w:r>
      <w:r>
        <w:rPr>
          <w:spacing w:val="31"/>
        </w:rPr>
        <w:t> </w:t>
      </w:r>
      <w:r>
        <w:rPr/>
        <w:t>friability.</w:t>
      </w:r>
      <w:r>
        <w:rPr>
          <w:spacing w:val="31"/>
        </w:rPr>
        <w:t> </w:t>
      </w:r>
      <w:r>
        <w:rPr/>
        <w:t>Ten</w:t>
      </w:r>
      <w:r>
        <w:rPr>
          <w:spacing w:val="31"/>
        </w:rPr>
        <w:t> </w:t>
      </w:r>
      <w:r>
        <w:rPr/>
        <w:t>tablets</w:t>
      </w:r>
      <w:r>
        <w:rPr>
          <w:spacing w:val="31"/>
        </w:rPr>
        <w:t> </w:t>
      </w:r>
      <w:r>
        <w:rPr/>
        <w:t>were</w:t>
      </w:r>
      <w:r>
        <w:rPr>
          <w:spacing w:val="31"/>
        </w:rPr>
        <w:t> </w:t>
      </w:r>
      <w:r>
        <w:rPr/>
        <w:t>weighed</w:t>
      </w:r>
      <w:r>
        <w:rPr>
          <w:spacing w:val="3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7"/>
        <w:jc w:val="both"/>
      </w:pPr>
      <w:r>
        <w:rPr/>
        <w:t>placed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rotating</w:t>
      </w:r>
      <w:r>
        <w:rPr>
          <w:spacing w:val="1"/>
        </w:rPr>
        <w:t> </w:t>
      </w:r>
      <w:r>
        <w:rPr/>
        <w:t>drum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rpm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min.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de-dusted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reweighed.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percentage friability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formula given</w:t>
      </w:r>
      <w:r>
        <w:rPr>
          <w:spacing w:val="-1"/>
        </w:rPr>
        <w:t> </w:t>
      </w:r>
      <w:r>
        <w:rPr/>
        <w:t>below:</w:t>
      </w:r>
    </w:p>
    <w:p>
      <w:pPr>
        <w:pStyle w:val="BodyText"/>
        <w:spacing w:before="84"/>
        <w:ind w:left="465"/>
        <w:jc w:val="both"/>
      </w:pPr>
      <w:r>
        <w:rPr/>
        <w:pict>
          <v:group style="position:absolute;margin-left:167.089996pt;margin-top:2.203154pt;width:34.35pt;height:10.2pt;mso-position-horizontal-relative:page;mso-position-vertical-relative:paragraph;z-index:15854080" coordorigin="3342,44" coordsize="687,204">
            <v:shape style="position:absolute;left:3349;top:44;width:209;height:147" type="#_x0000_t75" stroked="false">
              <v:imagedata r:id="rId90" o:title=""/>
            </v:shape>
            <v:rect style="position:absolute;left:3620;top:96;width:96;height:12" filled="true" fillcolor="#000000" stroked="false">
              <v:fill type="solid"/>
            </v:rect>
            <v:shape style="position:absolute;left:3776;top:44;width:245;height:173" type="#_x0000_t75" stroked="false">
              <v:imagedata r:id="rId91" o:title=""/>
            </v:shape>
            <v:rect style="position:absolute;left:3341;top:231;width:687;height:17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2260726</wp:posOffset>
            </wp:positionH>
            <wp:positionV relativeFrom="paragraph">
              <wp:posOffset>203240</wp:posOffset>
            </wp:positionV>
            <wp:extent cx="156972" cy="109727"/>
            <wp:effectExtent l="0" t="0" r="0" b="0"/>
            <wp:wrapNone/>
            <wp:docPr id="107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8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2638679</wp:posOffset>
            </wp:positionH>
            <wp:positionV relativeFrom="paragraph">
              <wp:posOffset>111800</wp:posOffset>
            </wp:positionV>
            <wp:extent cx="82295" cy="82296"/>
            <wp:effectExtent l="0" t="0" r="0" b="0"/>
            <wp:wrapNone/>
            <wp:docPr id="109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8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2780410</wp:posOffset>
            </wp:positionH>
            <wp:positionV relativeFrom="paragraph">
              <wp:posOffset>91988</wp:posOffset>
            </wp:positionV>
            <wp:extent cx="228600" cy="105156"/>
            <wp:effectExtent l="0" t="0" r="0" b="0"/>
            <wp:wrapNone/>
            <wp:docPr id="111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8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1.369995pt;margin-top:14.083155pt;width:7pt;height:1.35pt;mso-position-horizontal-relative:page;mso-position-vertical-relative:paragraph;z-index:15856128" coordorigin="4827,282" coordsize="140,27" path="m4851,282l4827,282,4827,308,4851,308,4851,282xm4909,282l4885,282,4885,308,4909,308,4909,282xm4967,282l4943,282,4943,308,4967,308,4967,28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2.410004pt;margin-top:14.083155pt;width:7pt;height:1.35pt;mso-position-horizontal-relative:page;mso-position-vertical-relative:paragraph;z-index:15856640" coordorigin="5048,282" coordsize="140,27" path="m5072,282l5048,282,5048,308,5072,308,5072,282xm5130,282l5106,282,5106,308,5130,308,5130,282xm5187,282l5163,282,5163,308,5187,308,5187,28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3.329987pt;margin-top:14.083155pt;width:7pt;height:1.35pt;mso-position-horizontal-relative:page;mso-position-vertical-relative:paragraph;z-index:15857152" coordorigin="5267,282" coordsize="140,27" path="m5291,282l5267,282,5267,308,5291,308,5291,282xm5348,282l5324,282,5324,308,5348,308,5348,282xm5406,282l5382,282,5382,308,5406,308,5406,28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4.390015pt;margin-top:14.083155pt;width:7pt;height:1.35pt;mso-position-horizontal-relative:page;mso-position-vertical-relative:paragraph;z-index:15857664" coordorigin="5488,282" coordsize="140,27" path="m5512,282l5488,282,5488,308,5512,308,5512,282xm5569,282l5545,282,5545,308,5569,308,5569,282xm5627,282l5603,282,5603,308,5627,308,5627,282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85.429993pt;margin-top:7.363154pt;width:25.7pt;height:10.6pt;mso-position-horizontal-relative:page;mso-position-vertical-relative:paragraph;z-index:15858176" coordorigin="5709,147" coordsize="514,212">
            <v:shape style="position:absolute;left:5708;top:281;width:140;height:27" coordorigin="5709,282" coordsize="140,27" path="m5733,282l5709,282,5709,308,5733,308,5733,282xm5790,282l5766,282,5766,308,5790,308,5790,282xm5848,282l5824,282,5824,308,5848,308,5848,282xe" filled="true" fillcolor="#000000" stroked="false">
              <v:path arrowok="t"/>
              <v:fill type="solid"/>
            </v:shape>
            <v:shape style="position:absolute;left:5907;top:147;width:260;height:212" type="#_x0000_t75" stroked="false">
              <v:imagedata r:id="rId11" o:title=""/>
            </v:shape>
            <v:rect style="position:absolute;left:6198;top:281;width:24;height:27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3998340</wp:posOffset>
            </wp:positionH>
            <wp:positionV relativeFrom="paragraph">
              <wp:posOffset>91988</wp:posOffset>
            </wp:positionV>
            <wp:extent cx="147828" cy="105156"/>
            <wp:effectExtent l="0" t="0" r="0" b="0"/>
            <wp:wrapNone/>
            <wp:docPr id="11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8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%</w:t>
      </w:r>
      <w:r>
        <w:rPr>
          <w:spacing w:val="-1"/>
        </w:rPr>
        <w:t> </w:t>
      </w:r>
      <w:r>
        <w:rPr/>
        <w:t>friability</w:t>
      </w:r>
      <w:r>
        <w:rPr>
          <w:spacing w:val="-3"/>
        </w:rPr>
        <w:t> </w:t>
      </w:r>
      <w:r>
        <w:rPr/>
        <w:t>=</w:t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spacing w:before="1"/>
        <w:ind w:left="465"/>
        <w:jc w:val="both"/>
      </w:pPr>
      <w:r>
        <w:rPr/>
        <w:t>where</w:t>
      </w:r>
      <w:r>
        <w:rPr>
          <w:i/>
        </w:rPr>
        <w:t>W</w:t>
      </w:r>
      <w:r>
        <w:rPr>
          <w:i/>
          <w:vertAlign w:val="subscript"/>
        </w:rPr>
        <w:t>i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initial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tablet and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W</w:t>
      </w:r>
      <w:r>
        <w:rPr>
          <w:i/>
          <w:vertAlign w:val="subscript"/>
        </w:rPr>
        <w:t>f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final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tablets.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3"/>
          <w:numId w:val="18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Disintegration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465" w:right="1256"/>
        <w:jc w:val="both"/>
      </w:pPr>
      <w:r>
        <w:rPr/>
        <w:t>Disintegration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six</w:t>
      </w:r>
      <w:r>
        <w:rPr>
          <w:spacing w:val="1"/>
        </w:rPr>
        <w:t> </w:t>
      </w:r>
      <w:r>
        <w:rPr/>
        <w:t>replicates. Measurements were performed on a disintegration apparatus following the</w:t>
      </w:r>
      <w:r>
        <w:rPr>
          <w:spacing w:val="1"/>
        </w:rPr>
        <w:t> </w:t>
      </w:r>
      <w:r>
        <w:rPr/>
        <w:t>method described in the USP 32/NF 27 (2009). The test was carried out without discs in</w:t>
      </w:r>
      <w:r>
        <w:rPr>
          <w:spacing w:val="-57"/>
        </w:rPr>
        <w:t> </w:t>
      </w:r>
      <w:r>
        <w:rPr/>
        <w:t>distilled water regulated at 37 ± 2 °C. The tablet was considered disintegrated at the</w:t>
      </w:r>
      <w:r>
        <w:rPr>
          <w:spacing w:val="1"/>
        </w:rPr>
        <w:t> </w:t>
      </w:r>
      <w:r>
        <w:rPr/>
        <w:t>moment</w:t>
      </w:r>
      <w:r>
        <w:rPr>
          <w:spacing w:val="-1"/>
        </w:rPr>
        <w:t> </w:t>
      </w:r>
      <w:r>
        <w:rPr/>
        <w:t>when there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no remainder in the</w:t>
      </w:r>
      <w:r>
        <w:rPr>
          <w:spacing w:val="-1"/>
        </w:rPr>
        <w:t> </w:t>
      </w:r>
      <w:r>
        <w:rPr/>
        <w:t>basket.</w:t>
      </w:r>
    </w:p>
    <w:p>
      <w:pPr>
        <w:pStyle w:val="ListParagraph"/>
        <w:numPr>
          <w:ilvl w:val="3"/>
          <w:numId w:val="18"/>
        </w:numPr>
        <w:tabs>
          <w:tab w:pos="1186" w:val="left" w:leader="none"/>
        </w:tabs>
        <w:spacing w:line="240" w:lineRule="auto" w:before="121" w:after="0"/>
        <w:ind w:left="1185" w:right="0" w:hanging="721"/>
        <w:jc w:val="both"/>
        <w:rPr>
          <w:i/>
          <w:sz w:val="24"/>
        </w:rPr>
      </w:pPr>
      <w:r>
        <w:rPr>
          <w:i/>
          <w:sz w:val="24"/>
        </w:rPr>
        <w:t>In-vitro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drug release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studies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BodyText"/>
        <w:spacing w:line="480" w:lineRule="auto"/>
        <w:ind w:left="465" w:right="1251"/>
        <w:jc w:val="both"/>
      </w:pP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calibration</w:t>
      </w:r>
      <w:r>
        <w:rPr>
          <w:spacing w:val="1"/>
        </w:rPr>
        <w:t> </w:t>
      </w:r>
      <w:r>
        <w:rPr/>
        <w:t>curve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ibuprofen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preparing a stock solution of ibuprofen</w:t>
      </w:r>
      <w:r>
        <w:rPr>
          <w:spacing w:val="60"/>
        </w:rPr>
        <w:t> </w:t>
      </w:r>
      <w:r>
        <w:rPr/>
        <w:t>(0.1 mg/mL) in Phosphate buffer (pH 7.2).</w:t>
      </w:r>
      <w:r>
        <w:rPr>
          <w:spacing w:val="1"/>
        </w:rPr>
        <w:t> </w:t>
      </w:r>
      <w:r>
        <w:rPr/>
        <w:t>Serial dilutions of the stock solution ranging from 1 – 10 µg/mL were prepared by</w:t>
      </w:r>
      <w:r>
        <w:rPr>
          <w:spacing w:val="1"/>
        </w:rPr>
        <w:t> </w:t>
      </w:r>
      <w:r>
        <w:rPr/>
        <w:t>diluting with phosphate buffer (pH 7.2). Absorbance readings were taken at 221 nm and</w:t>
      </w:r>
      <w:r>
        <w:rPr>
          <w:spacing w:val="-57"/>
        </w:rPr>
        <w:t> </w:t>
      </w:r>
      <w:r>
        <w:rPr/>
        <w:t>a linear plot of absorbance against concentration (µg/mL) was generated. The equation</w:t>
      </w:r>
      <w:r>
        <w:rPr>
          <w:spacing w:val="1"/>
        </w:rPr>
        <w:t> </w:t>
      </w:r>
      <w:r>
        <w:rPr/>
        <w:t>of the straight line (y = 0.0951x) was used to calculate the amount of drug released at</w:t>
      </w:r>
      <w:r>
        <w:rPr>
          <w:spacing w:val="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intervals during</w:t>
      </w:r>
      <w:r>
        <w:rPr>
          <w:spacing w:val="-3"/>
        </w:rPr>
        <w:t> </w:t>
      </w:r>
      <w:r>
        <w:rPr/>
        <w:t>dissolution studies.</w:t>
      </w:r>
    </w:p>
    <w:p>
      <w:pPr>
        <w:pStyle w:val="BodyText"/>
        <w:spacing w:line="480" w:lineRule="auto" w:before="121"/>
        <w:ind w:left="465" w:right="1253"/>
        <w:jc w:val="both"/>
      </w:pPr>
      <w:r>
        <w:rPr/>
        <w:t>Dissolution studies was carried out using the USP Apparatus II (paddle) method (USP</w:t>
      </w:r>
      <w:r>
        <w:rPr>
          <w:spacing w:val="1"/>
        </w:rPr>
        <w:t> </w:t>
      </w:r>
      <w:r>
        <w:rPr/>
        <w:t>32/NF 27) (2009) on the dissolution tester (USP). 900 mL of phosphate buffer (pH 7.2)</w:t>
      </w:r>
      <w:r>
        <w:rPr>
          <w:spacing w:val="1"/>
        </w:rPr>
        <w:t> </w:t>
      </w:r>
      <w:r>
        <w:rPr/>
        <w:t>was prepared and utilized as dissolution medium. The temperature of the dissolution</w:t>
      </w:r>
      <w:r>
        <w:rPr>
          <w:spacing w:val="1"/>
        </w:rPr>
        <w:t> </w:t>
      </w:r>
      <w:r>
        <w:rPr/>
        <w:t>medium and speed of rotation were set at 37 ± 0.5 ° C and 50 rpm respectively. Five</w:t>
      </w:r>
      <w:r>
        <w:rPr>
          <w:spacing w:val="1"/>
        </w:rPr>
        <w:t> </w:t>
      </w:r>
      <w:r>
        <w:rPr/>
        <w:t>millilitre aliquots were withdrawn at specific time intervals (5, 10, 20, 30, 45 and 60</w:t>
      </w:r>
      <w:r>
        <w:rPr>
          <w:spacing w:val="1"/>
        </w:rPr>
        <w:t> </w:t>
      </w:r>
      <w:r>
        <w:rPr/>
        <w:t>min)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replaced</w:t>
      </w:r>
      <w:r>
        <w:rPr>
          <w:spacing w:val="16"/>
        </w:rPr>
        <w:t> </w:t>
      </w:r>
      <w:r>
        <w:rPr/>
        <w:t>with</w:t>
      </w:r>
      <w:r>
        <w:rPr>
          <w:spacing w:val="14"/>
        </w:rPr>
        <w:t> </w:t>
      </w:r>
      <w:r>
        <w:rPr/>
        <w:t>equal</w:t>
      </w:r>
      <w:r>
        <w:rPr>
          <w:spacing w:val="14"/>
        </w:rPr>
        <w:t> </w:t>
      </w:r>
      <w:r>
        <w:rPr/>
        <w:t>volume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phosphate</w:t>
      </w:r>
      <w:r>
        <w:rPr>
          <w:spacing w:val="13"/>
        </w:rPr>
        <w:t> </w:t>
      </w:r>
      <w:r>
        <w:rPr/>
        <w:t>buffer</w:t>
      </w:r>
      <w:r>
        <w:rPr>
          <w:spacing w:val="15"/>
        </w:rPr>
        <w:t> </w:t>
      </w:r>
      <w:r>
        <w:rPr/>
        <w:t>(pH</w:t>
      </w:r>
      <w:r>
        <w:rPr>
          <w:spacing w:val="12"/>
        </w:rPr>
        <w:t> </w:t>
      </w:r>
      <w:r>
        <w:rPr/>
        <w:t>7.2)</w:t>
      </w:r>
      <w:r>
        <w:rPr>
          <w:spacing w:val="18"/>
        </w:rPr>
        <w:t> </w:t>
      </w:r>
      <w:r>
        <w:rPr/>
        <w:t>at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same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4"/>
        <w:jc w:val="both"/>
      </w:pPr>
      <w:r>
        <w:rPr/>
        <w:t>temperature for a period of 1 h. Each sample was filtered using a 0.2 µ membrane disc</w:t>
      </w:r>
      <w:r>
        <w:rPr>
          <w:spacing w:val="1"/>
        </w:rPr>
        <w:t> </w:t>
      </w:r>
      <w:r>
        <w:rPr/>
        <w:t>filter and suitably diluted (1 in 10) with phosphate buffer (pH 7.2). The amount of drug</w:t>
      </w:r>
      <w:r>
        <w:rPr>
          <w:spacing w:val="1"/>
        </w:rPr>
        <w:t> </w:t>
      </w:r>
      <w:r>
        <w:rPr/>
        <w:t>released was determined spectrophotometrically by taking absorbance readings at 221</w:t>
      </w:r>
      <w:r>
        <w:rPr>
          <w:spacing w:val="1"/>
        </w:rPr>
        <w:t> </w:t>
      </w:r>
      <w:r>
        <w:rPr/>
        <w:t>nm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 UV/VIS spectrophotometer</w:t>
      </w:r>
      <w:r>
        <w:rPr>
          <w:spacing w:val="-1"/>
        </w:rPr>
        <w:t> </w:t>
      </w:r>
      <w:r>
        <w:rPr/>
        <w:t>(Lambda</w:t>
      </w:r>
      <w:r>
        <w:rPr>
          <w:spacing w:val="-1"/>
        </w:rPr>
        <w:t> </w:t>
      </w:r>
      <w:r>
        <w:rPr/>
        <w:t>35, PerkinElmer,</w:t>
      </w:r>
      <w:r>
        <w:rPr>
          <w:spacing w:val="-1"/>
        </w:rPr>
        <w:t> </w:t>
      </w:r>
      <w:r>
        <w:rPr/>
        <w:t>USA).</w:t>
      </w:r>
    </w:p>
    <w:p>
      <w:pPr>
        <w:pStyle w:val="BodyText"/>
        <w:spacing w:line="480" w:lineRule="auto" w:before="120"/>
        <w:ind w:left="465" w:right="1263"/>
        <w:jc w:val="both"/>
      </w:pPr>
      <w:r>
        <w:rPr/>
        <w:drawing>
          <wp:anchor distT="0" distB="0" distL="0" distR="0" allowOverlap="1" layoutInCell="1" locked="0" behindDoc="0" simplePos="0" relativeHeight="255">
            <wp:simplePos x="0" y="0"/>
            <wp:positionH relativeFrom="page">
              <wp:posOffset>1687322</wp:posOffset>
            </wp:positionH>
            <wp:positionV relativeFrom="paragraph">
              <wp:posOffset>956477</wp:posOffset>
            </wp:positionV>
            <wp:extent cx="173020" cy="138112"/>
            <wp:effectExtent l="0" t="0" r="0" b="0"/>
            <wp:wrapTopAndBottom/>
            <wp:docPr id="115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8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2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4.340012pt;margin-top:78.553123pt;width:7.2pt;height:3.4pt;mso-position-horizontal-relative:page;mso-position-vertical-relative:paragraph;z-index:-15597568;mso-wrap-distance-left:0;mso-wrap-distance-right:0" coordorigin="3087,1571" coordsize="144,68" path="m3231,1621l3087,1621,3087,1638,3231,1638,3231,1621xm3231,1571l3087,1571,3087,1588,3231,1588,3231,157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7">
            <wp:simplePos x="0" y="0"/>
            <wp:positionH relativeFrom="page">
              <wp:posOffset>2117470</wp:posOffset>
            </wp:positionH>
            <wp:positionV relativeFrom="paragraph">
              <wp:posOffset>956477</wp:posOffset>
            </wp:positionV>
            <wp:extent cx="160264" cy="107346"/>
            <wp:effectExtent l="0" t="0" r="0" b="0"/>
            <wp:wrapTopAndBottom/>
            <wp:docPr id="117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9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6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">
            <wp:simplePos x="0" y="0"/>
            <wp:positionH relativeFrom="page">
              <wp:posOffset>2368930</wp:posOffset>
            </wp:positionH>
            <wp:positionV relativeFrom="paragraph">
              <wp:posOffset>979337</wp:posOffset>
            </wp:positionV>
            <wp:extent cx="82581" cy="82581"/>
            <wp:effectExtent l="0" t="0" r="0" b="0"/>
            <wp:wrapTopAndBottom/>
            <wp:docPr id="11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7.570007pt;margin-top:65.083153pt;width:37.7pt;height:30.4pt;mso-position-horizontal-relative:page;mso-position-vertical-relative:paragraph;z-index:-15596032;mso-wrap-distance-left:0;mso-wrap-distance-right:0" coordorigin="3951,1302" coordsize="754,608">
            <v:shape style="position:absolute;left:3951;top:1503;width:360;height:221" type="#_x0000_t75" stroked="false">
              <v:imagedata r:id="rId98" o:title=""/>
            </v:shape>
            <v:shape style="position:absolute;left:4376;top:1301;width:195;height:608" coordorigin="4376,1302" coordsize="195,608" path="m4477,1302l4460,1306,4445,1314,4431,1325,4419,1340,4411,1358,4405,1380,4402,1404,4400,1432,4401,1445,4402,1459,4405,1492,4408,1509,4410,1522,4412,1534,4412,1542,4411,1556,4409,1567,4406,1577,4403,1585,4395,1595,4388,1600,4376,1600,4376,1612,4388,1612,4395,1617,4403,1626,4406,1636,4409,1646,4411,1657,4412,1669,4412,1677,4410,1688,4405,1722,4401,1773,4400,1785,4402,1812,4406,1835,4412,1856,4422,1873,4432,1888,4445,1899,4460,1906,4477,1909,4477,1900,4467,1900,4460,1895,4455,1890,4448,1885,4441,1878,4431,1859,4429,1849,4425,1825,4425,1814,4424,1789,4425,1770,4426,1754,4429,1734,4434,1681,4433,1666,4431,1653,4427,1641,4422,1631,4415,1619,4407,1609,4400,1607,4400,1605,4407,1602,4415,1595,4427,1571,4431,1559,4433,1546,4434,1530,4433,1523,4429,1480,4426,1461,4425,1446,4424,1433,4425,1398,4425,1387,4429,1362,4443,1333,4448,1326,4455,1321,4460,1316,4467,1314,4477,1311,4477,1302xm4571,1368l4511,1368,4511,1380,4511,1834,4511,1846,4571,1846,4571,1834,4535,1834,4535,1380,4571,1380,4571,1368xe" filled="true" fillcolor="#000000" stroked="false">
              <v:path arrowok="t"/>
              <v:fill type="solid"/>
            </v:shape>
            <v:shape style="position:absolute;left:4594;top:1511;width:111;height:164" type="#_x0000_t75" stroked="false">
              <v:imagedata r:id="rId99" o:title=""/>
            </v:shape>
            <w10:wrap type="topAndBottom"/>
          </v:group>
        </w:pict>
      </w:r>
      <w:r>
        <w:rPr/>
        <w:pict>
          <v:shape style="position:absolute;margin-left:241.970016pt;margin-top:76.483124pt;width:7.2pt;height:7.6pt;mso-position-horizontal-relative:page;mso-position-vertical-relative:paragraph;z-index:-15595520;mso-wrap-distance-left:0;mso-wrap-distance-right:0" coordorigin="4839,1530" coordsize="144,152" path="m4983,1598l4921,1598,4921,1530,4904,1530,4904,1598,4839,1598,4839,1614,4904,1614,4904,1682,4921,1682,4921,1614,4983,1614,4983,159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56.369995pt;margin-top:66.403152pt;width:53.55pt;height:25.75pt;mso-position-horizontal-relative:page;mso-position-vertical-relative:paragraph;z-index:-15595008;mso-wrap-distance-left:0;mso-wrap-distance-right:0" coordorigin="5127,1328" coordsize="1071,515">
            <v:shape style="position:absolute;left:5127;top:1369;width:89;height:473" coordorigin="5127,1369" coordsize="89,473" path="m5211,1369l5164,1428,5141,1488,5129,1564,5127,1607,5129,1650,5141,1724,5164,1784,5211,1842,5216,1835,5202,1819,5189,1799,5160,1718,5150,1647,5149,1607,5150,1566,5160,1494,5178,1436,5216,1377,5211,1369xe" filled="true" fillcolor="#000000" stroked="false">
              <v:path arrowok="t"/>
              <v:fill type="solid"/>
            </v:shape>
            <v:shape style="position:absolute;left:5252;top:1328;width:111;height:164" type="#_x0000_t75" stroked="false">
              <v:imagedata r:id="rId100" o:title=""/>
            </v:shape>
            <v:shape style="position:absolute;left:5230;top:1719;width:152;height:118" type="#_x0000_t75" stroked="false">
              <v:imagedata r:id="rId101" o:title=""/>
            </v:shape>
            <v:shape style="position:absolute;left:5228;top:1369;width:613;height:473" coordorigin="5228,1369" coordsize="613,473" path="m5384,1597l5228,1597,5228,1614,5384,1614,5384,1597xm5483,1607l5482,1564,5477,1524,5470,1488,5459,1456,5446,1428,5431,1404,5416,1384,5399,1369,5394,1377,5408,1393,5421,1413,5432,1436,5442,1463,5450,1494,5456,1528,5460,1566,5461,1607,5460,1647,5456,1684,5450,1718,5442,1749,5432,1776,5421,1799,5408,1819,5394,1835,5399,1842,5416,1827,5431,1808,5446,1784,5459,1756,5470,1724,5477,1689,5482,1650,5483,1607xm5841,1749l5824,1749,5818,1776,5815,1785,5812,1792,5807,1799,5800,1801,5586,1801,5737,1595,5737,1583,5598,1391,5793,1391,5802,1396,5807,1405,5812,1413,5815,1422,5817,1432,5819,1444,5833,1444,5833,1377,5550,1377,5550,1386,5711,1600,5545,1823,5545,1835,5833,1835,5841,1749xe" filled="true" fillcolor="#000000" stroked="false">
              <v:path arrowok="t"/>
              <v:fill type="solid"/>
            </v:shape>
            <v:shape style="position:absolute;left:5881;top:1494;width:317;height:231" type="#_x0000_t75" stroked="false">
              <v:imagedata r:id="rId102" o:title=""/>
            </v:shape>
            <w10:wrap type="topAndBottom"/>
          </v:group>
        </w:pict>
      </w:r>
      <w:r>
        <w:rPr/>
        <w:pict>
          <v:rect style="position:absolute;margin-left:316.510010pt;margin-top:79.873154pt;width:7.2pt;height:.84pt;mso-position-horizontal-relative:page;mso-position-vertical-relative:paragraph;z-index:-1559449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330.309998pt;margin-top:63.163155pt;width:46pt;height:29.15pt;mso-position-horizontal-relative:page;mso-position-vertical-relative:paragraph;z-index:-15593984;mso-wrap-distance-left:0;mso-wrap-distance-right:0" coordorigin="6606,1263" coordsize="920,583">
            <v:shape style="position:absolute;left:6606;top:1494;width:303;height:231" type="#_x0000_t75" stroked="false">
              <v:imagedata r:id="rId103" o:title=""/>
            </v:shape>
            <v:shape style="position:absolute;left:6942;top:1325;width:303;height:520" coordorigin="6942,1326" coordsize="303,520" path="m7019,1554l7009,1554,7009,1557,7007,1559,7007,1561,7005,1564,6966,1564,6969,1559,6983,1545,6985,1540,6995,1533,7007,1521,7012,1511,7014,1509,7017,1504,7017,1487,7014,1482,7012,1480,7007,1475,7002,1473,6997,1473,6990,1470,6971,1470,6966,1473,6961,1473,6954,1475,6945,1480,6945,1499,6959,1499,6961,1487,6966,1480,6981,1480,6990,1489,6990,1509,6988,1511,6978,1530,6973,1535,6969,1542,6959,1553,6952,1563,6946,1573,6942,1581,6942,1585,7017,1585,7018,1564,7019,1554xm7108,1368l7048,1368,7048,1380,7084,1380,7084,1834,7048,1834,7048,1846,7108,1846,7108,1834,7108,1380,7108,1368xm7245,1326l7149,1326,7149,1338,7245,1338,7245,1326xe" filled="true" fillcolor="#000000" stroked="false">
              <v:path arrowok="t"/>
              <v:fill type="solid"/>
            </v:shape>
            <v:shape style="position:absolute;left:7307;top:1263;width:219;height:121" type="#_x0000_t75" stroked="false">
              <v:imagedata r:id="rId10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4">
            <wp:simplePos x="0" y="0"/>
            <wp:positionH relativeFrom="page">
              <wp:posOffset>4870450</wp:posOffset>
            </wp:positionH>
            <wp:positionV relativeFrom="paragraph">
              <wp:posOffset>979337</wp:posOffset>
            </wp:positionV>
            <wp:extent cx="82581" cy="82581"/>
            <wp:effectExtent l="0" t="0" r="0" b="0"/>
            <wp:wrapTopAndBottom/>
            <wp:docPr id="121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4.660004pt;margin-top:65.083153pt;width:26.05pt;height:30.4pt;mso-position-horizontal-relative:page;mso-position-vertical-relative:paragraph;z-index:-15592960;mso-wrap-distance-left:0;mso-wrap-distance-right:0" coordorigin="7893,1302" coordsize="521,608">
            <v:shape style="position:absolute;left:7893;top:1511;width:399;height:166" type="#_x0000_t75" stroked="false">
              <v:imagedata r:id="rId105" o:title=""/>
            </v:shape>
            <v:shape style="position:absolute;left:8313;top:1301;width:101;height:608" coordorigin="8313,1302" coordsize="101,608" path="m8313,1302l8313,1311,8323,1314,8330,1316,8335,1321,8342,1326,8347,1333,8361,1362,8365,1386,8366,1398,8366,1422,8365,1446,8364,1461,8361,1480,8356,1530,8376,1595,8390,1605,8390,1607,8357,1666,8356,1681,8361,1734,8364,1754,8365,1770,8366,1782,8366,1814,8365,1825,8361,1849,8347,1878,8342,1885,8335,1890,8330,1895,8323,1900,8313,1900,8313,1909,8368,1873,8389,1812,8390,1785,8390,1773,8388,1759,8386,1742,8383,1722,8378,1669,8402,1612,8414,1612,8414,1600,8402,1600,8395,1595,8378,1542,8378,1534,8383,1492,8386,1475,8388,1459,8390,1445,8390,1432,8389,1404,8368,1340,8330,1306,8313,130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424.660004pt;margin-top:82.393158pt;width:7pt;height:1.35pt;mso-position-horizontal-relative:page;mso-position-vertical-relative:paragraph;z-index:-15592448;mso-wrap-distance-left:0;mso-wrap-distance-right:0" coordorigin="8493,1648" coordsize="140,27" path="m8517,1648l8493,1648,8493,1674,8517,1674,8517,1648xm8575,1648l8551,1648,8551,1674,8575,1674,8575,1648xm8632,1648l8608,1648,8608,1674,8632,1674,8632,164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35.700012pt;margin-top:82.393158pt;width:7pt;height:1.35pt;mso-position-horizontal-relative:page;mso-position-vertical-relative:paragraph;z-index:-15591936;mso-wrap-distance-left:0;mso-wrap-distance-right:0" coordorigin="8714,1648" coordsize="140,27" path="m8738,1648l8714,1648,8714,1674,8738,1674,8738,1648xm8796,1648l8772,1648,8772,1674,8796,1674,8796,1648xm8853,1648l8829,1648,8829,1674,8853,1674,8853,164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46.740021pt;margin-top:75.673126pt;width:26.55pt;height:10.6pt;mso-position-horizontal-relative:page;mso-position-vertical-relative:paragraph;z-index:-15591424;mso-wrap-distance-left:0;mso-wrap-distance-right:0" coordorigin="8935,1513" coordsize="531,212" path="m8959,1648l8935,1648,8935,1674,8959,1674,8959,1648xm9016,1648l8992,1648,8992,1674,9016,1674,9016,1648xm9074,1648l9050,1648,9050,1674,9074,1674,9074,1648xm9278,1513l9163,1513,9163,1521,9165,1523,9168,1523,9172,1528,9172,1537,9170,1540,9170,1545,9148,1643,9144,1657,9144,1660,9141,1662,9132,1667,9132,1674,9242,1674,9246,1660,9254,1631,9237,1631,9232,1641,9230,1643,9230,1648,9223,1655,9220,1655,9216,1660,9180,1660,9194,1597,9216,1597,9220,1602,9220,1614,9232,1614,9237,1597,9240,1583,9244,1566,9232,1566,9230,1571,9228,1573,9228,1576,9223,1581,9220,1581,9218,1583,9196,1583,9208,1528,9244,1528,9249,1533,9252,1533,9252,1540,9254,1545,9254,1552,9268,1552,9274,1528,9278,1513xm9417,1559l9403,1557,9393,1564,9386,1559,9379,1557,9379,1581,9379,1590,9376,1597,9376,1602,9374,1607,9372,1619,9369,1629,9367,1633,9362,1641,9360,1648,9352,1653,9348,1657,9343,1660,9331,1660,9328,1655,9328,1653,9326,1648,9326,1633,9328,1621,9333,1609,9336,1597,9340,1588,9345,1581,9357,1569,9369,1569,9374,1571,9374,1573,9376,1576,9379,1581,9379,1557,9376,1557,9352,1557,9343,1559,9333,1564,9319,1573,9314,1581,9307,1588,9302,1597,9300,1607,9297,1619,9295,1629,9295,1653,9297,1660,9307,1674,9314,1677,9331,1677,9340,1674,9345,1672,9360,1662,9361,1660,9364,1653,9367,1653,9348,1725,9396,1725,9398,1717,9393,1717,9391,1715,9388,1715,9386,1713,9386,1698,9388,1693,9397,1653,9415,1569,9416,1564,9417,1559xm9465,1648l9441,1648,9441,1674,9465,1674,9465,164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6056121</wp:posOffset>
            </wp:positionH>
            <wp:positionV relativeFrom="paragraph">
              <wp:posOffset>959525</wp:posOffset>
            </wp:positionV>
            <wp:extent cx="161569" cy="102679"/>
            <wp:effectExtent l="0" t="0" r="0" b="0"/>
            <wp:wrapTopAndBottom/>
            <wp:docPr id="123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9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6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Similarity factor</w:t>
      </w:r>
      <w:r>
        <w:rPr>
          <w:spacing w:val="1"/>
        </w:rPr>
        <w:t> </w:t>
      </w:r>
      <w:r>
        <w:rPr/>
        <w:t>(</w:t>
      </w:r>
      <w:r>
        <w:rPr>
          <w:i/>
        </w:rPr>
        <w:t>ƒ</w:t>
      </w:r>
      <w:r>
        <w:rPr/>
        <w:t>2)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formulations.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formula</w:t>
      </w:r>
      <w:r>
        <w:rPr>
          <w:spacing w:val="-1"/>
        </w:rPr>
        <w:t> </w:t>
      </w:r>
      <w:r>
        <w:rPr/>
        <w:t>is given below:</w:t>
      </w:r>
    </w:p>
    <w:p>
      <w:pPr>
        <w:pStyle w:val="BodyText"/>
        <w:spacing w:before="7"/>
      </w:pPr>
    </w:p>
    <w:p>
      <w:pPr>
        <w:pStyle w:val="BodyText"/>
        <w:spacing w:before="90"/>
        <w:ind w:left="465"/>
      </w:pPr>
      <w:r>
        <w:rPr>
          <w:spacing w:val="-4"/>
        </w:rPr>
        <w:t>where</w:t>
      </w:r>
      <w:r>
        <w:rPr>
          <w:spacing w:val="-57"/>
        </w:rPr>
        <w:t> </w:t>
      </w:r>
      <w:r>
        <w:rPr>
          <w:spacing w:val="-14"/>
          <w:w w:val="99"/>
          <w:position w:val="-4"/>
        </w:rPr>
        <w:drawing>
          <wp:inline distT="0" distB="0" distL="0" distR="0">
            <wp:extent cx="173736" cy="138684"/>
            <wp:effectExtent l="0" t="0" r="0" b="0"/>
            <wp:docPr id="125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0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w w:val="99"/>
          <w:position w:val="-4"/>
        </w:rPr>
      </w:r>
      <w:r>
        <w:rPr>
          <w:spacing w:val="-14"/>
          <w:w w:val="99"/>
        </w:rPr>
        <w:t> </w:t>
      </w:r>
      <w:r>
        <w:rPr>
          <w:spacing w:val="-13"/>
          <w:w w:val="99"/>
        </w:rPr>
        <w:t> </w:t>
      </w:r>
      <w:r>
        <w:rPr>
          <w:b/>
        </w:rPr>
        <w:t>= </w:t>
      </w:r>
      <w:r>
        <w:rPr/>
        <w:t>Similarity</w:t>
      </w:r>
      <w:r>
        <w:rPr>
          <w:spacing w:val="-4"/>
        </w:rPr>
        <w:t> </w:t>
      </w:r>
      <w:r>
        <w:rPr/>
        <w:t>factor</w:t>
      </w: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583" w:lineRule="auto" w:before="1"/>
        <w:ind w:left="465" w:right="1587"/>
      </w:pPr>
      <w:r>
        <w:rPr/>
        <w:t>n = number of time points where percentage drug release for both products is ≥ 85 %</w:t>
      </w:r>
      <w:r>
        <w:rPr>
          <w:spacing w:val="-57"/>
        </w:rPr>
        <w:t> </w:t>
      </w:r>
      <w:r>
        <w:rPr/>
        <w:t>Rt</w:t>
      </w:r>
      <w:r>
        <w:rPr>
          <w:spacing w:val="-1"/>
        </w:rPr>
        <w:t> </w:t>
      </w:r>
      <w:r>
        <w:rPr/>
        <w:t>= Cumulative</w:t>
      </w:r>
      <w:r>
        <w:rPr>
          <w:spacing w:val="-1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dissolved of</w:t>
      </w:r>
      <w:r>
        <w:rPr>
          <w:spacing w:val="-3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product at time t.</w:t>
      </w:r>
    </w:p>
    <w:p>
      <w:pPr>
        <w:pStyle w:val="BodyText"/>
        <w:spacing w:before="2"/>
        <w:ind w:left="465"/>
      </w:pPr>
      <w:r>
        <w:rPr/>
        <w:t>Tt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Cumulative</w:t>
      </w:r>
      <w:r>
        <w:rPr>
          <w:spacing w:val="-2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dissolved of</w:t>
      </w:r>
      <w:r>
        <w:rPr>
          <w:spacing w:val="-3"/>
        </w:rPr>
        <w:t> </w:t>
      </w:r>
      <w:r>
        <w:rPr/>
        <w:t>test product at</w:t>
      </w:r>
      <w:r>
        <w:rPr>
          <w:spacing w:val="-1"/>
        </w:rPr>
        <w:t> </w:t>
      </w:r>
      <w:r>
        <w:rPr/>
        <w:t>time t.</w:t>
      </w:r>
    </w:p>
    <w:p>
      <w:pPr>
        <w:spacing w:after="0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ind w:left="644" w:right="1436"/>
        <w:jc w:val="center"/>
      </w:pPr>
      <w:bookmarkStart w:name="_TOC_250039" w:id="67"/>
      <w:r>
        <w:rPr/>
        <w:t>CHAPTER</w:t>
      </w:r>
      <w:r>
        <w:rPr>
          <w:spacing w:val="-3"/>
        </w:rPr>
        <w:t> </w:t>
      </w:r>
      <w:bookmarkEnd w:id="67"/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1"/>
          <w:numId w:val="19"/>
        </w:numPr>
        <w:tabs>
          <w:tab w:pos="4529" w:val="left" w:leader="none"/>
          <w:tab w:pos="4530" w:val="left" w:leader="none"/>
        </w:tabs>
        <w:spacing w:line="240" w:lineRule="auto" w:before="218" w:after="0"/>
        <w:ind w:left="4529" w:right="0" w:hanging="721"/>
        <w:jc w:val="left"/>
      </w:pPr>
      <w:bookmarkStart w:name="_TOC_250038" w:id="68"/>
      <w:bookmarkEnd w:id="68"/>
      <w:r>
        <w:rPr/>
        <w:t>RESULTS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1"/>
          <w:numId w:val="19"/>
        </w:numPr>
        <w:tabs>
          <w:tab w:pos="1186" w:val="left" w:leader="none"/>
        </w:tabs>
        <w:spacing w:line="240" w:lineRule="auto" w:before="217" w:after="0"/>
        <w:ind w:left="1185" w:right="0" w:hanging="721"/>
        <w:jc w:val="both"/>
      </w:pPr>
      <w:bookmarkStart w:name="_TOC_250037" w:id="69"/>
      <w:r>
        <w:rPr/>
        <w:t>Selection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optimized</w:t>
      </w:r>
      <w:r>
        <w:rPr>
          <w:spacing w:val="-2"/>
        </w:rPr>
        <w:t> </w:t>
      </w:r>
      <w:r>
        <w:rPr/>
        <w:t>composition using</w:t>
      </w:r>
      <w:r>
        <w:rPr>
          <w:spacing w:val="-2"/>
        </w:rPr>
        <w:t> </w:t>
      </w:r>
      <w:bookmarkEnd w:id="69"/>
      <w:r>
        <w:rPr/>
        <w:t>DoE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5" w:right="1251"/>
        <w:jc w:val="both"/>
      </w:pPr>
      <w:r>
        <w:rPr/>
        <w:t>The Design of Experiment (DoE) approach was used to optimize and select the best</w:t>
      </w:r>
      <w:r>
        <w:rPr>
          <w:spacing w:val="1"/>
        </w:rPr>
        <w:t> </w:t>
      </w:r>
      <w:r>
        <w:rPr/>
        <w:t>possible combination of the three excipients in preparing a co-processed excipient 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deliver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-57"/>
        </w:rPr>
        <w:t> </w:t>
      </w:r>
      <w:r>
        <w:rPr/>
        <w:t>formulation using the simple centroid (SC) experimental design. A summary of the</w:t>
      </w:r>
      <w:r>
        <w:rPr>
          <w:spacing w:val="1"/>
        </w:rPr>
        <w:t> </w:t>
      </w:r>
      <w:r>
        <w:rPr/>
        <w:t>tablet responses obtained for each experimental formulation is presented in Table 4.1.</w:t>
      </w:r>
      <w:r>
        <w:rPr>
          <w:spacing w:val="1"/>
        </w:rPr>
        <w:t> </w:t>
      </w:r>
      <w:r>
        <w:rPr/>
        <w:t>The</w:t>
      </w:r>
      <w:r>
        <w:rPr>
          <w:spacing w:val="9"/>
        </w:rPr>
        <w:t> </w:t>
      </w:r>
      <w:r>
        <w:rPr/>
        <w:t>responses</w:t>
      </w:r>
      <w:r>
        <w:rPr>
          <w:spacing w:val="11"/>
        </w:rPr>
        <w:t> </w:t>
      </w:r>
      <w:r>
        <w:rPr/>
        <w:t>obtained</w:t>
      </w:r>
      <w:r>
        <w:rPr>
          <w:spacing w:val="11"/>
        </w:rPr>
        <w:t> </w:t>
      </w:r>
      <w:r>
        <w:rPr/>
        <w:t>ranged</w:t>
      </w:r>
      <w:r>
        <w:rPr>
          <w:spacing w:val="10"/>
        </w:rPr>
        <w:t> </w:t>
      </w:r>
      <w:r>
        <w:rPr/>
        <w:t>from</w:t>
      </w:r>
      <w:r>
        <w:rPr>
          <w:spacing w:val="12"/>
        </w:rPr>
        <w:t> </w:t>
      </w:r>
      <w:r>
        <w:rPr/>
        <w:t>2.34</w:t>
      </w:r>
      <w:r>
        <w:rPr>
          <w:spacing w:val="12"/>
        </w:rPr>
        <w:t> </w:t>
      </w:r>
      <w:r>
        <w:rPr/>
        <w:t>–</w:t>
      </w:r>
      <w:r>
        <w:rPr>
          <w:spacing w:val="11"/>
        </w:rPr>
        <w:t> </w:t>
      </w:r>
      <w:r>
        <w:rPr/>
        <w:t>4.34</w:t>
      </w:r>
      <w:r>
        <w:rPr>
          <w:spacing w:val="14"/>
        </w:rPr>
        <w:t> </w:t>
      </w:r>
      <w:r>
        <w:rPr/>
        <w:t>MN/m</w:t>
      </w:r>
      <w:r>
        <w:rPr>
          <w:vertAlign w:val="superscript"/>
        </w:rPr>
        <w:t>2</w:t>
      </w:r>
      <w:r>
        <w:rPr>
          <w:spacing w:val="13"/>
          <w:vertAlign w:val="baseline"/>
        </w:rPr>
        <w:t> </w:t>
      </w:r>
      <w:r>
        <w:rPr>
          <w:vertAlign w:val="baseline"/>
        </w:rPr>
        <w:t>for</w:t>
      </w:r>
      <w:r>
        <w:rPr>
          <w:spacing w:val="9"/>
          <w:vertAlign w:val="baseline"/>
        </w:rPr>
        <w:t> </w:t>
      </w:r>
      <w:r>
        <w:rPr>
          <w:vertAlign w:val="baseline"/>
        </w:rPr>
        <w:t>tensile</w:t>
      </w:r>
      <w:r>
        <w:rPr>
          <w:spacing w:val="10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0.16</w:t>
      </w:r>
      <w:r>
        <w:rPr>
          <w:spacing w:val="14"/>
          <w:vertAlign w:val="baseline"/>
        </w:rPr>
        <w:t> </w:t>
      </w:r>
      <w:r>
        <w:rPr>
          <w:vertAlign w:val="baseline"/>
        </w:rPr>
        <w:t>–</w:t>
      </w:r>
    </w:p>
    <w:p>
      <w:pPr>
        <w:pStyle w:val="BodyText"/>
        <w:spacing w:line="480" w:lineRule="auto" w:before="1"/>
        <w:ind w:left="465" w:right="1255"/>
        <w:jc w:val="both"/>
      </w:pPr>
      <w:r>
        <w:rPr/>
        <w:t>4.08 min for disintegration time for all the experimental batches. Formulations having a</w:t>
      </w:r>
      <w:r>
        <w:rPr>
          <w:spacing w:val="1"/>
        </w:rPr>
        <w:t> </w:t>
      </w:r>
      <w:r>
        <w:rPr/>
        <w:t>higher concentration of gelatin in the co-processed mixture produced tablets with higher</w:t>
      </w:r>
      <w:r>
        <w:rPr>
          <w:spacing w:val="-57"/>
        </w:rPr>
        <w:t> </w:t>
      </w:r>
      <w:r>
        <w:rPr/>
        <w:t>tensile</w:t>
      </w:r>
      <w:r>
        <w:rPr>
          <w:spacing w:val="-2"/>
        </w:rPr>
        <w:t> </w:t>
      </w:r>
      <w:r>
        <w:rPr/>
        <w:t>strength</w:t>
      </w:r>
      <w:r>
        <w:rPr>
          <w:spacing w:val="2"/>
        </w:rPr>
        <w:t> </w:t>
      </w:r>
      <w:r>
        <w:rPr/>
        <w:t>and longer</w:t>
      </w:r>
      <w:r>
        <w:rPr>
          <w:spacing w:val="-2"/>
        </w:rPr>
        <w:t> </w:t>
      </w:r>
      <w:r>
        <w:rPr/>
        <w:t>disintegration time.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ind w:left="465" w:right="1319"/>
      </w:pPr>
      <w:r>
        <w:rPr/>
        <w:t>Table 4.1: Tablet responses for the experimental formulations containing different</w:t>
      </w:r>
      <w:r>
        <w:rPr>
          <w:spacing w:val="-57"/>
        </w:rPr>
        <w:t> </w:t>
      </w:r>
      <w:r>
        <w:rPr/>
        <w:t>proportions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interacting excipients</w:t>
      </w:r>
      <w:r>
        <w:rPr>
          <w:spacing w:val="-1"/>
        </w:rPr>
        <w:t> </w:t>
      </w:r>
      <w:r>
        <w:rPr/>
        <w:t>involved in co-processing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0"/>
        <w:gridCol w:w="1415"/>
        <w:gridCol w:w="1375"/>
        <w:gridCol w:w="1390"/>
        <w:gridCol w:w="1404"/>
        <w:gridCol w:w="1685"/>
      </w:tblGrid>
      <w:tr>
        <w:trPr>
          <w:trHeight w:val="277" w:hRule="atLeast"/>
        </w:trPr>
        <w:tc>
          <w:tcPr>
            <w:tcW w:w="1460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5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Factors</w:t>
            </w:r>
          </w:p>
        </w:tc>
        <w:tc>
          <w:tcPr>
            <w:tcW w:w="1390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gridSpan w:val="2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15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</w:tr>
      <w:tr>
        <w:trPr>
          <w:trHeight w:val="550" w:hRule="atLeast"/>
        </w:trPr>
        <w:tc>
          <w:tcPr>
            <w:tcW w:w="146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Batch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(A) (%)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GEL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(B)</w:t>
            </w:r>
          </w:p>
          <w:p>
            <w:pPr>
              <w:pStyle w:val="TableParagraph"/>
              <w:spacing w:line="258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1390" w:type="dxa"/>
            <w:tcBorders>
              <w:top w:val="single" w:sz="4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3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CSD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(C)</w:t>
            </w:r>
          </w:p>
          <w:p>
            <w:pPr>
              <w:pStyle w:val="TableParagraph"/>
              <w:spacing w:line="258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1404" w:type="dxa"/>
            <w:tcBorders>
              <w:top w:val="single" w:sz="4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3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TS (Y</w:t>
            </w:r>
            <w:r>
              <w:rPr>
                <w:b/>
                <w:sz w:val="24"/>
                <w:vertAlign w:val="subscript"/>
              </w:rPr>
              <w:t>1</w:t>
            </w:r>
            <w:r>
              <w:rPr>
                <w:b/>
                <w:sz w:val="24"/>
                <w:vertAlign w:val="baseline"/>
              </w:rPr>
              <w:t>)</w:t>
            </w:r>
          </w:p>
          <w:p>
            <w:pPr>
              <w:pStyle w:val="TableParagraph"/>
              <w:spacing w:line="258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(MPa)</w:t>
            </w:r>
          </w:p>
        </w:tc>
        <w:tc>
          <w:tcPr>
            <w:tcW w:w="1685" w:type="dxa"/>
            <w:tcBorders>
              <w:top w:val="single" w:sz="4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3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DT (Y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z w:val="24"/>
                <w:vertAlign w:val="baseline"/>
              </w:rPr>
              <w:t>)</w:t>
            </w:r>
          </w:p>
          <w:p>
            <w:pPr>
              <w:pStyle w:val="TableParagraph"/>
              <w:spacing w:line="258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(min)</w:t>
            </w:r>
          </w:p>
        </w:tc>
      </w:tr>
      <w:tr>
        <w:trPr>
          <w:trHeight w:val="410" w:hRule="atLeast"/>
        </w:trPr>
        <w:tc>
          <w:tcPr>
            <w:tcW w:w="14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37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7" w:lineRule="exact"/>
              <w:ind w:left="14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9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7" w:lineRule="exact"/>
              <w:ind w:left="2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7" w:lineRule="exact"/>
              <w:ind w:left="291"/>
              <w:rPr>
                <w:sz w:val="24"/>
              </w:rPr>
            </w:pPr>
            <w:r>
              <w:rPr>
                <w:sz w:val="24"/>
              </w:rPr>
              <w:t>3.76</w:t>
            </w:r>
          </w:p>
        </w:tc>
        <w:tc>
          <w:tcPr>
            <w:tcW w:w="16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7" w:lineRule="exact"/>
              <w:ind w:left="342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</w:tr>
      <w:tr>
        <w:trPr>
          <w:trHeight w:val="552" w:hRule="atLeast"/>
        </w:trPr>
        <w:tc>
          <w:tcPr>
            <w:tcW w:w="146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5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91.33</w:t>
            </w:r>
          </w:p>
        </w:tc>
        <w:tc>
          <w:tcPr>
            <w:tcW w:w="1375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6.33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left="224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  <w:tc>
          <w:tcPr>
            <w:tcW w:w="1404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2.34</w:t>
            </w:r>
          </w:p>
        </w:tc>
        <w:tc>
          <w:tcPr>
            <w:tcW w:w="1685" w:type="dxa"/>
          </w:tcPr>
          <w:p>
            <w:pPr>
              <w:pStyle w:val="TableParagraph"/>
              <w:spacing w:before="133"/>
              <w:ind w:left="342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</w:tr>
      <w:tr>
        <w:trPr>
          <w:trHeight w:val="551" w:hRule="atLeast"/>
        </w:trPr>
        <w:tc>
          <w:tcPr>
            <w:tcW w:w="146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5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375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left="2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4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3.84</w:t>
            </w:r>
          </w:p>
        </w:tc>
        <w:tc>
          <w:tcPr>
            <w:tcW w:w="1685" w:type="dxa"/>
          </w:tcPr>
          <w:p>
            <w:pPr>
              <w:pStyle w:val="TableParagraph"/>
              <w:spacing w:before="133"/>
              <w:ind w:left="342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</w:tr>
      <w:tr>
        <w:trPr>
          <w:trHeight w:val="552" w:hRule="atLeast"/>
        </w:trPr>
        <w:tc>
          <w:tcPr>
            <w:tcW w:w="146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5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92.66</w:t>
            </w:r>
          </w:p>
        </w:tc>
        <w:tc>
          <w:tcPr>
            <w:tcW w:w="1375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3.67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left="224"/>
              <w:rPr>
                <w:sz w:val="24"/>
              </w:rPr>
            </w:pPr>
            <w:r>
              <w:rPr>
                <w:sz w:val="24"/>
              </w:rPr>
              <w:t>3.67</w:t>
            </w:r>
          </w:p>
        </w:tc>
        <w:tc>
          <w:tcPr>
            <w:tcW w:w="1404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685" w:type="dxa"/>
          </w:tcPr>
          <w:p>
            <w:pPr>
              <w:pStyle w:val="TableParagraph"/>
              <w:spacing w:before="133"/>
              <w:ind w:left="342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</w:tr>
      <w:tr>
        <w:trPr>
          <w:trHeight w:val="552" w:hRule="atLeast"/>
        </w:trPr>
        <w:tc>
          <w:tcPr>
            <w:tcW w:w="146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5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375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left="2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4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1685" w:type="dxa"/>
          </w:tcPr>
          <w:p>
            <w:pPr>
              <w:pStyle w:val="TableParagraph"/>
              <w:spacing w:before="133"/>
              <w:ind w:left="342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</w:tr>
      <w:tr>
        <w:trPr>
          <w:trHeight w:val="551" w:hRule="atLeast"/>
        </w:trPr>
        <w:tc>
          <w:tcPr>
            <w:tcW w:w="146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5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375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left="2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2.59</w:t>
            </w:r>
          </w:p>
        </w:tc>
        <w:tc>
          <w:tcPr>
            <w:tcW w:w="1685" w:type="dxa"/>
          </w:tcPr>
          <w:p>
            <w:pPr>
              <w:pStyle w:val="TableParagraph"/>
              <w:spacing w:before="133"/>
              <w:ind w:left="342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</w:tr>
      <w:tr>
        <w:trPr>
          <w:trHeight w:val="552" w:hRule="atLeast"/>
        </w:trPr>
        <w:tc>
          <w:tcPr>
            <w:tcW w:w="146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5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375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left="2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4.34</w:t>
            </w:r>
          </w:p>
        </w:tc>
        <w:tc>
          <w:tcPr>
            <w:tcW w:w="1685" w:type="dxa"/>
          </w:tcPr>
          <w:p>
            <w:pPr>
              <w:pStyle w:val="TableParagraph"/>
              <w:spacing w:before="133"/>
              <w:ind w:left="342"/>
              <w:rPr>
                <w:sz w:val="24"/>
              </w:rPr>
            </w:pPr>
            <w:r>
              <w:rPr>
                <w:sz w:val="24"/>
              </w:rPr>
              <w:t>4.08</w:t>
            </w:r>
          </w:p>
        </w:tc>
      </w:tr>
      <w:tr>
        <w:trPr>
          <w:trHeight w:val="551" w:hRule="atLeast"/>
        </w:trPr>
        <w:tc>
          <w:tcPr>
            <w:tcW w:w="146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5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375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left="2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685" w:type="dxa"/>
          </w:tcPr>
          <w:p>
            <w:pPr>
              <w:pStyle w:val="TableParagraph"/>
              <w:spacing w:before="133"/>
              <w:ind w:left="342"/>
              <w:rPr>
                <w:sz w:val="24"/>
              </w:rPr>
            </w:pPr>
            <w:r>
              <w:rPr>
                <w:sz w:val="24"/>
              </w:rPr>
              <w:t>1.79</w:t>
            </w:r>
          </w:p>
        </w:tc>
      </w:tr>
      <w:tr>
        <w:trPr>
          <w:trHeight w:val="552" w:hRule="atLeast"/>
        </w:trPr>
        <w:tc>
          <w:tcPr>
            <w:tcW w:w="146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5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91.33</w:t>
            </w:r>
          </w:p>
        </w:tc>
        <w:tc>
          <w:tcPr>
            <w:tcW w:w="1375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left="224"/>
              <w:rPr>
                <w:sz w:val="24"/>
              </w:rPr>
            </w:pPr>
            <w:r>
              <w:rPr>
                <w:sz w:val="24"/>
              </w:rPr>
              <w:t>6.33</w:t>
            </w:r>
          </w:p>
        </w:tc>
        <w:tc>
          <w:tcPr>
            <w:tcW w:w="1404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4.22</w:t>
            </w:r>
          </w:p>
        </w:tc>
        <w:tc>
          <w:tcPr>
            <w:tcW w:w="1685" w:type="dxa"/>
          </w:tcPr>
          <w:p>
            <w:pPr>
              <w:pStyle w:val="TableParagraph"/>
              <w:spacing w:before="133"/>
              <w:ind w:left="342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</w:tr>
      <w:tr>
        <w:trPr>
          <w:trHeight w:val="552" w:hRule="atLeast"/>
        </w:trPr>
        <w:tc>
          <w:tcPr>
            <w:tcW w:w="146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5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375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left="2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1685" w:type="dxa"/>
          </w:tcPr>
          <w:p>
            <w:pPr>
              <w:pStyle w:val="TableParagraph"/>
              <w:spacing w:before="133"/>
              <w:ind w:left="342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</w:tr>
      <w:tr>
        <w:trPr>
          <w:trHeight w:val="552" w:hRule="atLeast"/>
        </w:trPr>
        <w:tc>
          <w:tcPr>
            <w:tcW w:w="146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5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375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left="22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04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3.02</w:t>
            </w:r>
          </w:p>
        </w:tc>
        <w:tc>
          <w:tcPr>
            <w:tcW w:w="1685" w:type="dxa"/>
          </w:tcPr>
          <w:p>
            <w:pPr>
              <w:pStyle w:val="TableParagraph"/>
              <w:spacing w:before="133"/>
              <w:ind w:left="342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</w:tr>
      <w:tr>
        <w:trPr>
          <w:trHeight w:val="551" w:hRule="atLeast"/>
        </w:trPr>
        <w:tc>
          <w:tcPr>
            <w:tcW w:w="146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5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95.33</w:t>
            </w:r>
          </w:p>
        </w:tc>
        <w:tc>
          <w:tcPr>
            <w:tcW w:w="1375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left="224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  <w:tc>
          <w:tcPr>
            <w:tcW w:w="1404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1685" w:type="dxa"/>
          </w:tcPr>
          <w:p>
            <w:pPr>
              <w:pStyle w:val="TableParagraph"/>
              <w:spacing w:before="133"/>
              <w:ind w:left="342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</w:tr>
      <w:tr>
        <w:trPr>
          <w:trHeight w:val="551" w:hRule="atLeast"/>
        </w:trPr>
        <w:tc>
          <w:tcPr>
            <w:tcW w:w="146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5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375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left="22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04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3.05</w:t>
            </w:r>
          </w:p>
        </w:tc>
        <w:tc>
          <w:tcPr>
            <w:tcW w:w="1685" w:type="dxa"/>
          </w:tcPr>
          <w:p>
            <w:pPr>
              <w:pStyle w:val="TableParagraph"/>
              <w:spacing w:before="133"/>
              <w:ind w:left="342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</w:tr>
      <w:tr>
        <w:trPr>
          <w:trHeight w:val="694" w:hRule="atLeast"/>
        </w:trPr>
        <w:tc>
          <w:tcPr>
            <w:tcW w:w="146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37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9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2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4.28</w:t>
            </w:r>
          </w:p>
        </w:tc>
        <w:tc>
          <w:tcPr>
            <w:tcW w:w="16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342"/>
              <w:rPr>
                <w:sz w:val="24"/>
              </w:rPr>
            </w:pPr>
            <w:r>
              <w:rPr>
                <w:sz w:val="24"/>
              </w:rPr>
              <w:t>3.98</w:t>
            </w:r>
          </w:p>
        </w:tc>
      </w:tr>
    </w:tbl>
    <w:p>
      <w:pPr>
        <w:pStyle w:val="BodyText"/>
        <w:tabs>
          <w:tab w:pos="5506" w:val="left" w:leader="none"/>
        </w:tabs>
        <w:ind w:left="1185"/>
      </w:pPr>
      <w:r>
        <w:rPr/>
        <w:t>CS:</w:t>
      </w:r>
      <w:r>
        <w:rPr>
          <w:spacing w:val="-1"/>
        </w:rPr>
        <w:t> </w:t>
      </w:r>
      <w:r>
        <w:rPr/>
        <w:t>Cassava</w:t>
      </w:r>
      <w:r>
        <w:rPr>
          <w:spacing w:val="-3"/>
        </w:rPr>
        <w:t> </w:t>
      </w:r>
      <w:r>
        <w:rPr/>
        <w:t>starch</w:t>
        <w:tab/>
        <w:t>TS:</w:t>
      </w:r>
      <w:r>
        <w:rPr>
          <w:spacing w:val="-2"/>
        </w:rPr>
        <w:t> </w:t>
      </w:r>
      <w:r>
        <w:rPr/>
        <w:t>Tensile</w:t>
      </w:r>
      <w:r>
        <w:rPr>
          <w:spacing w:val="-3"/>
        </w:rPr>
        <w:t> </w:t>
      </w:r>
      <w:r>
        <w:rPr/>
        <w:t>strength</w:t>
      </w:r>
    </w:p>
    <w:p>
      <w:pPr>
        <w:pStyle w:val="BodyText"/>
        <w:tabs>
          <w:tab w:pos="5506" w:val="left" w:leader="none"/>
        </w:tabs>
        <w:spacing w:line="362" w:lineRule="auto" w:before="131"/>
        <w:ind w:left="1185" w:right="2412"/>
      </w:pPr>
      <w:r>
        <w:rPr/>
        <w:t>GEL:</w:t>
      </w:r>
      <w:r>
        <w:rPr>
          <w:spacing w:val="-2"/>
        </w:rPr>
        <w:t> </w:t>
      </w:r>
      <w:r>
        <w:rPr/>
        <w:t>Gelatin</w:t>
        <w:tab/>
        <w:t>DT: Disintegration time</w:t>
      </w:r>
      <w:r>
        <w:rPr>
          <w:spacing w:val="-57"/>
        </w:rPr>
        <w:t> </w:t>
      </w:r>
      <w:r>
        <w:rPr/>
        <w:t>CSD:</w:t>
      </w:r>
      <w:r>
        <w:rPr>
          <w:spacing w:val="-1"/>
        </w:rPr>
        <w:t> </w:t>
      </w:r>
      <w:r>
        <w:rPr/>
        <w:t>Colloidal silicon dioxide</w:t>
      </w:r>
    </w:p>
    <w:p>
      <w:pPr>
        <w:spacing w:after="0" w:line="362" w:lineRule="auto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5"/>
        <w:jc w:val="both"/>
      </w:pPr>
      <w:r>
        <w:rPr/>
        <w:t>These responses (dependent variables) were collected in the form of data and analysed</w:t>
      </w:r>
      <w:r>
        <w:rPr>
          <w:spacing w:val="1"/>
        </w:rPr>
        <w:t> </w:t>
      </w:r>
      <w:r>
        <w:rPr/>
        <w:t>using the Design – Expert 9 (trial version) software (Stat-Ease Inc., USA) by fitting a</w:t>
      </w:r>
      <w:r>
        <w:rPr>
          <w:spacing w:val="1"/>
        </w:rPr>
        <w:t> </w:t>
      </w:r>
      <w:r>
        <w:rPr/>
        <w:t>model for each response. The summary statistics of the analysis of the models fitted for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response using</w:t>
      </w:r>
      <w:r>
        <w:rPr>
          <w:spacing w:val="-3"/>
        </w:rPr>
        <w:t> </w:t>
      </w:r>
      <w:r>
        <w:rPr/>
        <w:t>ANOVA is presented in Table 4.2.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ind w:left="465" w:right="1254"/>
      </w:pPr>
      <w:r>
        <w:rPr/>
        <w:t>Table 4.2:</w:t>
      </w:r>
      <w:r>
        <w:rPr>
          <w:spacing w:val="1"/>
        </w:rPr>
        <w:t> </w:t>
      </w:r>
      <w:r>
        <w:rPr/>
        <w:t>Summary statistics of model analysis by ANOVA for each response</w:t>
      </w:r>
      <w:r>
        <w:rPr>
          <w:spacing w:val="-57"/>
        </w:rPr>
        <w:t> </w:t>
      </w:r>
      <w:r>
        <w:rPr/>
        <w:t>evaluated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the data</w:t>
      </w:r>
      <w:r>
        <w:rPr>
          <w:spacing w:val="1"/>
        </w:rPr>
        <w:t> </w:t>
      </w:r>
      <w:r>
        <w:rPr/>
        <w:t>collected from</w:t>
      </w:r>
      <w:r>
        <w:rPr>
          <w:spacing w:val="-5"/>
        </w:rPr>
        <w:t> </w:t>
      </w:r>
      <w:r>
        <w:rPr/>
        <w:t>the</w:t>
      </w:r>
      <w:r>
        <w:rPr>
          <w:spacing w:val="2"/>
        </w:rPr>
        <w:t> </w:t>
      </w:r>
      <w:r>
        <w:rPr/>
        <w:t>experimental formulations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4"/>
        <w:gridCol w:w="1226"/>
        <w:gridCol w:w="1353"/>
        <w:gridCol w:w="1707"/>
        <w:gridCol w:w="1340"/>
        <w:gridCol w:w="1625"/>
      </w:tblGrid>
      <w:tr>
        <w:trPr>
          <w:trHeight w:val="983" w:hRule="atLeast"/>
        </w:trPr>
        <w:tc>
          <w:tcPr>
            <w:tcW w:w="1544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Response</w:t>
            </w:r>
          </w:p>
        </w:tc>
        <w:tc>
          <w:tcPr>
            <w:tcW w:w="1226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ind w:left="177"/>
              <w:rPr>
                <w:b/>
                <w:sz w:val="22"/>
              </w:rPr>
            </w:pPr>
            <w:r>
              <w:rPr>
                <w:b/>
                <w:sz w:val="22"/>
              </w:rPr>
              <w:t>Model</w:t>
            </w:r>
          </w:p>
        </w:tc>
        <w:tc>
          <w:tcPr>
            <w:tcW w:w="1353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386"/>
              <w:rPr>
                <w:b/>
                <w:sz w:val="14"/>
              </w:rPr>
            </w:pPr>
            <w:r>
              <w:rPr>
                <w:b/>
                <w:position w:val="-9"/>
                <w:sz w:val="22"/>
              </w:rPr>
              <w:t>R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707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252" w:lineRule="exact"/>
              <w:ind w:left="469"/>
              <w:rPr>
                <w:b/>
                <w:sz w:val="22"/>
              </w:rPr>
            </w:pPr>
            <w:r>
              <w:rPr>
                <w:b/>
                <w:sz w:val="22"/>
              </w:rPr>
              <w:t>Lack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 Fit</w:t>
            </w:r>
          </w:p>
          <w:p>
            <w:pPr>
              <w:pStyle w:val="TableParagraph"/>
              <w:spacing w:line="252" w:lineRule="exact"/>
              <w:ind w:left="469"/>
              <w:rPr>
                <w:b/>
                <w:sz w:val="22"/>
              </w:rPr>
            </w:pPr>
            <w:r>
              <w:rPr>
                <w:b/>
                <w:i/>
                <w:sz w:val="22"/>
              </w:rPr>
              <w:t>p </w:t>
            </w:r>
            <w:r>
              <w:rPr>
                <w:b/>
                <w:sz w:val="22"/>
              </w:rPr>
              <w:t>value</w:t>
            </w:r>
          </w:p>
        </w:tc>
        <w:tc>
          <w:tcPr>
            <w:tcW w:w="1340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ind w:left="197"/>
              <w:rPr>
                <w:b/>
                <w:sz w:val="22"/>
              </w:rPr>
            </w:pPr>
            <w:r>
              <w:rPr>
                <w:b/>
                <w:i/>
                <w:sz w:val="22"/>
              </w:rPr>
              <w:t>p </w:t>
            </w:r>
            <w:r>
              <w:rPr>
                <w:b/>
                <w:sz w:val="22"/>
              </w:rPr>
              <w:t>value</w:t>
            </w:r>
          </w:p>
        </w:tc>
        <w:tc>
          <w:tcPr>
            <w:tcW w:w="1625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ind w:left="295"/>
              <w:rPr>
                <w:b/>
                <w:sz w:val="22"/>
              </w:rPr>
            </w:pPr>
            <w:r>
              <w:rPr>
                <w:b/>
                <w:i/>
                <w:sz w:val="22"/>
              </w:rPr>
              <w:t>F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value</w:t>
            </w:r>
          </w:p>
        </w:tc>
      </w:tr>
      <w:tr>
        <w:trPr>
          <w:trHeight w:val="1402" w:hRule="atLeast"/>
        </w:trPr>
        <w:tc>
          <w:tcPr>
            <w:tcW w:w="154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1"/>
              <w:ind w:left="107" w:right="708"/>
              <w:rPr>
                <w:sz w:val="22"/>
              </w:rPr>
            </w:pPr>
            <w:r>
              <w:rPr>
                <w:sz w:val="22"/>
              </w:rPr>
              <w:t>Tensile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strength</w:t>
            </w:r>
          </w:p>
        </w:tc>
        <w:tc>
          <w:tcPr>
            <w:tcW w:w="122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1"/>
              <w:ind w:left="177" w:right="369"/>
              <w:rPr>
                <w:sz w:val="22"/>
              </w:rPr>
            </w:pPr>
            <w:r>
              <w:rPr>
                <w:sz w:val="22"/>
              </w:rPr>
              <w:t>Special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Quartic</w:t>
            </w:r>
          </w:p>
        </w:tc>
        <w:tc>
          <w:tcPr>
            <w:tcW w:w="135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86"/>
              <w:rPr>
                <w:sz w:val="22"/>
              </w:rPr>
            </w:pPr>
            <w:r>
              <w:rPr>
                <w:sz w:val="22"/>
              </w:rPr>
              <w:t>0.998</w:t>
            </w:r>
          </w:p>
        </w:tc>
        <w:tc>
          <w:tcPr>
            <w:tcW w:w="170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469"/>
              <w:rPr>
                <w:sz w:val="22"/>
              </w:rPr>
            </w:pPr>
            <w:r>
              <w:rPr>
                <w:sz w:val="22"/>
              </w:rPr>
              <w:t>0.962</w:t>
            </w:r>
          </w:p>
        </w:tc>
        <w:tc>
          <w:tcPr>
            <w:tcW w:w="134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97"/>
              <w:rPr>
                <w:sz w:val="22"/>
              </w:rPr>
            </w:pPr>
            <w:r>
              <w:rPr>
                <w:sz w:val="22"/>
              </w:rPr>
              <w:t>8.4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× 10</w:t>
            </w:r>
            <w:r>
              <w:rPr>
                <w:sz w:val="22"/>
                <w:vertAlign w:val="superscript"/>
              </w:rPr>
              <w:t>-8</w:t>
            </w:r>
          </w:p>
        </w:tc>
        <w:tc>
          <w:tcPr>
            <w:tcW w:w="162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sz w:val="22"/>
              </w:rPr>
              <w:t>1224.8</w:t>
            </w:r>
          </w:p>
        </w:tc>
      </w:tr>
      <w:tr>
        <w:trPr>
          <w:trHeight w:val="946" w:hRule="atLeast"/>
        </w:trPr>
        <w:tc>
          <w:tcPr>
            <w:tcW w:w="154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2" w:lineRule="exact" w:before="147"/>
              <w:ind w:left="107" w:right="158"/>
              <w:rPr>
                <w:sz w:val="22"/>
              </w:rPr>
            </w:pPr>
            <w:r>
              <w:rPr>
                <w:sz w:val="22"/>
              </w:rPr>
              <w:t>Disintegration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</w:tc>
        <w:tc>
          <w:tcPr>
            <w:tcW w:w="122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2" w:lineRule="exact" w:before="147"/>
              <w:ind w:left="177" w:right="369"/>
              <w:rPr>
                <w:sz w:val="22"/>
              </w:rPr>
            </w:pPr>
            <w:r>
              <w:rPr>
                <w:sz w:val="22"/>
              </w:rPr>
              <w:t>Special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Quartic</w:t>
            </w:r>
          </w:p>
        </w:tc>
        <w:tc>
          <w:tcPr>
            <w:tcW w:w="135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386"/>
              <w:rPr>
                <w:sz w:val="22"/>
              </w:rPr>
            </w:pPr>
            <w:r>
              <w:rPr>
                <w:sz w:val="22"/>
              </w:rPr>
              <w:t>0.999</w:t>
            </w:r>
          </w:p>
        </w:tc>
        <w:tc>
          <w:tcPr>
            <w:tcW w:w="170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469"/>
              <w:rPr>
                <w:sz w:val="22"/>
              </w:rPr>
            </w:pPr>
            <w:r>
              <w:rPr>
                <w:sz w:val="22"/>
              </w:rPr>
              <w:t>0.412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97"/>
              <w:rPr>
                <w:sz w:val="22"/>
              </w:rPr>
            </w:pPr>
            <w:r>
              <w:rPr>
                <w:sz w:val="22"/>
              </w:rPr>
              <w:t>2.9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× 10</w:t>
            </w:r>
            <w:r>
              <w:rPr>
                <w:sz w:val="22"/>
                <w:vertAlign w:val="superscript"/>
              </w:rPr>
              <w:t>-8</w:t>
            </w:r>
          </w:p>
        </w:tc>
        <w:tc>
          <w:tcPr>
            <w:tcW w:w="162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sz w:val="22"/>
              </w:rPr>
              <w:t>1858.8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5"/>
        </w:rPr>
      </w:pPr>
      <w:r>
        <w:rPr/>
        <w:pict>
          <v:rect style="position:absolute;margin-left:93.144005pt;margin-top:10.832904pt;width:440.500021pt;height:1.44pt;mso-position-horizontal-relative:page;mso-position-vertical-relative:paragraph;z-index:-15590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3"/>
        <w:ind w:left="465"/>
      </w:pPr>
      <w:r>
        <w:rPr/>
        <w:t>Key:-</w:t>
      </w:r>
    </w:p>
    <w:p>
      <w:pPr>
        <w:pStyle w:val="BodyText"/>
        <w:spacing w:before="120"/>
        <w:ind w:left="465"/>
      </w:pP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:</w:t>
      </w:r>
      <w:r>
        <w:rPr>
          <w:spacing w:val="-2"/>
          <w:vertAlign w:val="baseline"/>
        </w:rPr>
        <w:t> </w:t>
      </w:r>
      <w:r>
        <w:rPr>
          <w:vertAlign w:val="baseline"/>
        </w:rPr>
        <w:t>Co-efficient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determination</w:t>
      </w:r>
    </w:p>
    <w:p>
      <w:pPr>
        <w:pStyle w:val="BodyText"/>
        <w:spacing w:line="343" w:lineRule="auto" w:before="120"/>
        <w:ind w:left="465" w:right="5924"/>
      </w:pPr>
      <w:r>
        <w:rPr>
          <w:i/>
        </w:rPr>
        <w:t>p </w:t>
      </w:r>
      <w:r>
        <w:rPr/>
        <w:t>value: Level of significance at </w:t>
      </w:r>
      <w:r>
        <w:rPr>
          <w:i/>
        </w:rPr>
        <w:t>p</w:t>
      </w:r>
      <w:r>
        <w:rPr/>
        <w:t>&lt;0.05</w:t>
      </w:r>
      <w:r>
        <w:rPr>
          <w:spacing w:val="-57"/>
        </w:rPr>
        <w:t> </w:t>
      </w:r>
      <w:r>
        <w:rPr>
          <w:i/>
        </w:rPr>
        <w:t>F</w:t>
      </w:r>
      <w:r>
        <w:rPr>
          <w:i/>
          <w:spacing w:val="-2"/>
        </w:rPr>
        <w:t> </w:t>
      </w:r>
      <w:r>
        <w:rPr/>
        <w:t>value:</w:t>
      </w:r>
      <w:r>
        <w:rPr>
          <w:spacing w:val="-1"/>
        </w:rPr>
        <w:t> </w:t>
      </w:r>
      <w:r>
        <w:rPr/>
        <w:t>Variance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group</w:t>
      </w:r>
      <w:r>
        <w:rPr>
          <w:spacing w:val="-2"/>
        </w:rPr>
        <w:t> </w:t>
      </w:r>
      <w:r>
        <w:rPr/>
        <w:t>means</w:t>
      </w:r>
    </w:p>
    <w:p>
      <w:pPr>
        <w:spacing w:after="0" w:line="343" w:lineRule="auto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3"/>
        <w:jc w:val="both"/>
      </w:pP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equations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 the factors (components, independent variables) and the responses (dependent</w:t>
      </w:r>
      <w:r>
        <w:rPr>
          <w:spacing w:val="1"/>
        </w:rPr>
        <w:t> </w:t>
      </w:r>
      <w:r>
        <w:rPr/>
        <w:t>variables) are given below. Y</w:t>
      </w:r>
      <w:r>
        <w:rPr>
          <w:vertAlign w:val="subscript"/>
        </w:rPr>
        <w:t>1</w:t>
      </w:r>
      <w:r>
        <w:rPr>
          <w:vertAlign w:val="baseline"/>
        </w:rPr>
        <w:t> and Y</w:t>
      </w:r>
      <w:r>
        <w:rPr>
          <w:vertAlign w:val="subscript"/>
        </w:rPr>
        <w:t>2</w:t>
      </w:r>
      <w:r>
        <w:rPr>
          <w:vertAlign w:val="baseline"/>
        </w:rPr>
        <w:t> represent tensile strength and disintegration time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 The equations show that gelatin (B) had the most prominent effect on both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responses</w:t>
      </w:r>
      <w:r>
        <w:rPr>
          <w:spacing w:val="-2"/>
          <w:vertAlign w:val="baseline"/>
        </w:rPr>
        <w:t> </w:t>
      </w:r>
      <w:r>
        <w:rPr>
          <w:vertAlign w:val="baseline"/>
        </w:rPr>
        <w:t>with respect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magnitude</w:t>
      </w:r>
      <w:r>
        <w:rPr>
          <w:spacing w:val="-1"/>
          <w:vertAlign w:val="baseline"/>
        </w:rPr>
        <w:t> </w:t>
      </w:r>
      <w:r>
        <w:rPr>
          <w:vertAlign w:val="baseline"/>
        </w:rPr>
        <w:t>of its coefficient term.</w:t>
      </w:r>
    </w:p>
    <w:p>
      <w:pPr>
        <w:pStyle w:val="BodyText"/>
        <w:spacing w:line="480" w:lineRule="auto" w:before="120"/>
        <w:ind w:left="465" w:right="1251"/>
        <w:jc w:val="both"/>
      </w:pPr>
      <w:r>
        <w:rPr>
          <w:b/>
        </w:rPr>
        <w:t>Y</w:t>
      </w:r>
      <w:r>
        <w:rPr>
          <w:b/>
          <w:vertAlign w:val="subscript"/>
        </w:rPr>
        <w:t>1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2.60A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4.31B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3.04C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1.31AB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0.46AC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0.67BC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23.48A</w:t>
      </w:r>
      <w:r>
        <w:rPr>
          <w:vertAlign w:val="superscript"/>
        </w:rPr>
        <w:t>2</w:t>
      </w:r>
      <w:r>
        <w:rPr>
          <w:vertAlign w:val="baseline"/>
        </w:rPr>
        <w:t>BC</w:t>
      </w:r>
      <w:r>
        <w:rPr>
          <w:spacing w:val="60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171.10AB</w:t>
      </w:r>
      <w:r>
        <w:rPr>
          <w:vertAlign w:val="superscript"/>
        </w:rPr>
        <w:t>2</w:t>
      </w:r>
      <w:r>
        <w:rPr>
          <w:vertAlign w:val="baseline"/>
        </w:rPr>
        <w:t>C +116.72ABC</w:t>
      </w:r>
      <w:r>
        <w:rPr>
          <w:vertAlign w:val="superscript"/>
        </w:rPr>
        <w:t>2</w:t>
      </w:r>
    </w:p>
    <w:p>
      <w:pPr>
        <w:pStyle w:val="BodyText"/>
        <w:spacing w:line="480" w:lineRule="auto" w:before="121"/>
        <w:ind w:left="465" w:right="1251"/>
        <w:jc w:val="both"/>
      </w:pPr>
      <w:r>
        <w:rPr>
          <w:b/>
        </w:rPr>
        <w:t>Y</w:t>
      </w:r>
      <w:r>
        <w:rPr>
          <w:b/>
          <w:vertAlign w:val="subscript"/>
        </w:rPr>
        <w:t>2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=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0.39A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4.03B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0.17C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1.63AB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0.22AC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5.50BC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31.67A</w:t>
      </w:r>
      <w:r>
        <w:rPr>
          <w:vertAlign w:val="superscript"/>
        </w:rPr>
        <w:t>2</w:t>
      </w:r>
      <w:r>
        <w:rPr>
          <w:vertAlign w:val="baseline"/>
        </w:rPr>
        <w:t>BC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133.57AB</w:t>
      </w:r>
      <w:r>
        <w:rPr>
          <w:vertAlign w:val="superscript"/>
        </w:rPr>
        <w:t>2</w:t>
      </w:r>
      <w:r>
        <w:rPr>
          <w:vertAlign w:val="baseline"/>
        </w:rPr>
        <w:t>C +</w:t>
      </w:r>
      <w:r>
        <w:rPr>
          <w:spacing w:val="-1"/>
          <w:vertAlign w:val="baseline"/>
        </w:rPr>
        <w:t> </w:t>
      </w:r>
      <w:r>
        <w:rPr>
          <w:vertAlign w:val="baseline"/>
        </w:rPr>
        <w:t>60.03ABC</w:t>
      </w:r>
      <w:r>
        <w:rPr>
          <w:vertAlign w:val="superscript"/>
        </w:rPr>
        <w:t>2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6"/>
        <w:jc w:val="both"/>
        <w:rPr>
          <w:i/>
        </w:rPr>
      </w:pPr>
      <w:r>
        <w:rPr/>
        <w:t>The model was further analysed using ANOVA and the </w:t>
      </w:r>
      <w:r>
        <w:rPr>
          <w:i/>
        </w:rPr>
        <w:t>p </w:t>
      </w:r>
      <w:r>
        <w:rPr/>
        <w:t>values showing the degree of</w:t>
      </w:r>
      <w:r>
        <w:rPr>
          <w:spacing w:val="1"/>
        </w:rPr>
        <w:t> </w:t>
      </w:r>
      <w:r>
        <w:rPr/>
        <w:t>significance of each model term in the equations for tensile strength and disintegration</w:t>
      </w:r>
      <w:r>
        <w:rPr>
          <w:spacing w:val="1"/>
        </w:rPr>
        <w:t> </w:t>
      </w:r>
      <w:r>
        <w:rPr/>
        <w:t>time</w:t>
      </w:r>
      <w:r>
        <w:rPr>
          <w:spacing w:val="6"/>
        </w:rPr>
        <w:t> </w:t>
      </w:r>
      <w:r>
        <w:rPr/>
        <w:t>is</w:t>
      </w:r>
      <w:r>
        <w:rPr>
          <w:spacing w:val="9"/>
        </w:rPr>
        <w:t> </w:t>
      </w:r>
      <w:r>
        <w:rPr/>
        <w:t>given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Table</w:t>
      </w:r>
      <w:r>
        <w:rPr>
          <w:spacing w:val="7"/>
        </w:rPr>
        <w:t> </w:t>
      </w:r>
      <w:r>
        <w:rPr/>
        <w:t>4.3.</w:t>
      </w:r>
      <w:r>
        <w:rPr>
          <w:spacing w:val="9"/>
        </w:rPr>
        <w:t> </w:t>
      </w:r>
      <w:r>
        <w:rPr/>
        <w:t>All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model</w:t>
      </w:r>
      <w:r>
        <w:rPr>
          <w:spacing w:val="8"/>
        </w:rPr>
        <w:t> </w:t>
      </w:r>
      <w:r>
        <w:rPr/>
        <w:t>terms</w:t>
      </w:r>
      <w:r>
        <w:rPr>
          <w:spacing w:val="9"/>
        </w:rPr>
        <w:t> </w:t>
      </w:r>
      <w:r>
        <w:rPr/>
        <w:t>for</w:t>
      </w:r>
      <w:r>
        <w:rPr>
          <w:spacing w:val="7"/>
        </w:rPr>
        <w:t> </w:t>
      </w:r>
      <w:r>
        <w:rPr/>
        <w:t>tensile</w:t>
      </w:r>
      <w:r>
        <w:rPr>
          <w:spacing w:val="7"/>
        </w:rPr>
        <w:t> </w:t>
      </w:r>
      <w:r>
        <w:rPr/>
        <w:t>strength</w:t>
      </w:r>
      <w:r>
        <w:rPr>
          <w:spacing w:val="11"/>
        </w:rPr>
        <w:t> </w:t>
      </w:r>
      <w:r>
        <w:rPr/>
        <w:t>were</w:t>
      </w:r>
      <w:r>
        <w:rPr>
          <w:spacing w:val="6"/>
        </w:rPr>
        <w:t> </w:t>
      </w:r>
      <w:r>
        <w:rPr/>
        <w:t>significant</w:t>
      </w:r>
      <w:r>
        <w:rPr>
          <w:spacing w:val="7"/>
        </w:rPr>
        <w:t> </w:t>
      </w:r>
      <w:r>
        <w:rPr/>
        <w:t>at</w:t>
      </w:r>
      <w:r>
        <w:rPr>
          <w:spacing w:val="10"/>
        </w:rPr>
        <w:t> </w:t>
      </w:r>
      <w:r>
        <w:rPr>
          <w:i/>
        </w:rPr>
        <w:t>p</w:t>
      </w:r>
    </w:p>
    <w:p>
      <w:pPr>
        <w:pStyle w:val="BodyText"/>
        <w:spacing w:line="480" w:lineRule="auto"/>
        <w:ind w:left="465" w:right="1254"/>
        <w:jc w:val="both"/>
        <w:rPr>
          <w:i/>
        </w:rPr>
      </w:pPr>
      <w:r>
        <w:rPr>
          <w:i/>
        </w:rPr>
        <w:t>&lt; 0.05 </w:t>
      </w:r>
      <w:r>
        <w:rPr/>
        <w:t>indicating that they all contributed to the tensile strength. A similar scenario was</w:t>
      </w:r>
      <w:r>
        <w:rPr>
          <w:spacing w:val="1"/>
        </w:rPr>
        <w:t> </w:t>
      </w:r>
      <w:r>
        <w:rPr/>
        <w:t>observed</w:t>
      </w:r>
      <w:r>
        <w:rPr>
          <w:spacing w:val="3"/>
        </w:rPr>
        <w:t> </w:t>
      </w:r>
      <w:r>
        <w:rPr/>
        <w:t>for</w:t>
      </w:r>
      <w:r>
        <w:rPr>
          <w:spacing w:val="-1"/>
        </w:rPr>
        <w:t> </w:t>
      </w:r>
      <w:r>
        <w:rPr/>
        <w:t>disintegration</w:t>
      </w:r>
      <w:r>
        <w:rPr>
          <w:spacing w:val="3"/>
        </w:rPr>
        <w:t> </w:t>
      </w:r>
      <w:r>
        <w:rPr/>
        <w:t>time where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 terms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equation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</w:t>
      </w:r>
      <w:r>
        <w:rPr>
          <w:spacing w:val="4"/>
        </w:rPr>
        <w:t> </w:t>
      </w:r>
      <w:r>
        <w:rPr/>
        <w:t>at</w:t>
      </w:r>
      <w:r>
        <w:rPr>
          <w:spacing w:val="7"/>
        </w:rPr>
        <w:t> </w:t>
      </w:r>
      <w:r>
        <w:rPr>
          <w:i/>
        </w:rPr>
        <w:t>p</w:t>
      </w:r>
    </w:p>
    <w:p>
      <w:pPr>
        <w:spacing w:before="0"/>
        <w:ind w:left="465" w:right="0" w:firstLine="0"/>
        <w:jc w:val="both"/>
        <w:rPr>
          <w:sz w:val="24"/>
        </w:rPr>
      </w:pPr>
      <w:r>
        <w:rPr>
          <w:i/>
          <w:sz w:val="24"/>
        </w:rPr>
        <w:t>&lt;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0.05</w:t>
      </w:r>
      <w:r>
        <w:rPr>
          <w:i/>
          <w:spacing w:val="-1"/>
          <w:sz w:val="24"/>
        </w:rPr>
        <w:t> </w:t>
      </w:r>
      <w:r>
        <w:rPr>
          <w:sz w:val="24"/>
        </w:rPr>
        <w:t>except for</w:t>
      </w:r>
      <w:r>
        <w:rPr>
          <w:spacing w:val="-1"/>
          <w:sz w:val="24"/>
        </w:rPr>
        <w:t> </w:t>
      </w:r>
      <w:r>
        <w:rPr>
          <w:sz w:val="24"/>
        </w:rPr>
        <w:t>AC.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ind w:left="465" w:right="1428"/>
      </w:pPr>
      <w:r>
        <w:rPr/>
        <w:t>Table 4.3: Model terms for each regression equation representing the two</w:t>
      </w:r>
      <w:r>
        <w:rPr>
          <w:spacing w:val="1"/>
        </w:rPr>
        <w:t> </w:t>
      </w:r>
      <w:r>
        <w:rPr/>
        <w:t>responses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corresponding</w:t>
      </w:r>
      <w:r>
        <w:rPr>
          <w:spacing w:val="1"/>
        </w:rPr>
        <w:t> </w:t>
      </w:r>
      <w:r>
        <w:rPr>
          <w:i/>
        </w:rPr>
        <w:t>p</w:t>
      </w:r>
      <w:r>
        <w:rPr>
          <w:i/>
          <w:spacing w:val="-2"/>
        </w:rPr>
        <w:t> </w:t>
      </w:r>
      <w:r>
        <w:rPr/>
        <w:t>value</w:t>
      </w:r>
      <w:r>
        <w:rPr>
          <w:spacing w:val="-2"/>
        </w:rPr>
        <w:t> </w:t>
      </w:r>
      <w:r>
        <w:rPr/>
        <w:t>showing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degree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significance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3"/>
        <w:gridCol w:w="764"/>
        <w:gridCol w:w="772"/>
        <w:gridCol w:w="771"/>
        <w:gridCol w:w="770"/>
        <w:gridCol w:w="770"/>
        <w:gridCol w:w="771"/>
        <w:gridCol w:w="771"/>
        <w:gridCol w:w="770"/>
        <w:gridCol w:w="777"/>
      </w:tblGrid>
      <w:tr>
        <w:trPr>
          <w:trHeight w:val="259" w:hRule="atLeast"/>
        </w:trPr>
        <w:tc>
          <w:tcPr>
            <w:tcW w:w="8729" w:type="dxa"/>
            <w:gridSpan w:val="10"/>
            <w:tcBorders>
              <w:top w:val="single" w:sz="18" w:space="0" w:color="000000"/>
            </w:tcBorders>
          </w:tcPr>
          <w:p>
            <w:pPr>
              <w:pStyle w:val="TableParagraph"/>
              <w:spacing w:line="257" w:lineRule="exact"/>
              <w:ind w:left="4613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terms</w:t>
            </w:r>
          </w:p>
        </w:tc>
      </w:tr>
      <w:tr>
        <w:trPr>
          <w:trHeight w:val="569" w:hRule="atLeast"/>
        </w:trPr>
        <w:tc>
          <w:tcPr>
            <w:tcW w:w="1793" w:type="dxa"/>
          </w:tcPr>
          <w:p>
            <w:pPr>
              <w:pStyle w:val="TableParagraph"/>
              <w:spacing w:before="15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7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3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7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3"/>
              <w:ind w:left="11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7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AB</w:t>
            </w:r>
          </w:p>
        </w:tc>
        <w:tc>
          <w:tcPr>
            <w:tcW w:w="7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3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AC</w:t>
            </w:r>
          </w:p>
        </w:tc>
        <w:tc>
          <w:tcPr>
            <w:tcW w:w="7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3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BC</w:t>
            </w:r>
          </w:p>
        </w:tc>
        <w:tc>
          <w:tcPr>
            <w:tcW w:w="7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z w:val="24"/>
                <w:vertAlign w:val="baseline"/>
              </w:rPr>
              <w:t>B</w:t>
            </w:r>
          </w:p>
          <w:p>
            <w:pPr>
              <w:pStyle w:val="TableParagraph"/>
              <w:spacing w:line="259" w:lineRule="exact"/>
              <w:ind w:left="12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7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AB</w:t>
            </w:r>
            <w:r>
              <w:rPr>
                <w:b/>
                <w:sz w:val="24"/>
                <w:vertAlign w:val="superscript"/>
              </w:rPr>
              <w:t>2</w:t>
            </w:r>
          </w:p>
          <w:p>
            <w:pPr>
              <w:pStyle w:val="TableParagraph"/>
              <w:spacing w:line="259" w:lineRule="exact"/>
              <w:ind w:left="12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7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4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ABC</w:t>
            </w:r>
          </w:p>
          <w:p>
            <w:pPr>
              <w:pStyle w:val="TableParagraph"/>
              <w:spacing w:line="166" w:lineRule="exact"/>
              <w:ind w:left="121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2</w:t>
            </w:r>
          </w:p>
        </w:tc>
      </w:tr>
      <w:tr>
        <w:trPr>
          <w:trHeight w:val="552" w:hRule="atLeast"/>
        </w:trPr>
        <w:tc>
          <w:tcPr>
            <w:tcW w:w="17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exact"/>
              <w:ind w:left="122" w:right="527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  <w:r>
              <w:rPr>
                <w:b/>
                <w:sz w:val="24"/>
                <w:vertAlign w:val="subscript"/>
              </w:rPr>
              <w:t>1</w:t>
            </w:r>
            <w:r>
              <w:rPr>
                <w:b/>
                <w:sz w:val="24"/>
                <w:vertAlign w:val="baseline"/>
              </w:rPr>
              <w:t>=Tensile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strength</w:t>
            </w:r>
          </w:p>
        </w:tc>
        <w:tc>
          <w:tcPr>
            <w:tcW w:w="7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9"/>
              <w:ind w:left="108"/>
              <w:rPr>
                <w:sz w:val="24"/>
              </w:rPr>
            </w:pPr>
            <w:r>
              <w:rPr>
                <w:sz w:val="24"/>
              </w:rPr>
              <w:t>2.60</w:t>
            </w:r>
          </w:p>
        </w:tc>
        <w:tc>
          <w:tcPr>
            <w:tcW w:w="7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9"/>
              <w:ind w:left="117"/>
              <w:rPr>
                <w:sz w:val="24"/>
              </w:rPr>
            </w:pPr>
            <w:r>
              <w:rPr>
                <w:sz w:val="24"/>
              </w:rPr>
              <w:t>4.31</w:t>
            </w:r>
          </w:p>
        </w:tc>
        <w:tc>
          <w:tcPr>
            <w:tcW w:w="7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9"/>
              <w:ind w:left="117"/>
              <w:rPr>
                <w:sz w:val="24"/>
              </w:rPr>
            </w:pPr>
            <w:r>
              <w:rPr>
                <w:sz w:val="24"/>
              </w:rPr>
              <w:t>3.04</w:t>
            </w:r>
          </w:p>
        </w:tc>
        <w:tc>
          <w:tcPr>
            <w:tcW w:w="7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9"/>
              <w:ind w:left="117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7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9"/>
              <w:ind w:left="118"/>
              <w:rPr>
                <w:sz w:val="24"/>
              </w:rPr>
            </w:pPr>
            <w:r>
              <w:rPr>
                <w:sz w:val="24"/>
              </w:rPr>
              <w:t>-0.46</w:t>
            </w:r>
          </w:p>
        </w:tc>
        <w:tc>
          <w:tcPr>
            <w:tcW w:w="7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9"/>
              <w:ind w:left="118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7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9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23.48</w:t>
            </w:r>
          </w:p>
        </w:tc>
        <w:tc>
          <w:tcPr>
            <w:tcW w:w="7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171.1</w:t>
            </w:r>
          </w:p>
        </w:tc>
        <w:tc>
          <w:tcPr>
            <w:tcW w:w="7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9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116.7</w:t>
            </w:r>
          </w:p>
        </w:tc>
      </w:tr>
      <w:tr>
        <w:trPr>
          <w:trHeight w:val="827" w:hRule="atLeast"/>
        </w:trPr>
        <w:tc>
          <w:tcPr>
            <w:tcW w:w="17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p=</w:t>
            </w:r>
          </w:p>
        </w:tc>
        <w:tc>
          <w:tcPr>
            <w:tcW w:w="7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0.000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17" w:right="95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0.000</w:t>
            </w:r>
          </w:p>
          <w:p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17" w:right="94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0.000</w:t>
            </w:r>
          </w:p>
          <w:p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17" w:right="93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0.000</w:t>
            </w:r>
          </w:p>
          <w:p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118"/>
              <w:rPr>
                <w:sz w:val="24"/>
              </w:rPr>
            </w:pPr>
            <w:r>
              <w:rPr>
                <w:sz w:val="24"/>
              </w:rPr>
              <w:t>0.009</w:t>
            </w: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118"/>
              <w:rPr>
                <w:sz w:val="24"/>
              </w:rPr>
            </w:pPr>
            <w:r>
              <w:rPr>
                <w:sz w:val="24"/>
              </w:rPr>
              <w:t>0.001</w:t>
            </w: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120"/>
              <w:rPr>
                <w:sz w:val="24"/>
              </w:rPr>
            </w:pPr>
            <w:r>
              <w:rPr>
                <w:sz w:val="24"/>
              </w:rPr>
              <w:t>0.000</w:t>
            </w:r>
          </w:p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20" w:right="90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0.000</w:t>
            </w:r>
          </w:p>
          <w:p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21" w:right="96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0.000</w:t>
            </w:r>
          </w:p>
          <w:p>
            <w:pPr>
              <w:pStyle w:val="TableParagraph"/>
              <w:spacing w:line="264" w:lineRule="exact"/>
              <w:ind w:left="1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17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z w:val="24"/>
                <w:vertAlign w:val="baseline"/>
              </w:rPr>
              <w:t>=Disintegrat</w:t>
            </w:r>
          </w:p>
          <w:p>
            <w:pPr>
              <w:pStyle w:val="TableParagraph"/>
              <w:spacing w:line="25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</w:p>
        </w:tc>
        <w:tc>
          <w:tcPr>
            <w:tcW w:w="7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108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7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4.03</w:t>
            </w:r>
          </w:p>
        </w:tc>
        <w:tc>
          <w:tcPr>
            <w:tcW w:w="7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7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-1.63</w:t>
            </w:r>
          </w:p>
        </w:tc>
        <w:tc>
          <w:tcPr>
            <w:tcW w:w="7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118"/>
              <w:rPr>
                <w:sz w:val="24"/>
              </w:rPr>
            </w:pPr>
            <w:r>
              <w:rPr>
                <w:sz w:val="24"/>
              </w:rPr>
              <w:t>-0.22</w:t>
            </w:r>
          </w:p>
        </w:tc>
        <w:tc>
          <w:tcPr>
            <w:tcW w:w="7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118"/>
              <w:rPr>
                <w:sz w:val="24"/>
              </w:rPr>
            </w:pPr>
            <w:r>
              <w:rPr>
                <w:sz w:val="24"/>
              </w:rPr>
              <w:t>-5.50</w:t>
            </w:r>
          </w:p>
        </w:tc>
        <w:tc>
          <w:tcPr>
            <w:tcW w:w="7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0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31.67</w:t>
            </w:r>
          </w:p>
        </w:tc>
        <w:tc>
          <w:tcPr>
            <w:tcW w:w="7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133.6</w:t>
            </w:r>
          </w:p>
        </w:tc>
        <w:tc>
          <w:tcPr>
            <w:tcW w:w="7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60.03</w:t>
            </w:r>
          </w:p>
        </w:tc>
      </w:tr>
      <w:tr>
        <w:trPr>
          <w:trHeight w:val="832" w:hRule="atLeast"/>
        </w:trPr>
        <w:tc>
          <w:tcPr>
            <w:tcW w:w="1793" w:type="dxa"/>
            <w:tcBorders>
              <w:top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p=</w:t>
            </w:r>
          </w:p>
        </w:tc>
        <w:tc>
          <w:tcPr>
            <w:tcW w:w="764" w:type="dxa"/>
            <w:tcBorders>
              <w:top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0.000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2" w:type="dxa"/>
            <w:tcBorders>
              <w:top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ind w:left="117" w:right="95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0.000</w:t>
            </w:r>
          </w:p>
          <w:p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1" w:type="dxa"/>
            <w:tcBorders>
              <w:top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ind w:left="117" w:right="94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0.000</w:t>
            </w:r>
          </w:p>
          <w:p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0" w:type="dxa"/>
            <w:tcBorders>
              <w:top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ind w:left="117" w:right="93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0.000</w:t>
            </w:r>
          </w:p>
          <w:p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0" w:type="dxa"/>
            <w:tcBorders>
              <w:top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0.275</w:t>
            </w:r>
          </w:p>
        </w:tc>
        <w:tc>
          <w:tcPr>
            <w:tcW w:w="771" w:type="dxa"/>
            <w:tcBorders>
              <w:top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ind w:left="118" w:right="93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0.000</w:t>
            </w:r>
          </w:p>
          <w:p>
            <w:pPr>
              <w:pStyle w:val="TableParagraph"/>
              <w:spacing w:line="266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1" w:type="dxa"/>
            <w:tcBorders>
              <w:top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1"/>
              <w:ind w:left="120"/>
              <w:rPr>
                <w:sz w:val="24"/>
              </w:rPr>
            </w:pPr>
            <w:r>
              <w:rPr>
                <w:sz w:val="24"/>
              </w:rPr>
              <w:t>0.000</w:t>
            </w:r>
          </w:p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0" w:type="dxa"/>
            <w:tcBorders>
              <w:top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ind w:left="120" w:right="90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0.000</w:t>
            </w:r>
          </w:p>
          <w:p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7" w:type="dxa"/>
            <w:tcBorders>
              <w:top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ind w:left="121" w:right="96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0.000</w:t>
            </w:r>
          </w:p>
          <w:p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tabs>
          <w:tab w:pos="3345" w:val="left" w:leader="none"/>
          <w:tab w:pos="5506" w:val="left" w:leader="none"/>
        </w:tabs>
        <w:spacing w:before="112"/>
        <w:ind w:left="465"/>
      </w:pPr>
      <w:r>
        <w:rPr>
          <w:b/>
        </w:rPr>
        <w:t>A</w:t>
      </w:r>
      <w:r>
        <w:rPr>
          <w:b/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Cassava</w:t>
      </w:r>
      <w:r>
        <w:rPr>
          <w:spacing w:val="-3"/>
        </w:rPr>
        <w:t> </w:t>
      </w:r>
      <w:r>
        <w:rPr/>
        <w:t>starch</w:t>
        <w:tab/>
      </w:r>
      <w:r>
        <w:rPr>
          <w:b/>
        </w:rPr>
        <w:t>B </w:t>
      </w:r>
      <w:r>
        <w:rPr/>
        <w:t>=</w:t>
      </w:r>
      <w:r>
        <w:rPr>
          <w:spacing w:val="-2"/>
        </w:rPr>
        <w:t> </w:t>
      </w:r>
      <w:r>
        <w:rPr/>
        <w:t>Gelatin</w:t>
        <w:tab/>
      </w:r>
      <w:r>
        <w:rPr>
          <w:b/>
        </w:rPr>
        <w:t>C</w:t>
      </w:r>
      <w:r>
        <w:rPr/>
        <w:t>=</w:t>
      </w:r>
      <w:r>
        <w:rPr>
          <w:spacing w:val="-2"/>
        </w:rPr>
        <w:t> </w:t>
      </w:r>
      <w:r>
        <w:rPr/>
        <w:t>Colloidal</w:t>
      </w:r>
      <w:r>
        <w:rPr>
          <w:spacing w:val="-1"/>
        </w:rPr>
        <w:t> </w:t>
      </w:r>
      <w:r>
        <w:rPr/>
        <w:t>silicon dioxide</w:t>
      </w:r>
    </w:p>
    <w:p>
      <w:pPr>
        <w:spacing w:before="122"/>
        <w:ind w:left="465" w:right="0" w:firstLine="0"/>
        <w:jc w:val="left"/>
        <w:rPr>
          <w:sz w:val="24"/>
        </w:rPr>
      </w:pPr>
      <w:r>
        <w:rPr>
          <w:b/>
          <w:sz w:val="24"/>
        </w:rPr>
        <w:t>A,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order</w:t>
      </w:r>
      <w:r>
        <w:rPr>
          <w:spacing w:val="-1"/>
          <w:sz w:val="24"/>
        </w:rPr>
        <w:t> </w:t>
      </w:r>
      <w:r>
        <w:rPr>
          <w:sz w:val="24"/>
        </w:rPr>
        <w:t>terms</w:t>
      </w:r>
    </w:p>
    <w:p>
      <w:pPr>
        <w:spacing w:before="199"/>
        <w:ind w:left="465" w:right="0" w:firstLine="0"/>
        <w:jc w:val="left"/>
        <w:rPr>
          <w:sz w:val="24"/>
        </w:rPr>
      </w:pPr>
      <w:r>
        <w:rPr>
          <w:b/>
          <w:sz w:val="24"/>
        </w:rPr>
        <w:t>AB,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BC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Second</w:t>
      </w:r>
      <w:r>
        <w:rPr>
          <w:spacing w:val="-1"/>
          <w:sz w:val="24"/>
        </w:rPr>
        <w:t> </w:t>
      </w:r>
      <w:r>
        <w:rPr>
          <w:sz w:val="24"/>
        </w:rPr>
        <w:t>order</w:t>
      </w:r>
      <w:r>
        <w:rPr>
          <w:spacing w:val="-1"/>
          <w:sz w:val="24"/>
        </w:rPr>
        <w:t> </w:t>
      </w:r>
      <w:r>
        <w:rPr>
          <w:sz w:val="24"/>
        </w:rPr>
        <w:t>terms</w:t>
      </w:r>
    </w:p>
    <w:p>
      <w:pPr>
        <w:spacing w:before="200"/>
        <w:ind w:left="465" w:right="0" w:firstLine="0"/>
        <w:jc w:val="left"/>
        <w:rPr>
          <w:sz w:val="24"/>
        </w:rPr>
      </w:pPr>
      <w:r>
        <w:rPr>
          <w:b/>
          <w:sz w:val="24"/>
        </w:rPr>
        <w:t>A</w:t>
      </w:r>
      <w:r>
        <w:rPr>
          <w:b/>
          <w:sz w:val="24"/>
          <w:vertAlign w:val="superscript"/>
        </w:rPr>
        <w:t>2</w:t>
      </w:r>
      <w:r>
        <w:rPr>
          <w:b/>
          <w:sz w:val="24"/>
          <w:vertAlign w:val="baseline"/>
        </w:rPr>
        <w:t>BC,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AB</w:t>
      </w:r>
      <w:r>
        <w:rPr>
          <w:b/>
          <w:sz w:val="24"/>
          <w:vertAlign w:val="superscript"/>
        </w:rPr>
        <w:t>2</w:t>
      </w:r>
      <w:r>
        <w:rPr>
          <w:b/>
          <w:sz w:val="24"/>
          <w:vertAlign w:val="baseline"/>
        </w:rPr>
        <w:t>C,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and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ABC</w:t>
      </w:r>
      <w:r>
        <w:rPr>
          <w:b/>
          <w:sz w:val="24"/>
          <w:vertAlign w:val="superscript"/>
        </w:rPr>
        <w:t>2</w:t>
      </w:r>
      <w:r>
        <w:rPr>
          <w:sz w:val="24"/>
          <w:vertAlign w:val="baseline"/>
        </w:rPr>
        <w:t>: Fourth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order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terms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5"/>
        <w:jc w:val="both"/>
      </w:pPr>
      <w:r>
        <w:rPr/>
        <w:t>Based on the regression model obtained above, a contour plot was generated for each</w:t>
      </w:r>
      <w:r>
        <w:rPr>
          <w:spacing w:val="1"/>
        </w:rPr>
        <w:t> </w:t>
      </w:r>
      <w:r>
        <w:rPr/>
        <w:t>response to display the effect of the interacting excipients on the tablet responses of</w:t>
      </w:r>
      <w:r>
        <w:rPr>
          <w:spacing w:val="1"/>
        </w:rPr>
        <w:t> </w:t>
      </w:r>
      <w:r>
        <w:rPr/>
        <w:t>tensile strength and disintegration time. The contour plot and its corresponding 3D</w:t>
      </w:r>
      <w:r>
        <w:rPr>
          <w:spacing w:val="1"/>
        </w:rPr>
        <w:t> </w:t>
      </w:r>
      <w:r>
        <w:rPr/>
        <w:t>surface</w:t>
      </w:r>
      <w:r>
        <w:rPr>
          <w:spacing w:val="-2"/>
        </w:rPr>
        <w:t> </w:t>
      </w:r>
      <w:r>
        <w:rPr/>
        <w:t>plot for</w:t>
      </w:r>
      <w:r>
        <w:rPr>
          <w:spacing w:val="-1"/>
        </w:rPr>
        <w:t> </w:t>
      </w:r>
      <w:r>
        <w:rPr/>
        <w:t>each response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Figures 4.1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4.4.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spacing w:line="247" w:lineRule="auto" w:before="159"/>
        <w:ind w:left="807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pacing w:val="-2"/>
          <w:w w:val="55"/>
          <w:sz w:val="16"/>
        </w:rPr>
        <w:t>Design-Expert®</w:t>
      </w:r>
      <w:r>
        <w:rPr>
          <w:rFonts w:ascii="Arial MT" w:hAnsi="Arial MT"/>
          <w:spacing w:val="-1"/>
          <w:w w:val="55"/>
          <w:sz w:val="16"/>
        </w:rPr>
        <w:t> Software</w:t>
      </w:r>
      <w:r>
        <w:rPr>
          <w:rFonts w:ascii="Arial MT" w:hAnsi="Arial MT"/>
          <w:w w:val="55"/>
          <w:sz w:val="16"/>
        </w:rPr>
        <w:t> </w:t>
      </w:r>
      <w:r>
        <w:rPr>
          <w:rFonts w:ascii="Arial MT" w:hAnsi="Arial MT"/>
          <w:spacing w:val="-2"/>
          <w:w w:val="55"/>
          <w:sz w:val="16"/>
        </w:rPr>
        <w:t>Component</w:t>
      </w:r>
      <w:r>
        <w:rPr>
          <w:rFonts w:ascii="Arial MT" w:hAnsi="Arial MT"/>
          <w:spacing w:val="-1"/>
          <w:w w:val="55"/>
          <w:sz w:val="16"/>
        </w:rPr>
        <w:t> Coding: Actual</w:t>
      </w:r>
      <w:r>
        <w:rPr>
          <w:rFonts w:ascii="Arial MT" w:hAnsi="Arial MT"/>
          <w:spacing w:val="-22"/>
          <w:w w:val="55"/>
          <w:sz w:val="16"/>
        </w:rPr>
        <w:t> </w:t>
      </w:r>
      <w:r>
        <w:rPr>
          <w:rFonts w:ascii="Arial MT" w:hAnsi="Arial MT"/>
          <w:spacing w:val="-1"/>
          <w:w w:val="55"/>
          <w:sz w:val="16"/>
        </w:rPr>
        <w:t>Tensile</w:t>
      </w:r>
      <w:r>
        <w:rPr>
          <w:rFonts w:ascii="Arial MT" w:hAnsi="Arial MT"/>
          <w:w w:val="55"/>
          <w:sz w:val="16"/>
        </w:rPr>
        <w:t> </w:t>
      </w:r>
      <w:r>
        <w:rPr>
          <w:rFonts w:ascii="Arial MT" w:hAnsi="Arial MT"/>
          <w:spacing w:val="-1"/>
          <w:w w:val="55"/>
          <w:sz w:val="16"/>
        </w:rPr>
        <w:t>strength</w:t>
      </w:r>
      <w:r>
        <w:rPr>
          <w:rFonts w:ascii="Arial MT" w:hAnsi="Arial MT"/>
          <w:w w:val="55"/>
          <w:sz w:val="16"/>
        </w:rPr>
        <w:t> (MPa)</w:t>
      </w:r>
    </w:p>
    <w:p>
      <w:pPr>
        <w:spacing w:line="249" w:lineRule="auto" w:before="2"/>
        <w:ind w:left="909" w:right="276" w:firstLine="0"/>
        <w:jc w:val="left"/>
        <w:rPr>
          <w:rFonts w:ascii="Arial MT"/>
          <w:sz w:val="16"/>
        </w:rPr>
      </w:pPr>
      <w:r>
        <w:rPr/>
        <w:pict>
          <v:group style="position:absolute;margin-left:117.167389pt;margin-top:2.930851pt;width:2.2pt;height:3.7pt;mso-position-horizontal-relative:page;mso-position-vertical-relative:paragraph;z-index:15867392" coordorigin="2343,59" coordsize="44,74">
            <v:shape style="position:absolute;left:2348;top:63;width:34;height:64" coordorigin="2348,63" coordsize="34,64" path="m2375,63l2355,63,2348,76,2348,89,2349,105,2352,117,2357,124,2362,127,2371,124,2377,117,2381,105,2382,89,2382,76,2375,63xe" filled="true" fillcolor="#b40000" stroked="false">
              <v:path arrowok="t"/>
              <v:fill type="solid"/>
            </v:shape>
            <v:shape style="position:absolute;left:2348;top:63;width:34;height:64" coordorigin="2348,63" coordsize="34,64" path="m2348,89l2349,105,2352,117,2357,124,2362,127,2371,124,2377,117,2381,105,2382,89,2382,76,2375,63,2362,63,2355,63,2348,76,2348,89xe" filled="false" stroked="true" strokeweight=".402728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17.578819pt;margin-top:11.08168pt;width:2.75pt;height:24.15pt;mso-position-horizontal-relative:page;mso-position-vertical-relative:paragraph;z-index:15867904" coordorigin="2352,222" coordsize="55,483" path="m2352,222l2399,222m2406,222l2406,691m2406,704l2358,704m2352,704l2352,234e" filled="false" stroked="true" strokeweight=".485104pt" strokecolor="#000000">
            <v:path arrowok="t"/>
            <v:stroke dashstyle="solid"/>
            <w10:wrap type="none"/>
          </v:shape>
        </w:pict>
      </w:r>
      <w:r>
        <w:rPr>
          <w:rFonts w:ascii="Arial MT"/>
          <w:color w:val="B40000"/>
          <w:spacing w:val="-2"/>
          <w:w w:val="55"/>
          <w:sz w:val="16"/>
        </w:rPr>
        <w:t>Design</w:t>
      </w:r>
      <w:r>
        <w:rPr>
          <w:rFonts w:ascii="Arial MT"/>
          <w:color w:val="B40000"/>
          <w:w w:val="55"/>
          <w:sz w:val="16"/>
        </w:rPr>
        <w:t> </w:t>
      </w:r>
      <w:r>
        <w:rPr>
          <w:rFonts w:ascii="Arial MT"/>
          <w:color w:val="B40000"/>
          <w:spacing w:val="-1"/>
          <w:w w:val="55"/>
          <w:sz w:val="16"/>
        </w:rPr>
        <w:t>Points</w:t>
      </w:r>
      <w:r>
        <w:rPr>
          <w:rFonts w:ascii="Arial MT"/>
          <w:color w:val="B40000"/>
          <w:spacing w:val="-22"/>
          <w:w w:val="55"/>
          <w:sz w:val="16"/>
        </w:rPr>
        <w:t> </w:t>
      </w:r>
      <w:r>
        <w:rPr>
          <w:rFonts w:ascii="Arial MT"/>
          <w:color w:val="FF0000"/>
          <w:w w:val="65"/>
          <w:sz w:val="16"/>
        </w:rPr>
        <w:t>4.34</w:t>
      </w:r>
    </w:p>
    <w:p>
      <w:pPr>
        <w:spacing w:line="208" w:lineRule="auto" w:before="93"/>
        <w:ind w:left="1111" w:right="3700" w:hanging="304"/>
        <w:jc w:val="left"/>
        <w:rPr>
          <w:rFonts w:ascii="Arial MT"/>
          <w:sz w:val="23"/>
        </w:rPr>
      </w:pPr>
      <w:r>
        <w:rPr/>
        <w:br w:type="column"/>
      </w:r>
      <w:r>
        <w:rPr>
          <w:rFonts w:ascii="Arial MT"/>
          <w:w w:val="50"/>
          <w:sz w:val="23"/>
        </w:rPr>
        <w:t>A:</w:t>
      </w:r>
      <w:r>
        <w:rPr>
          <w:rFonts w:ascii="Arial MT"/>
          <w:spacing w:val="6"/>
          <w:w w:val="50"/>
          <w:sz w:val="23"/>
        </w:rPr>
        <w:t> </w:t>
      </w:r>
      <w:r>
        <w:rPr>
          <w:rFonts w:ascii="Arial MT"/>
          <w:w w:val="50"/>
          <w:sz w:val="23"/>
        </w:rPr>
        <w:t>Starch</w:t>
      </w:r>
      <w:r>
        <w:rPr>
          <w:rFonts w:ascii="Arial MT"/>
          <w:spacing w:val="7"/>
          <w:w w:val="50"/>
          <w:sz w:val="23"/>
        </w:rPr>
        <w:t> </w:t>
      </w:r>
      <w:r>
        <w:rPr>
          <w:rFonts w:ascii="Arial MT"/>
          <w:w w:val="50"/>
          <w:sz w:val="23"/>
        </w:rPr>
        <w:t>(%)</w:t>
      </w:r>
      <w:r>
        <w:rPr>
          <w:rFonts w:ascii="Arial MT"/>
          <w:spacing w:val="-29"/>
          <w:w w:val="50"/>
          <w:sz w:val="23"/>
        </w:rPr>
        <w:t> </w:t>
      </w:r>
      <w:r>
        <w:rPr>
          <w:rFonts w:ascii="Arial MT"/>
          <w:w w:val="65"/>
          <w:sz w:val="23"/>
        </w:rPr>
        <w:t>98</w:t>
      </w:r>
    </w:p>
    <w:p>
      <w:pPr>
        <w:spacing w:after="0" w:line="208" w:lineRule="auto"/>
        <w:jc w:val="left"/>
        <w:rPr>
          <w:rFonts w:ascii="Arial MT"/>
          <w:sz w:val="23"/>
        </w:rPr>
        <w:sectPr>
          <w:pgSz w:w="11910" w:h="16840"/>
          <w:pgMar w:header="0" w:footer="987" w:top="1560" w:bottom="1260" w:left="1520" w:right="160"/>
          <w:cols w:num="2" w:equalWidth="0">
            <w:col w:w="1893" w:space="2986"/>
            <w:col w:w="5351"/>
          </w:cols>
        </w:sect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0"/>
        <w:ind w:left="909" w:right="0" w:firstLine="0"/>
        <w:jc w:val="left"/>
        <w:rPr>
          <w:rFonts w:ascii="Arial MT"/>
          <w:sz w:val="16"/>
        </w:rPr>
      </w:pPr>
      <w:r>
        <w:rPr>
          <w:rFonts w:ascii="Arial MT"/>
          <w:color w:val="0000FF"/>
          <w:w w:val="65"/>
          <w:sz w:val="16"/>
        </w:rPr>
        <w:t>2.34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7"/>
        <w:rPr>
          <w:rFonts w:ascii="Arial MT"/>
          <w:sz w:val="15"/>
        </w:rPr>
      </w:pPr>
    </w:p>
    <w:p>
      <w:pPr>
        <w:spacing w:line="247" w:lineRule="auto" w:before="0"/>
        <w:ind w:left="807" w:right="8771" w:firstLine="0"/>
        <w:jc w:val="left"/>
        <w:rPr>
          <w:rFonts w:ascii="Arial MT"/>
          <w:sz w:val="16"/>
        </w:rPr>
      </w:pPr>
      <w:r>
        <w:rPr>
          <w:rFonts w:ascii="Arial MT"/>
          <w:spacing w:val="-1"/>
          <w:w w:val="55"/>
          <w:sz w:val="16"/>
        </w:rPr>
        <w:t>X1</w:t>
      </w:r>
      <w:r>
        <w:rPr>
          <w:rFonts w:ascii="Arial MT"/>
          <w:w w:val="55"/>
          <w:sz w:val="16"/>
        </w:rPr>
        <w:t> </w:t>
      </w:r>
      <w:r>
        <w:rPr>
          <w:rFonts w:ascii="Arial MT"/>
          <w:spacing w:val="-1"/>
          <w:w w:val="55"/>
          <w:sz w:val="16"/>
        </w:rPr>
        <w:t>=</w:t>
      </w:r>
      <w:r>
        <w:rPr>
          <w:rFonts w:ascii="Arial MT"/>
          <w:spacing w:val="5"/>
          <w:w w:val="55"/>
          <w:sz w:val="16"/>
        </w:rPr>
        <w:t> </w:t>
      </w:r>
      <w:r>
        <w:rPr>
          <w:rFonts w:ascii="Arial MT"/>
          <w:spacing w:val="-1"/>
          <w:w w:val="55"/>
          <w:sz w:val="16"/>
        </w:rPr>
        <w:t>A:</w:t>
      </w:r>
      <w:r>
        <w:rPr>
          <w:rFonts w:ascii="Arial MT"/>
          <w:spacing w:val="6"/>
          <w:w w:val="55"/>
          <w:sz w:val="16"/>
        </w:rPr>
        <w:t> </w:t>
      </w:r>
      <w:r>
        <w:rPr>
          <w:rFonts w:ascii="Arial MT"/>
          <w:spacing w:val="-1"/>
          <w:w w:val="55"/>
          <w:sz w:val="16"/>
        </w:rPr>
        <w:t>Starch</w:t>
      </w:r>
      <w:r>
        <w:rPr>
          <w:rFonts w:ascii="Arial MT"/>
          <w:w w:val="55"/>
          <w:sz w:val="16"/>
        </w:rPr>
        <w:t> </w:t>
      </w:r>
      <w:r>
        <w:rPr>
          <w:rFonts w:ascii="Arial MT"/>
          <w:spacing w:val="-3"/>
          <w:w w:val="55"/>
          <w:sz w:val="16"/>
        </w:rPr>
        <w:t>X2</w:t>
      </w:r>
      <w:r>
        <w:rPr>
          <w:rFonts w:ascii="Arial MT"/>
          <w:w w:val="55"/>
          <w:sz w:val="16"/>
        </w:rPr>
        <w:t> </w:t>
      </w:r>
      <w:r>
        <w:rPr>
          <w:rFonts w:ascii="Arial MT"/>
          <w:spacing w:val="-3"/>
          <w:w w:val="55"/>
          <w:sz w:val="16"/>
        </w:rPr>
        <w:t>=</w:t>
      </w:r>
      <w:r>
        <w:rPr>
          <w:rFonts w:ascii="Arial MT"/>
          <w:spacing w:val="5"/>
          <w:w w:val="55"/>
          <w:sz w:val="16"/>
        </w:rPr>
        <w:t> </w:t>
      </w:r>
      <w:r>
        <w:rPr>
          <w:rFonts w:ascii="Arial MT"/>
          <w:spacing w:val="-2"/>
          <w:w w:val="55"/>
          <w:sz w:val="16"/>
        </w:rPr>
        <w:t>B:</w:t>
      </w:r>
      <w:r>
        <w:rPr>
          <w:rFonts w:ascii="Arial MT"/>
          <w:spacing w:val="5"/>
          <w:w w:val="55"/>
          <w:sz w:val="16"/>
        </w:rPr>
        <w:t> </w:t>
      </w:r>
      <w:r>
        <w:rPr>
          <w:rFonts w:ascii="Arial MT"/>
          <w:spacing w:val="-2"/>
          <w:w w:val="55"/>
          <w:sz w:val="16"/>
        </w:rPr>
        <w:t>Gelatin</w:t>
      </w:r>
    </w:p>
    <w:p>
      <w:pPr>
        <w:spacing w:before="2"/>
        <w:ind w:left="807" w:right="0" w:firstLine="0"/>
        <w:jc w:val="left"/>
        <w:rPr>
          <w:rFonts w:ascii="Arial MT"/>
          <w:sz w:val="16"/>
        </w:rPr>
      </w:pPr>
      <w:r>
        <w:rPr>
          <w:rFonts w:ascii="Arial MT"/>
          <w:spacing w:val="-1"/>
          <w:w w:val="55"/>
          <w:sz w:val="16"/>
        </w:rPr>
        <w:t>X3</w:t>
      </w:r>
      <w:r>
        <w:rPr>
          <w:rFonts w:ascii="Arial MT"/>
          <w:w w:val="55"/>
          <w:sz w:val="16"/>
        </w:rPr>
        <w:t> </w:t>
      </w:r>
      <w:r>
        <w:rPr>
          <w:rFonts w:ascii="Arial MT"/>
          <w:spacing w:val="-1"/>
          <w:w w:val="55"/>
          <w:sz w:val="16"/>
        </w:rPr>
        <w:t>=</w:t>
      </w:r>
      <w:r>
        <w:rPr>
          <w:rFonts w:ascii="Arial MT"/>
          <w:spacing w:val="5"/>
          <w:w w:val="55"/>
          <w:sz w:val="16"/>
        </w:rPr>
        <w:t> </w:t>
      </w:r>
      <w:r>
        <w:rPr>
          <w:rFonts w:ascii="Arial MT"/>
          <w:spacing w:val="-1"/>
          <w:w w:val="55"/>
          <w:sz w:val="16"/>
        </w:rPr>
        <w:t>C:</w:t>
      </w:r>
      <w:r>
        <w:rPr>
          <w:rFonts w:ascii="Arial MT"/>
          <w:spacing w:val="5"/>
          <w:w w:val="55"/>
          <w:sz w:val="16"/>
        </w:rPr>
        <w:t> </w:t>
      </w:r>
      <w:r>
        <w:rPr>
          <w:rFonts w:ascii="Arial MT"/>
          <w:spacing w:val="-1"/>
          <w:w w:val="55"/>
          <w:sz w:val="16"/>
        </w:rPr>
        <w:t>Silicon</w:t>
      </w:r>
      <w:r>
        <w:rPr>
          <w:rFonts w:ascii="Arial MT"/>
          <w:spacing w:val="1"/>
          <w:w w:val="55"/>
          <w:sz w:val="16"/>
        </w:rPr>
        <w:t> </w:t>
      </w:r>
      <w:r>
        <w:rPr>
          <w:rFonts w:ascii="Arial MT"/>
          <w:spacing w:val="-1"/>
          <w:w w:val="55"/>
          <w:sz w:val="16"/>
        </w:rPr>
        <w:t>dioxide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320" w:bottom="1260" w:left="1520" w:right="160"/>
        </w:sect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0"/>
        <w:ind w:left="3785" w:right="0" w:firstLine="0"/>
        <w:jc w:val="left"/>
        <w:rPr>
          <w:rFonts w:ascii="Arial MT"/>
          <w:sz w:val="19"/>
        </w:rPr>
      </w:pPr>
      <w:r>
        <w:rPr>
          <w:rFonts w:ascii="Arial MT"/>
          <w:w w:val="55"/>
          <w:sz w:val="19"/>
        </w:rPr>
        <w:t>2</w:t>
      </w:r>
    </w:p>
    <w:p>
      <w:pPr>
        <w:spacing w:before="73"/>
        <w:ind w:left="3908" w:right="0" w:firstLine="0"/>
        <w:jc w:val="left"/>
        <w:rPr>
          <w:rFonts w:ascii="Arial MT"/>
          <w:sz w:val="23"/>
        </w:rPr>
      </w:pPr>
      <w:r>
        <w:rPr>
          <w:rFonts w:ascii="Arial MT"/>
          <w:w w:val="53"/>
          <w:sz w:val="23"/>
        </w:rPr>
        <w:t>9</w:t>
      </w:r>
    </w:p>
    <w:p>
      <w:pPr>
        <w:spacing w:before="13"/>
        <w:ind w:left="3908" w:right="0" w:firstLine="0"/>
        <w:jc w:val="left"/>
        <w:rPr>
          <w:rFonts w:ascii="Arial MT"/>
          <w:sz w:val="23"/>
        </w:rPr>
      </w:pPr>
      <w:r>
        <w:rPr>
          <w:rFonts w:ascii="Arial MT"/>
          <w:w w:val="50"/>
          <w:sz w:val="23"/>
        </w:rPr>
        <w:t>B:</w:t>
      </w:r>
      <w:r>
        <w:rPr>
          <w:rFonts w:ascii="Arial MT"/>
          <w:spacing w:val="9"/>
          <w:w w:val="50"/>
          <w:sz w:val="23"/>
        </w:rPr>
        <w:t> </w:t>
      </w:r>
      <w:r>
        <w:rPr>
          <w:rFonts w:ascii="Arial MT"/>
          <w:w w:val="50"/>
          <w:sz w:val="23"/>
        </w:rPr>
        <w:t>Gelatin</w:t>
      </w:r>
      <w:r>
        <w:rPr>
          <w:rFonts w:ascii="Arial MT"/>
          <w:spacing w:val="9"/>
          <w:w w:val="50"/>
          <w:sz w:val="23"/>
        </w:rPr>
        <w:t> </w:t>
      </w:r>
      <w:r>
        <w:rPr>
          <w:rFonts w:ascii="Arial MT"/>
          <w:w w:val="50"/>
          <w:sz w:val="23"/>
        </w:rPr>
        <w:t>(%)</w:t>
      </w:r>
    </w:p>
    <w:p>
      <w:pPr>
        <w:pStyle w:val="BodyTex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spacing w:before="233"/>
        <w:ind w:left="475" w:right="0" w:firstLine="0"/>
        <w:jc w:val="center"/>
        <w:rPr>
          <w:rFonts w:ascii="Arial MT"/>
          <w:sz w:val="23"/>
        </w:rPr>
      </w:pPr>
      <w:r>
        <w:rPr/>
        <w:pict>
          <v:group style="position:absolute;margin-left:268.800659pt;margin-top:-274.374146pt;width:219.75pt;height:282.45pt;mso-position-horizontal-relative:page;mso-position-vertical-relative:paragraph;z-index:-20772352" coordorigin="5376,-5487" coordsize="4395,5649">
            <v:shape style="position:absolute;left:5427;top:-5344;width:4300;height:5429" coordorigin="5427,-5343" coordsize="4300,5429" path="m7577,-5343l5427,85,9727,85,7577,-5343xe" filled="true" fillcolor="#c0c0c0" stroked="false">
              <v:path arrowok="t"/>
              <v:fill type="solid"/>
            </v:shape>
            <v:shape style="position:absolute;left:5427;top:-5344;width:4300;height:5429" coordorigin="5427,-5343" coordsize="4300,5429" path="m5427,85l9727,85,7577,-5343,5427,85xe" filled="false" stroked="true" strokeweight=".410259pt" strokecolor="#000000">
              <v:path arrowok="t"/>
              <v:stroke dashstyle="solid"/>
            </v:shape>
            <v:shape style="position:absolute;left:5427;top:-5344;width:4300;height:5429" coordorigin="5427,-5343" coordsize="4300,5429" path="m7577,-5343l5427,85,9727,85,7577,-5343xe" filled="true" fillcolor="#ffff00" stroked="false">
              <v:path arrowok="t"/>
              <v:fill type="solid"/>
            </v:shape>
            <v:shape style="position:absolute;left:5427;top:-5344;width:4300;height:5429" coordorigin="5427,-5343" coordsize="4300,5429" path="m5427,85l9727,85,7577,-5343,5427,85xm5427,85l9727,85m9727,85l7577,-5343m7577,-5343l5427,85e" filled="false" stroked="true" strokeweight=".440999pt" strokecolor="#000000">
              <v:path arrowok="t"/>
              <v:stroke dashstyle="solid"/>
            </v:shape>
            <v:shape style="position:absolute;left:5642;top:-4574;width:4128;height:4709" type="#_x0000_t75" stroked="false">
              <v:imagedata r:id="rId108" o:title=""/>
            </v:shape>
            <v:shape style="position:absolute;left:7531;top:-5402;width:85;height:104" coordorigin="7531,-5402" coordsize="85,104" path="m7573,-5402l7557,-5397,7543,-5386,7534,-5370,7531,-5350,7534,-5330,7543,-5313,7557,-5302,7573,-5298,7590,-5302,7604,-5313,7613,-5330,7616,-5350,7613,-5370,7604,-5386,7590,-5397,7573,-5402xe" filled="true" fillcolor="#b40000" stroked="false">
              <v:path arrowok="t"/>
              <v:fill type="solid"/>
            </v:shape>
            <v:shape style="position:absolute;left:7531;top:-5402;width:85;height:104" coordorigin="7531,-5402" coordsize="85,104" path="m7531,-5350l7534,-5330,7543,-5313,7557,-5302,7573,-5298,7590,-5302,7604,-5313,7613,-5330,7616,-5350,7613,-5370,7604,-5386,7590,-5397,7573,-5402,7557,-5397,7543,-5386,7534,-5370,7531,-5350xe" filled="false" stroked="true" strokeweight=".414764pt" strokecolor="#000000">
              <v:path arrowok="t"/>
              <v:stroke dashstyle="solid"/>
            </v:shape>
            <v:shape style="position:absolute;left:7531;top:-5402;width:85;height:104" coordorigin="7531,-5402" coordsize="85,104" path="m7573,-5402l7557,-5397,7543,-5386,7534,-5370,7531,-5350,7534,-5330,7543,-5313,7557,-5302,7573,-5298,7590,-5302,7604,-5313,7613,-5330,7616,-5350,7613,-5370,7604,-5386,7590,-5397,7573,-5402xe" filled="true" fillcolor="#b40000" stroked="false">
              <v:path arrowok="t"/>
              <v:fill type="solid"/>
            </v:shape>
            <v:shape style="position:absolute;left:7531;top:-5402;width:85;height:104" coordorigin="7531,-5402" coordsize="85,104" path="m7531,-5350l7534,-5330,7543,-5313,7557,-5302,7573,-5298,7590,-5302,7604,-5313,7613,-5330,7616,-5350,7613,-5370,7604,-5386,7590,-5397,7573,-5402,7557,-5397,7543,-5386,7534,-5370,7531,-5350xe" filled="false" stroked="true" strokeweight=".414764pt" strokecolor="#000000">
              <v:path arrowok="t"/>
              <v:stroke dashstyle="solid"/>
            </v:shape>
            <v:shape style="position:absolute;left:5380;top:26;width:85;height:103" coordorigin="5381,27" coordsize="85,103" path="m5423,27l5407,31,5393,42,5384,58,5381,78,5384,98,5393,114,5407,125,5423,129,5440,125,5453,114,5463,98,5466,78,5463,58,5453,42,5440,31,5423,27xe" filled="true" fillcolor="#b40000" stroked="false">
              <v:path arrowok="t"/>
              <v:fill type="solid"/>
            </v:shape>
            <v:shape style="position:absolute;left:5380;top:26;width:85;height:103" coordorigin="5381,27" coordsize="85,103" path="m5381,78l5384,98,5393,114,5407,125,5423,129,5440,125,5453,114,5463,98,5466,78,5463,58,5453,42,5440,31,5423,27,5407,31,5393,42,5384,58,5381,78xe" filled="false" stroked="true" strokeweight=".416259pt" strokecolor="#000000">
              <v:path arrowok="t"/>
              <v:stroke dashstyle="solid"/>
            </v:shape>
            <v:shape style="position:absolute;left:5380;top:26;width:85;height:103" coordorigin="5381,27" coordsize="85,103" path="m5423,27l5407,31,5393,42,5384,58,5381,78,5384,98,5393,114,5407,125,5423,129,5440,125,5453,114,5463,98,5466,78,5463,58,5453,42,5440,31,5423,27xe" filled="true" fillcolor="#b40000" stroked="false">
              <v:path arrowok="t"/>
              <v:fill type="solid"/>
            </v:shape>
            <v:shape style="position:absolute;left:5380;top:26;width:85;height:103" coordorigin="5381,27" coordsize="85,103" path="m5381,78l5384,98,5393,114,5407,125,5423,129,5440,125,5453,114,5463,98,5466,78,5463,58,5453,42,5440,31,5423,27,5407,31,5393,42,5384,58,5381,78xe" filled="false" stroked="true" strokeweight=".416259pt" strokecolor="#000000">
              <v:path arrowok="t"/>
              <v:stroke dashstyle="solid"/>
            </v:shape>
            <v:shape style="position:absolute;left:7455;top:-5488;width:79;height:22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55"/>
                        <w:sz w:val="1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312;top:-2629;width:89;height:259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w w:val="53"/>
                        <w:sz w:val="2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379;top:-2774;width:79;height:22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55"/>
                        <w:sz w:val="1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587;top:-2772;width:76;height:21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55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775;top:-2629;width:89;height:259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w w:val="53"/>
                        <w:sz w:val="2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740;top:-1448;width:151;height:21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3"/>
                        <w:w w:val="60"/>
                        <w:sz w:val="18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6495;top:-824;width:151;height:21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3"/>
                        <w:w w:val="60"/>
                        <w:sz w:val="18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5677;top:-567;width:76;height:21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55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398;top:-545;width:76;height:21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55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655;top:-629;width:76;height:21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55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604;top:-60;width:79;height:22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55"/>
                        <w:sz w:val="19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65"/>
          <w:sz w:val="23"/>
        </w:rPr>
        <w:t>90</w:t>
      </w:r>
    </w:p>
    <w:p>
      <w:pPr>
        <w:pStyle w:val="BodyText"/>
        <w:spacing w:before="9"/>
        <w:rPr>
          <w:rFonts w:ascii="Arial MT"/>
          <w:sz w:val="27"/>
        </w:rPr>
      </w:pPr>
    </w:p>
    <w:p>
      <w:pPr>
        <w:spacing w:before="1"/>
        <w:ind w:left="469" w:right="0" w:firstLine="0"/>
        <w:jc w:val="center"/>
        <w:rPr>
          <w:rFonts w:ascii="Arial MT"/>
          <w:sz w:val="32"/>
        </w:rPr>
      </w:pPr>
      <w:r>
        <w:rPr>
          <w:rFonts w:ascii="Arial MT"/>
          <w:w w:val="50"/>
          <w:sz w:val="32"/>
        </w:rPr>
        <w:t>Tensile</w:t>
      </w:r>
      <w:r>
        <w:rPr>
          <w:rFonts w:ascii="Arial MT"/>
          <w:spacing w:val="12"/>
          <w:sz w:val="32"/>
        </w:rPr>
        <w:t> </w:t>
      </w:r>
      <w:r>
        <w:rPr>
          <w:rFonts w:ascii="Arial MT"/>
          <w:w w:val="50"/>
          <w:sz w:val="32"/>
        </w:rPr>
        <w:t>strength</w:t>
      </w:r>
      <w:r>
        <w:rPr>
          <w:rFonts w:ascii="Arial MT"/>
          <w:spacing w:val="12"/>
          <w:sz w:val="32"/>
        </w:rPr>
        <w:t> </w:t>
      </w:r>
      <w:r>
        <w:rPr>
          <w:rFonts w:ascii="Arial MT"/>
          <w:w w:val="50"/>
          <w:sz w:val="32"/>
        </w:rPr>
        <w:t>(MPa)</w:t>
      </w:r>
    </w:p>
    <w:p>
      <w:pPr>
        <w:pStyle w:val="BodyTex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spacing w:before="233"/>
        <w:ind w:left="0" w:right="2017" w:firstLine="0"/>
        <w:jc w:val="right"/>
        <w:rPr>
          <w:rFonts w:ascii="Arial MT"/>
          <w:sz w:val="23"/>
        </w:rPr>
      </w:pPr>
      <w:r>
        <w:rPr>
          <w:rFonts w:ascii="Arial MT"/>
          <w:w w:val="53"/>
          <w:sz w:val="23"/>
        </w:rPr>
        <w:t>9</w:t>
      </w:r>
    </w:p>
    <w:p>
      <w:pPr>
        <w:spacing w:before="13"/>
        <w:ind w:left="0" w:right="2015" w:firstLine="0"/>
        <w:jc w:val="right"/>
        <w:rPr>
          <w:rFonts w:ascii="Arial MT"/>
          <w:sz w:val="23"/>
        </w:rPr>
      </w:pPr>
      <w:r>
        <w:rPr>
          <w:rFonts w:ascii="Arial MT"/>
          <w:w w:val="50"/>
          <w:sz w:val="23"/>
        </w:rPr>
        <w:t>C:</w:t>
      </w:r>
      <w:r>
        <w:rPr>
          <w:rFonts w:ascii="Arial MT"/>
          <w:spacing w:val="10"/>
          <w:w w:val="50"/>
          <w:sz w:val="23"/>
        </w:rPr>
        <w:t> </w:t>
      </w:r>
      <w:r>
        <w:rPr>
          <w:rFonts w:ascii="Arial MT"/>
          <w:w w:val="50"/>
          <w:sz w:val="23"/>
        </w:rPr>
        <w:t>Silicon</w:t>
      </w:r>
      <w:r>
        <w:rPr>
          <w:rFonts w:ascii="Arial MT"/>
          <w:spacing w:val="10"/>
          <w:w w:val="50"/>
          <w:sz w:val="23"/>
        </w:rPr>
        <w:t> </w:t>
      </w:r>
      <w:r>
        <w:rPr>
          <w:rFonts w:ascii="Arial MT"/>
          <w:w w:val="50"/>
          <w:sz w:val="23"/>
        </w:rPr>
        <w:t>dioxide</w:t>
      </w:r>
      <w:r>
        <w:rPr>
          <w:rFonts w:ascii="Arial MT"/>
          <w:spacing w:val="11"/>
          <w:w w:val="50"/>
          <w:sz w:val="23"/>
        </w:rPr>
        <w:t> </w:t>
      </w:r>
      <w:r>
        <w:rPr>
          <w:rFonts w:ascii="Arial MT"/>
          <w:w w:val="50"/>
          <w:sz w:val="23"/>
        </w:rPr>
        <w:t>(%)</w:t>
      </w:r>
    </w:p>
    <w:p>
      <w:pPr>
        <w:spacing w:after="0"/>
        <w:jc w:val="right"/>
        <w:rPr>
          <w:rFonts w:ascii="Arial MT"/>
          <w:sz w:val="23"/>
        </w:rPr>
        <w:sectPr>
          <w:type w:val="continuous"/>
          <w:pgSz w:w="11910" w:h="16840"/>
          <w:pgMar w:top="1320" w:bottom="1260" w:left="1520" w:right="160"/>
          <w:cols w:num="3" w:equalWidth="0">
            <w:col w:w="4668" w:space="40"/>
            <w:col w:w="2225" w:space="39"/>
            <w:col w:w="3258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Heading3"/>
        <w:spacing w:before="0"/>
        <w:ind w:left="465"/>
      </w:pPr>
      <w:r>
        <w:rPr/>
        <w:t>Figure</w:t>
      </w:r>
      <w:r>
        <w:rPr>
          <w:spacing w:val="-2"/>
        </w:rPr>
        <w:t> </w:t>
      </w:r>
      <w:r>
        <w:rPr/>
        <w:t>4.1:</w:t>
      </w:r>
      <w:r>
        <w:rPr>
          <w:spacing w:val="-1"/>
        </w:rPr>
        <w:t> </w:t>
      </w:r>
      <w:r>
        <w:rPr/>
        <w:t>Contour</w:t>
      </w:r>
      <w:r>
        <w:rPr>
          <w:spacing w:val="-2"/>
        </w:rPr>
        <w:t> </w:t>
      </w:r>
      <w:r>
        <w:rPr/>
        <w:t>plot</w:t>
      </w:r>
      <w:r>
        <w:rPr>
          <w:spacing w:val="-1"/>
        </w:rPr>
        <w:t> </w:t>
      </w:r>
      <w:r>
        <w:rPr/>
        <w:t>showing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excipient 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tensile</w:t>
      </w:r>
      <w:r>
        <w:rPr>
          <w:spacing w:val="-2"/>
        </w:rPr>
        <w:t> </w:t>
      </w:r>
      <w:r>
        <w:rPr/>
        <w:t>strength</w:t>
      </w:r>
    </w:p>
    <w:p>
      <w:pPr>
        <w:spacing w:after="0"/>
        <w:sectPr>
          <w:type w:val="continuous"/>
          <w:pgSz w:w="11910" w:h="16840"/>
          <w:pgMar w:top="1320" w:bottom="1260" w:left="1520" w:right="160"/>
        </w:sectPr>
      </w:pPr>
    </w:p>
    <w:p>
      <w:pPr>
        <w:spacing w:line="244" w:lineRule="auto" w:before="114"/>
        <w:ind w:left="644" w:right="550" w:firstLine="0"/>
        <w:jc w:val="left"/>
        <w:rPr>
          <w:rFonts w:ascii="Arial MT" w:hAnsi="Arial MT"/>
          <w:sz w:val="15"/>
        </w:rPr>
      </w:pPr>
      <w:r>
        <w:rPr>
          <w:rFonts w:ascii="Arial MT" w:hAnsi="Arial MT"/>
          <w:w w:val="65"/>
          <w:sz w:val="15"/>
        </w:rPr>
        <w:t>Design-Expert®</w:t>
      </w:r>
      <w:r>
        <w:rPr>
          <w:rFonts w:ascii="Arial MT" w:hAnsi="Arial MT"/>
          <w:spacing w:val="1"/>
          <w:w w:val="65"/>
          <w:sz w:val="15"/>
        </w:rPr>
        <w:t> </w:t>
      </w:r>
      <w:r>
        <w:rPr>
          <w:rFonts w:ascii="Arial MT" w:hAnsi="Arial MT"/>
          <w:w w:val="65"/>
          <w:sz w:val="15"/>
        </w:rPr>
        <w:t>Software</w:t>
      </w:r>
      <w:r>
        <w:rPr>
          <w:rFonts w:ascii="Arial MT" w:hAnsi="Arial MT"/>
          <w:spacing w:val="1"/>
          <w:w w:val="65"/>
          <w:sz w:val="15"/>
        </w:rPr>
        <w:t> </w:t>
      </w:r>
      <w:r>
        <w:rPr>
          <w:rFonts w:ascii="Arial MT" w:hAnsi="Arial MT"/>
          <w:w w:val="65"/>
          <w:sz w:val="15"/>
        </w:rPr>
        <w:t>Component</w:t>
      </w:r>
      <w:r>
        <w:rPr>
          <w:rFonts w:ascii="Arial MT" w:hAnsi="Arial MT"/>
          <w:spacing w:val="15"/>
          <w:w w:val="65"/>
          <w:sz w:val="15"/>
        </w:rPr>
        <w:t> </w:t>
      </w:r>
      <w:r>
        <w:rPr>
          <w:rFonts w:ascii="Arial MT" w:hAnsi="Arial MT"/>
          <w:w w:val="65"/>
          <w:sz w:val="15"/>
        </w:rPr>
        <w:t>Coding:</w:t>
      </w:r>
      <w:r>
        <w:rPr>
          <w:rFonts w:ascii="Arial MT" w:hAnsi="Arial MT"/>
          <w:spacing w:val="15"/>
          <w:w w:val="65"/>
          <w:sz w:val="15"/>
        </w:rPr>
        <w:t> </w:t>
      </w:r>
      <w:r>
        <w:rPr>
          <w:rFonts w:ascii="Arial MT" w:hAnsi="Arial MT"/>
          <w:w w:val="65"/>
          <w:sz w:val="15"/>
        </w:rPr>
        <w:t>Actual</w:t>
      </w:r>
      <w:r>
        <w:rPr>
          <w:rFonts w:ascii="Arial MT" w:hAnsi="Arial MT"/>
          <w:spacing w:val="-24"/>
          <w:w w:val="65"/>
          <w:sz w:val="15"/>
        </w:rPr>
        <w:t> </w:t>
      </w:r>
      <w:r>
        <w:rPr>
          <w:rFonts w:ascii="Arial MT" w:hAnsi="Arial MT"/>
          <w:w w:val="65"/>
          <w:sz w:val="15"/>
        </w:rPr>
        <w:t>Tensile</w:t>
      </w:r>
      <w:r>
        <w:rPr>
          <w:rFonts w:ascii="Arial MT" w:hAnsi="Arial MT"/>
          <w:spacing w:val="4"/>
          <w:w w:val="65"/>
          <w:sz w:val="15"/>
        </w:rPr>
        <w:t> </w:t>
      </w:r>
      <w:r>
        <w:rPr>
          <w:rFonts w:ascii="Arial MT" w:hAnsi="Arial MT"/>
          <w:w w:val="65"/>
          <w:sz w:val="15"/>
        </w:rPr>
        <w:t>strength</w:t>
      </w:r>
      <w:r>
        <w:rPr>
          <w:rFonts w:ascii="Arial MT" w:hAnsi="Arial MT"/>
          <w:spacing w:val="4"/>
          <w:w w:val="65"/>
          <w:sz w:val="15"/>
        </w:rPr>
        <w:t> </w:t>
      </w:r>
      <w:r>
        <w:rPr>
          <w:rFonts w:ascii="Arial MT" w:hAnsi="Arial MT"/>
          <w:w w:val="65"/>
          <w:sz w:val="15"/>
        </w:rPr>
        <w:t>(MPa)</w:t>
      </w:r>
    </w:p>
    <w:p>
      <w:pPr>
        <w:spacing w:line="244" w:lineRule="auto" w:before="2"/>
        <w:ind w:left="762" w:right="38" w:firstLine="0"/>
        <w:jc w:val="both"/>
        <w:rPr>
          <w:rFonts w:ascii="Arial MT"/>
          <w:sz w:val="15"/>
        </w:rPr>
      </w:pPr>
      <w:r>
        <w:rPr/>
        <w:pict>
          <v:group style="position:absolute;margin-left:109.168701pt;margin-top:2.780167pt;width:2.450pt;height:3.45pt;mso-position-horizontal-relative:page;mso-position-vertical-relative:paragraph;z-index:15868928" coordorigin="2183,56" coordsize="49,69">
            <v:shape style="position:absolute;left:2188;top:60;width:40;height:59" coordorigin="2188,60" coordsize="40,59" path="m2219,60l2196,60,2188,72,2188,84,2188,108,2196,119,2204,119,2214,117,2221,110,2226,99,2227,84,2227,72,2219,60xe" filled="true" fillcolor="#b40000" stroked="false">
              <v:path arrowok="t"/>
              <v:fill type="solid"/>
            </v:shape>
            <v:shape style="position:absolute;left:2188;top:60;width:40;height:59" coordorigin="2188,60" coordsize="40,59" path="m2188,84l2188,108,2196,119,2204,119,2214,117,2221,110,2226,99,2227,84,2227,72,2219,60,2204,60,2196,60,2188,72,2188,84xe" filled="false" stroked="true" strokeweight=".450397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9.169067pt;margin-top:11.587277pt;width:2.450pt;height:3.45pt;mso-position-horizontal-relative:page;mso-position-vertical-relative:paragraph;z-index:15869440" coordorigin="2183,232" coordsize="49,69">
            <v:shape style="position:absolute;left:2188;top:236;width:40;height:60" coordorigin="2188,237" coordsize="40,60" path="m2219,237l2196,237,2188,248,2188,260,2188,284,2196,296,2204,296,2214,294,2221,287,2226,276,2227,260,2227,248,2219,237xe" filled="true" fillcolor="#d97e7e" stroked="false">
              <v:path arrowok="t"/>
              <v:fill type="solid"/>
            </v:shape>
            <v:shape style="position:absolute;left:2188;top:236;width:40;height:60" coordorigin="2188,237" coordsize="40,60" path="m2188,260l2188,284,2196,296,2204,296,2214,294,2221,287,2226,276,2227,260,2227,248,2219,237,2204,237,2196,237,2188,248,2188,260xe" filled="false" stroked="true" strokeweight=".449773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09.608315pt;margin-top:19.201401pt;width:3.15pt;height:22.35pt;mso-position-horizontal-relative:page;mso-position-vertical-relative:paragraph;z-index:15869952" coordorigin="2192,384" coordsize="63,447" path="m2192,384l2247,384m2255,384l2255,819m2255,831l2200,831m2192,831l2192,396e" filled="false" stroked="true" strokeweight=".488612pt" strokecolor="#000000">
            <v:path arrowok="t"/>
            <v:stroke dashstyle="solid"/>
            <w10:wrap type="none"/>
          </v:shape>
        </w:pict>
      </w:r>
      <w:r>
        <w:rPr>
          <w:rFonts w:ascii="Arial MT"/>
          <w:color w:val="B40000"/>
          <w:w w:val="65"/>
          <w:sz w:val="15"/>
        </w:rPr>
        <w:t>Design points above predicted value</w:t>
      </w:r>
      <w:r>
        <w:rPr>
          <w:rFonts w:ascii="Arial MT"/>
          <w:color w:val="B40000"/>
          <w:spacing w:val="1"/>
          <w:w w:val="65"/>
          <w:sz w:val="15"/>
        </w:rPr>
        <w:t> </w:t>
      </w:r>
      <w:r>
        <w:rPr>
          <w:rFonts w:ascii="Arial MT"/>
          <w:color w:val="D97E7E"/>
          <w:w w:val="65"/>
          <w:sz w:val="15"/>
        </w:rPr>
        <w:t>Design points below predicted value</w:t>
      </w:r>
      <w:r>
        <w:rPr>
          <w:rFonts w:ascii="Arial MT"/>
          <w:color w:val="D97E7E"/>
          <w:spacing w:val="1"/>
          <w:w w:val="65"/>
          <w:sz w:val="15"/>
        </w:rPr>
        <w:t> </w:t>
      </w:r>
      <w:r>
        <w:rPr>
          <w:rFonts w:ascii="Arial MT"/>
          <w:color w:val="FF0000"/>
          <w:w w:val="80"/>
          <w:sz w:val="15"/>
        </w:rPr>
        <w:t>4.34</w:t>
      </w:r>
    </w:p>
    <w:p>
      <w:pPr>
        <w:pStyle w:val="BodyText"/>
        <w:spacing w:before="5"/>
        <w:rPr>
          <w:rFonts w:ascii="Arial MT"/>
          <w:sz w:val="15"/>
        </w:rPr>
      </w:pPr>
    </w:p>
    <w:p>
      <w:pPr>
        <w:spacing w:before="0"/>
        <w:ind w:left="762" w:right="0" w:firstLine="0"/>
        <w:jc w:val="left"/>
        <w:rPr>
          <w:rFonts w:ascii="Arial MT"/>
          <w:sz w:val="15"/>
        </w:rPr>
      </w:pPr>
      <w:r>
        <w:rPr>
          <w:rFonts w:ascii="Arial MT"/>
          <w:color w:val="0000FF"/>
          <w:w w:val="80"/>
          <w:sz w:val="15"/>
        </w:rPr>
        <w:t>2.34</w:t>
      </w:r>
    </w:p>
    <w:p>
      <w:pPr>
        <w:pStyle w:val="BodyText"/>
        <w:spacing w:before="8"/>
        <w:rPr>
          <w:rFonts w:ascii="Arial MT"/>
          <w:sz w:val="15"/>
        </w:rPr>
      </w:pPr>
    </w:p>
    <w:p>
      <w:pPr>
        <w:spacing w:line="244" w:lineRule="auto" w:before="0"/>
        <w:ind w:left="644" w:right="1035" w:firstLine="0"/>
        <w:jc w:val="left"/>
        <w:rPr>
          <w:rFonts w:ascii="Arial MT"/>
          <w:sz w:val="15"/>
        </w:rPr>
      </w:pPr>
      <w:r>
        <w:rPr>
          <w:rFonts w:ascii="Arial MT"/>
          <w:w w:val="65"/>
          <w:sz w:val="15"/>
        </w:rPr>
        <w:t>X1 =</w:t>
      </w:r>
      <w:r>
        <w:rPr>
          <w:rFonts w:ascii="Arial MT"/>
          <w:spacing w:val="1"/>
          <w:w w:val="65"/>
          <w:sz w:val="15"/>
        </w:rPr>
        <w:t> </w:t>
      </w:r>
      <w:r>
        <w:rPr>
          <w:rFonts w:ascii="Arial MT"/>
          <w:w w:val="65"/>
          <w:sz w:val="15"/>
        </w:rPr>
        <w:t>A:</w:t>
      </w:r>
      <w:r>
        <w:rPr>
          <w:rFonts w:ascii="Arial MT"/>
          <w:spacing w:val="1"/>
          <w:w w:val="65"/>
          <w:sz w:val="15"/>
        </w:rPr>
        <w:t> </w:t>
      </w:r>
      <w:r>
        <w:rPr>
          <w:rFonts w:ascii="Arial MT"/>
          <w:w w:val="65"/>
          <w:sz w:val="15"/>
        </w:rPr>
        <w:t>Starch</w:t>
      </w:r>
      <w:r>
        <w:rPr>
          <w:rFonts w:ascii="Arial MT"/>
          <w:spacing w:val="-25"/>
          <w:w w:val="65"/>
          <w:sz w:val="15"/>
        </w:rPr>
        <w:t> </w:t>
      </w:r>
      <w:r>
        <w:rPr>
          <w:rFonts w:ascii="Arial MT"/>
          <w:spacing w:val="-1"/>
          <w:w w:val="65"/>
          <w:sz w:val="15"/>
        </w:rPr>
        <w:t>X2</w:t>
      </w:r>
      <w:r>
        <w:rPr>
          <w:rFonts w:ascii="Arial MT"/>
          <w:spacing w:val="1"/>
          <w:w w:val="65"/>
          <w:sz w:val="15"/>
        </w:rPr>
        <w:t> </w:t>
      </w:r>
      <w:r>
        <w:rPr>
          <w:rFonts w:ascii="Arial MT"/>
          <w:spacing w:val="-1"/>
          <w:w w:val="65"/>
          <w:sz w:val="15"/>
        </w:rPr>
        <w:t>=</w:t>
      </w:r>
      <w:r>
        <w:rPr>
          <w:rFonts w:ascii="Arial MT"/>
          <w:spacing w:val="7"/>
          <w:w w:val="65"/>
          <w:sz w:val="15"/>
        </w:rPr>
        <w:t> </w:t>
      </w:r>
      <w:r>
        <w:rPr>
          <w:rFonts w:ascii="Arial MT"/>
          <w:w w:val="65"/>
          <w:sz w:val="15"/>
        </w:rPr>
        <w:t>B:</w:t>
      </w:r>
      <w:r>
        <w:rPr>
          <w:rFonts w:ascii="Arial MT"/>
          <w:spacing w:val="7"/>
          <w:w w:val="65"/>
          <w:sz w:val="15"/>
        </w:rPr>
        <w:t> </w:t>
      </w:r>
      <w:r>
        <w:rPr>
          <w:rFonts w:ascii="Arial MT"/>
          <w:w w:val="65"/>
          <w:sz w:val="15"/>
        </w:rPr>
        <w:t>Gelatin</w:t>
      </w:r>
    </w:p>
    <w:p>
      <w:pPr>
        <w:spacing w:before="2"/>
        <w:ind w:left="644" w:right="0" w:firstLine="0"/>
        <w:jc w:val="left"/>
        <w:rPr>
          <w:rFonts w:ascii="Arial MT"/>
          <w:sz w:val="15"/>
        </w:rPr>
      </w:pPr>
      <w:r>
        <w:rPr>
          <w:rFonts w:ascii="Arial MT"/>
          <w:w w:val="65"/>
          <w:sz w:val="15"/>
        </w:rPr>
        <w:t>X3</w:t>
      </w:r>
      <w:r>
        <w:rPr>
          <w:rFonts w:ascii="Arial MT"/>
          <w:spacing w:val="4"/>
          <w:w w:val="65"/>
          <w:sz w:val="15"/>
        </w:rPr>
        <w:t> </w:t>
      </w:r>
      <w:r>
        <w:rPr>
          <w:rFonts w:ascii="Arial MT"/>
          <w:w w:val="65"/>
          <w:sz w:val="15"/>
        </w:rPr>
        <w:t>=</w:t>
      </w:r>
      <w:r>
        <w:rPr>
          <w:rFonts w:ascii="Arial MT"/>
          <w:spacing w:val="10"/>
          <w:w w:val="65"/>
          <w:sz w:val="15"/>
        </w:rPr>
        <w:t> </w:t>
      </w:r>
      <w:r>
        <w:rPr>
          <w:rFonts w:ascii="Arial MT"/>
          <w:w w:val="65"/>
          <w:sz w:val="15"/>
        </w:rPr>
        <w:t>C:</w:t>
      </w:r>
      <w:r>
        <w:rPr>
          <w:rFonts w:ascii="Arial MT"/>
          <w:spacing w:val="10"/>
          <w:w w:val="65"/>
          <w:sz w:val="15"/>
        </w:rPr>
        <w:t> </w:t>
      </w:r>
      <w:r>
        <w:rPr>
          <w:rFonts w:ascii="Arial MT"/>
          <w:w w:val="65"/>
          <w:sz w:val="15"/>
        </w:rPr>
        <w:t>Silicon</w:t>
      </w:r>
      <w:r>
        <w:rPr>
          <w:rFonts w:ascii="Arial MT"/>
          <w:spacing w:val="4"/>
          <w:w w:val="65"/>
          <w:sz w:val="15"/>
        </w:rPr>
        <w:t> </w:t>
      </w:r>
      <w:r>
        <w:rPr>
          <w:rFonts w:ascii="Arial MT"/>
          <w:w w:val="65"/>
          <w:sz w:val="15"/>
        </w:rPr>
        <w:t>dioxide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spacing w:before="123"/>
        <w:ind w:left="644" w:right="0" w:firstLine="0"/>
        <w:jc w:val="left"/>
        <w:rPr>
          <w:rFonts w:ascii="Arial MT"/>
          <w:sz w:val="16"/>
        </w:rPr>
      </w:pPr>
      <w:r>
        <w:rPr>
          <w:rFonts w:ascii="Arial MT"/>
          <w:w w:val="80"/>
          <w:sz w:val="16"/>
        </w:rPr>
        <w:t>4.5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6"/>
        <w:rPr>
          <w:rFonts w:ascii="Arial MT"/>
          <w:sz w:val="14"/>
        </w:rPr>
      </w:pPr>
    </w:p>
    <w:p>
      <w:pPr>
        <w:spacing w:before="0"/>
        <w:ind w:left="666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323.956848pt;margin-top:-40.596001pt;width:198.6pt;height:244.45pt;mso-position-horizontal-relative:page;mso-position-vertical-relative:paragraph;z-index:-20770304" coordorigin="6479,-812" coordsize="3972,4889">
            <v:shape style="position:absolute;left:6725;top:2406;width:3560;height:1665" coordorigin="6726,2406" coordsize="3560,1665" path="m6726,2406l7867,4071,10285,2894,6726,2406xe" filled="true" fillcolor="#ffff00" stroked="false">
              <v:path arrowok="t"/>
              <v:fill type="solid"/>
            </v:shape>
            <v:shape style="position:absolute;left:6655;top:-786;width:3791;height:4857" coordorigin="6655,-785" coordsize="3791,4857" path="m7867,4071l10285,2894,6726,2406,7867,4071xm6726,2406l6655,-785m6709,1644l10323,2093m6698,1158l10347,1600m6688,672l10371,1097m6677,187l10395,585m6666,-299l10420,62m7431,1733l7413,-722m8154,1823l8171,-660m8877,1913l8929,-597m9600,2003l9687,-534m6655,-785l10445,-471m7867,4071l10285,2894,6726,2406,7867,4071m7867,4071l10285,2894,6726,2406,7867,4071xe" filled="false" stroked="true" strokeweight=".444188pt" strokecolor="#000000">
              <v:path arrowok="t"/>
              <v:stroke dashstyle="solid"/>
            </v:shape>
            <v:shape style="position:absolute;left:6934;top:2612;width:3193;height:1324" type="#_x0000_t75" stroked="false">
              <v:imagedata r:id="rId109" o:title=""/>
            </v:shape>
            <v:shape style="position:absolute;left:6687;top:1622;width:34;height:32" coordorigin="6688,1623" coordsize="34,32" path="m6714,1623l6695,1623,6688,1630,6688,1638,6688,1647,6695,1654,6714,1654,6721,1647,6721,1630,6714,1623xe" filled="true" fillcolor="#000000" stroked="false">
              <v:path arrowok="t"/>
              <v:fill type="solid"/>
            </v:shape>
            <v:shape style="position:absolute;left:6687;top:1622;width:34;height:32" coordorigin="6688,1623" coordsize="34,32" path="m6688,1638l6688,1647,6695,1654,6704,1654,6714,1654,6721,1647,6721,1638,6721,1630,6714,1623,6704,1623,6695,1623,6688,1630,6688,1638xe" filled="false" stroked="true" strokeweight=".449773pt" strokecolor="#000000">
              <v:path arrowok="t"/>
              <v:stroke dashstyle="solid"/>
            </v:shape>
            <v:shape style="position:absolute;left:6666;top:651;width:35;height:32" coordorigin="6666,651" coordsize="35,32" path="m6693,651l6674,651,6666,658,6666,667,6666,676,6674,682,6693,682,6701,676,6701,658,6693,651xe" filled="true" fillcolor="#000000" stroked="false">
              <v:path arrowok="t"/>
              <v:fill type="solid"/>
            </v:shape>
            <v:shape style="position:absolute;left:6666;top:651;width:35;height:32" coordorigin="6666,651" coordsize="35,32" path="m6666,667l6666,676,6674,682,6683,682,6693,682,6701,676,6701,667,6701,658,6693,651,6683,651,6674,651,6666,658,6666,667xe" filled="false" stroked="true" strokeweight=".452317pt" strokecolor="#000000">
              <v:path arrowok="t"/>
              <v:stroke dashstyle="solid"/>
            </v:shape>
            <v:shape style="position:absolute;left:6655;top:165;width:36;height:31" coordorigin="6655,165" coordsize="36,31" path="m6683,165l6663,165,6655,172,6655,180,6655,189,6663,196,6683,196,6691,189,6691,172,6683,165xe" filled="true" fillcolor="#000000" stroked="false">
              <v:path arrowok="t"/>
              <v:fill type="solid"/>
            </v:shape>
            <v:shape style="position:absolute;left:6655;top:165;width:36;height:31" coordorigin="6655,165" coordsize="36,31" path="m6655,180l6655,189,6663,196,6673,196,6683,196,6691,189,6691,180,6691,172,6683,165,6673,165,6663,165,6655,172,6655,180xe" filled="false" stroked="true" strokeweight=".456173pt" strokecolor="#000000">
              <v:path arrowok="t"/>
              <v:stroke dashstyle="solid"/>
            </v:shape>
            <v:shape style="position:absolute;left:6645;top:-321;width:35;height:31" coordorigin="6645,-320" coordsize="35,31" path="m6672,-320l6653,-320,6645,-313,6645,-305,6645,-296,6653,-289,6672,-289,6680,-296,6680,-313,6672,-320xe" filled="true" fillcolor="#000000" stroked="false">
              <v:path arrowok="t"/>
              <v:fill type="solid"/>
            </v:shape>
            <v:shape style="position:absolute;left:6645;top:-321;width:35;height:31" coordorigin="6645,-320" coordsize="35,31" path="m6645,-305l6645,-296,6653,-289,6662,-289,6672,-289,6680,-296,6680,-305,6680,-313,6672,-320,6662,-320,6653,-320,6645,-313,6645,-305xe" filled="false" stroked="true" strokeweight=".4547pt" strokecolor="#000000">
              <v:path arrowok="t"/>
              <v:stroke dashstyle="solid"/>
            </v:shape>
            <v:shape style="position:absolute;left:6633;top:-808;width:35;height:31" coordorigin="6634,-807" coordsize="35,31" path="m6660,-807l6642,-807,6634,-801,6634,-792,6634,-783,6642,-776,6660,-776,6668,-783,6668,-801,6660,-807xe" filled="true" fillcolor="#000000" stroked="false">
              <v:path arrowok="t"/>
              <v:fill type="solid"/>
            </v:shape>
            <v:shape style="position:absolute;left:6633;top:-808;width:35;height:31" coordorigin="6634,-807" coordsize="35,31" path="m6634,-792l6634,-783,6642,-776,6651,-776,6660,-776,6668,-783,6668,-792,6668,-801,6660,-807,6651,-807,6642,-807,6634,-801,6634,-792xe" filled="false" stroked="true" strokeweight=".452814pt" strokecolor="#000000">
              <v:path arrowok="t"/>
              <v:stroke dashstyle="solid"/>
            </v:shape>
            <v:shape style="position:absolute;left:6637;top:-234;width:3786;height:2715" type="#_x0000_t75" stroked="false">
              <v:imagedata r:id="rId110" o:title=""/>
            </v:shape>
            <v:shape style="position:absolute;left:6655;top:-786;width:3791;height:4857" coordorigin="6655,-785" coordsize="3791,4857" path="m7867,4071l7867,299m10285,2894l10445,-471m7867,299l10445,-471m7867,299l6655,-785e" filled="false" stroked="true" strokeweight=".444188pt" strokecolor="#000000">
              <v:path arrowok="t"/>
              <v:stroke dashstyle="solid"/>
            </v:shape>
            <v:shape style="position:absolute;left:6479;top:-488;width:187;height:2130" type="#_x0000_t202" filled="false" stroked="false">
              <v:textbox inset="0,0,0,0">
                <w:txbxContent>
                  <w:p>
                    <w:pPr>
                      <w:spacing w:before="1"/>
                      <w:ind w:left="0" w:right="60" w:firstLine="0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69"/>
                        <w:sz w:val="16"/>
                      </w:rPr>
                      <w:t>4</w:t>
                    </w: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49" w:firstLine="0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80"/>
                        <w:sz w:val="16"/>
                      </w:rPr>
                      <w:t>.5</w:t>
                    </w: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39" w:firstLine="0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69"/>
                        <w:sz w:val="16"/>
                      </w:rPr>
                      <w:t>3</w:t>
                    </w: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28" w:firstLine="0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70"/>
                        <w:sz w:val="16"/>
                      </w:rPr>
                      <w:t>2.5</w:t>
                    </w:r>
                  </w:p>
                  <w:p>
                    <w:pPr>
                      <w:spacing w:line="240" w:lineRule="auto" w:before="2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69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494;top:2121;width:146;height:240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pacing w:val="-1"/>
                        <w:w w:val="75"/>
                        <w:sz w:val="21"/>
                      </w:rPr>
                      <w:t>0)</w:t>
                    </w:r>
                  </w:p>
                </w:txbxContent>
              </v:textbox>
              <w10:wrap type="none"/>
            </v:shape>
            <v:shape style="position:absolute;left:8483;top:2340;width:600;height:240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65"/>
                        <w:sz w:val="21"/>
                      </w:rPr>
                      <w:t>B</w:t>
                    </w:r>
                    <w:r>
                      <w:rPr>
                        <w:rFonts w:ascii="Arial MT"/>
                        <w:spacing w:val="9"/>
                        <w:w w:val="65"/>
                        <w:sz w:val="21"/>
                      </w:rPr>
                      <w:t> </w:t>
                    </w:r>
                    <w:r>
                      <w:rPr>
                        <w:rFonts w:ascii="Arial MT"/>
                        <w:w w:val="65"/>
                        <w:sz w:val="21"/>
                      </w:rPr>
                      <w:t>(1.000)</w:t>
                    </w:r>
                  </w:p>
                </w:txbxContent>
              </v:textbox>
              <w10:wrap type="none"/>
            </v:shape>
            <v:shape style="position:absolute;left:6493;top:3178;width:608;height:240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65"/>
                        <w:sz w:val="21"/>
                      </w:rPr>
                      <w:t>C</w:t>
                    </w:r>
                    <w:r>
                      <w:rPr>
                        <w:rFonts w:ascii="Arial MT"/>
                        <w:spacing w:val="9"/>
                        <w:w w:val="65"/>
                        <w:sz w:val="21"/>
                      </w:rPr>
                      <w:t> </w:t>
                    </w:r>
                    <w:r>
                      <w:rPr>
                        <w:rFonts w:ascii="Arial MT"/>
                        <w:w w:val="65"/>
                        <w:sz w:val="21"/>
                      </w:rPr>
                      <w:t>(1.000)</w:t>
                    </w:r>
                  </w:p>
                </w:txbxContent>
              </v:textbox>
              <w10:wrap type="none"/>
            </v:shape>
            <v:shape style="position:absolute;left:9291;top:3504;width:670;height:240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65"/>
                        <w:sz w:val="21"/>
                      </w:rPr>
                      <w:t>A</w:t>
                    </w:r>
                    <w:r>
                      <w:rPr>
                        <w:rFonts w:ascii="Arial MT"/>
                        <w:spacing w:val="2"/>
                        <w:w w:val="65"/>
                        <w:sz w:val="21"/>
                      </w:rPr>
                      <w:t> </w:t>
                    </w:r>
                    <w:r>
                      <w:rPr>
                        <w:rFonts w:ascii="Arial MT"/>
                        <w:w w:val="65"/>
                        <w:sz w:val="21"/>
                      </w:rPr>
                      <w:t>(90.000)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87.613434pt;margin-top:-75.211235pt;width:10.85pt;height:178.95pt;mso-position-horizontal-relative:page;mso-position-vertical-relative:paragraph;z-index:1587097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w w:val="155"/>
                      <w:sz w:val="15"/>
                    </w:rPr>
                    <w:t>T</w:t>
                  </w:r>
                  <w:r>
                    <w:rPr>
                      <w:rFonts w:ascii="Arial MT"/>
                      <w:spacing w:val="1"/>
                      <w:w w:val="155"/>
                      <w:sz w:val="15"/>
                    </w:rPr>
                    <w:t> </w:t>
                  </w:r>
                  <w:r>
                    <w:rPr>
                      <w:rFonts w:ascii="Arial MT"/>
                      <w:w w:val="155"/>
                      <w:sz w:val="15"/>
                    </w:rPr>
                    <w:t>e</w:t>
                  </w:r>
                  <w:r>
                    <w:rPr>
                      <w:rFonts w:ascii="Arial MT"/>
                      <w:spacing w:val="-3"/>
                      <w:w w:val="155"/>
                      <w:sz w:val="15"/>
                    </w:rPr>
                    <w:t> </w:t>
                  </w:r>
                  <w:r>
                    <w:rPr>
                      <w:rFonts w:ascii="Arial MT"/>
                      <w:w w:val="155"/>
                      <w:sz w:val="15"/>
                    </w:rPr>
                    <w:t>n</w:t>
                  </w:r>
                  <w:r>
                    <w:rPr>
                      <w:rFonts w:ascii="Arial MT"/>
                      <w:spacing w:val="-3"/>
                      <w:w w:val="155"/>
                      <w:sz w:val="15"/>
                    </w:rPr>
                    <w:t> </w:t>
                  </w:r>
                  <w:r>
                    <w:rPr>
                      <w:rFonts w:ascii="Arial MT"/>
                      <w:w w:val="155"/>
                      <w:sz w:val="15"/>
                    </w:rPr>
                    <w:t>s</w:t>
                  </w:r>
                  <w:r>
                    <w:rPr>
                      <w:rFonts w:ascii="Arial MT"/>
                      <w:spacing w:val="-7"/>
                      <w:w w:val="155"/>
                      <w:sz w:val="15"/>
                    </w:rPr>
                    <w:t> </w:t>
                  </w:r>
                  <w:r>
                    <w:rPr>
                      <w:rFonts w:ascii="Arial MT"/>
                      <w:w w:val="155"/>
                      <w:sz w:val="15"/>
                    </w:rPr>
                    <w:t>i</w:t>
                  </w:r>
                  <w:r>
                    <w:rPr>
                      <w:rFonts w:ascii="Arial MT"/>
                      <w:spacing w:val="-28"/>
                      <w:w w:val="155"/>
                      <w:sz w:val="15"/>
                    </w:rPr>
                    <w:t> </w:t>
                  </w:r>
                  <w:r>
                    <w:rPr>
                      <w:rFonts w:ascii="Arial MT"/>
                      <w:w w:val="155"/>
                      <w:sz w:val="15"/>
                    </w:rPr>
                    <w:t>l</w:t>
                  </w:r>
                  <w:r>
                    <w:rPr>
                      <w:rFonts w:ascii="Arial MT"/>
                      <w:spacing w:val="-29"/>
                      <w:w w:val="155"/>
                      <w:sz w:val="15"/>
                    </w:rPr>
                    <w:t> </w:t>
                  </w:r>
                  <w:r>
                    <w:rPr>
                      <w:rFonts w:ascii="Arial MT"/>
                      <w:w w:val="155"/>
                      <w:sz w:val="15"/>
                    </w:rPr>
                    <w:t>e </w:t>
                  </w:r>
                  <w:r>
                    <w:rPr>
                      <w:rFonts w:ascii="Arial MT"/>
                      <w:spacing w:val="41"/>
                      <w:w w:val="155"/>
                      <w:sz w:val="15"/>
                    </w:rPr>
                    <w:t> </w:t>
                  </w:r>
                  <w:r>
                    <w:rPr>
                      <w:rFonts w:ascii="Arial MT"/>
                      <w:w w:val="155"/>
                      <w:sz w:val="15"/>
                    </w:rPr>
                    <w:t>s</w:t>
                  </w:r>
                  <w:r>
                    <w:rPr>
                      <w:rFonts w:ascii="Arial MT"/>
                      <w:spacing w:val="-7"/>
                      <w:w w:val="155"/>
                      <w:sz w:val="15"/>
                    </w:rPr>
                    <w:t> </w:t>
                  </w:r>
                  <w:r>
                    <w:rPr>
                      <w:rFonts w:ascii="Arial MT"/>
                      <w:w w:val="155"/>
                      <w:sz w:val="15"/>
                    </w:rPr>
                    <w:t>t</w:t>
                  </w:r>
                  <w:r>
                    <w:rPr>
                      <w:rFonts w:ascii="Arial MT"/>
                      <w:spacing w:val="-25"/>
                      <w:w w:val="155"/>
                      <w:sz w:val="15"/>
                    </w:rPr>
                    <w:t> </w:t>
                  </w:r>
                  <w:r>
                    <w:rPr>
                      <w:rFonts w:ascii="Arial MT"/>
                      <w:w w:val="155"/>
                      <w:sz w:val="15"/>
                    </w:rPr>
                    <w:t>r</w:t>
                  </w:r>
                  <w:r>
                    <w:rPr>
                      <w:rFonts w:ascii="Arial MT"/>
                      <w:spacing w:val="-20"/>
                      <w:w w:val="155"/>
                      <w:sz w:val="15"/>
                    </w:rPr>
                    <w:t> </w:t>
                  </w:r>
                  <w:r>
                    <w:rPr>
                      <w:rFonts w:ascii="Arial MT"/>
                      <w:w w:val="155"/>
                      <w:sz w:val="15"/>
                    </w:rPr>
                    <w:t>e</w:t>
                  </w:r>
                  <w:r>
                    <w:rPr>
                      <w:rFonts w:ascii="Arial MT"/>
                      <w:spacing w:val="-3"/>
                      <w:w w:val="155"/>
                      <w:sz w:val="15"/>
                    </w:rPr>
                    <w:t> </w:t>
                  </w:r>
                  <w:r>
                    <w:rPr>
                      <w:rFonts w:ascii="Arial MT"/>
                      <w:w w:val="155"/>
                      <w:sz w:val="15"/>
                    </w:rPr>
                    <w:t>n</w:t>
                  </w:r>
                  <w:r>
                    <w:rPr>
                      <w:rFonts w:ascii="Arial MT"/>
                      <w:spacing w:val="-3"/>
                      <w:w w:val="155"/>
                      <w:sz w:val="15"/>
                    </w:rPr>
                    <w:t> </w:t>
                  </w:r>
                  <w:r>
                    <w:rPr>
                      <w:rFonts w:ascii="Arial MT"/>
                      <w:w w:val="155"/>
                      <w:sz w:val="15"/>
                    </w:rPr>
                    <w:t>g</w:t>
                  </w:r>
                  <w:r>
                    <w:rPr>
                      <w:rFonts w:ascii="Arial MT"/>
                      <w:spacing w:val="-3"/>
                      <w:w w:val="155"/>
                      <w:sz w:val="15"/>
                    </w:rPr>
                    <w:t> </w:t>
                  </w:r>
                  <w:r>
                    <w:rPr>
                      <w:rFonts w:ascii="Arial MT"/>
                      <w:w w:val="155"/>
                      <w:sz w:val="15"/>
                    </w:rPr>
                    <w:t>t</w:t>
                  </w:r>
                  <w:r>
                    <w:rPr>
                      <w:rFonts w:ascii="Arial MT"/>
                      <w:spacing w:val="-25"/>
                      <w:w w:val="155"/>
                      <w:sz w:val="15"/>
                    </w:rPr>
                    <w:t> </w:t>
                  </w:r>
                  <w:r>
                    <w:rPr>
                      <w:rFonts w:ascii="Arial MT"/>
                      <w:w w:val="155"/>
                      <w:sz w:val="15"/>
                    </w:rPr>
                    <w:t>h </w:t>
                  </w:r>
                  <w:r>
                    <w:rPr>
                      <w:rFonts w:ascii="Arial MT"/>
                      <w:spacing w:val="41"/>
                      <w:w w:val="155"/>
                      <w:sz w:val="15"/>
                    </w:rPr>
                    <w:t> </w:t>
                  </w:r>
                  <w:r>
                    <w:rPr>
                      <w:rFonts w:ascii="Arial MT"/>
                      <w:w w:val="155"/>
                      <w:sz w:val="15"/>
                    </w:rPr>
                    <w:t>(</w:t>
                  </w:r>
                  <w:r>
                    <w:rPr>
                      <w:rFonts w:ascii="Arial MT"/>
                      <w:spacing w:val="-20"/>
                      <w:w w:val="155"/>
                      <w:sz w:val="15"/>
                    </w:rPr>
                    <w:t> </w:t>
                  </w:r>
                  <w:r>
                    <w:rPr>
                      <w:rFonts w:ascii="Arial MT"/>
                      <w:w w:val="155"/>
                      <w:sz w:val="15"/>
                    </w:rPr>
                    <w:t>M</w:t>
                  </w:r>
                  <w:r>
                    <w:rPr>
                      <w:rFonts w:ascii="Arial MT"/>
                      <w:spacing w:val="38"/>
                      <w:w w:val="155"/>
                      <w:sz w:val="15"/>
                    </w:rPr>
                    <w:t> </w:t>
                  </w:r>
                  <w:r>
                    <w:rPr>
                      <w:rFonts w:ascii="Arial MT"/>
                      <w:w w:val="155"/>
                      <w:sz w:val="15"/>
                    </w:rPr>
                    <w:t>P</w:t>
                  </w:r>
                  <w:r>
                    <w:rPr>
                      <w:rFonts w:ascii="Arial MT"/>
                      <w:spacing w:val="7"/>
                      <w:w w:val="155"/>
                      <w:sz w:val="15"/>
                    </w:rPr>
                    <w:t> </w:t>
                  </w:r>
                  <w:r>
                    <w:rPr>
                      <w:rFonts w:ascii="Arial MT"/>
                      <w:w w:val="155"/>
                      <w:sz w:val="15"/>
                    </w:rPr>
                    <w:t>a</w:t>
                  </w:r>
                  <w:r>
                    <w:rPr>
                      <w:rFonts w:ascii="Arial MT"/>
                      <w:spacing w:val="-3"/>
                      <w:w w:val="155"/>
                      <w:sz w:val="15"/>
                    </w:rPr>
                    <w:t> </w:t>
                  </w:r>
                  <w:r>
                    <w:rPr>
                      <w:rFonts w:ascii="Arial MT"/>
                      <w:w w:val="155"/>
                      <w:sz w:val="15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69"/>
          <w:sz w:val="16"/>
        </w:rPr>
        <w:t>3</w:t>
      </w:r>
    </w:p>
    <w:p>
      <w:pPr>
        <w:spacing w:after="0"/>
        <w:jc w:val="left"/>
        <w:rPr>
          <w:rFonts w:ascii="Arial MT"/>
          <w:sz w:val="16"/>
        </w:rPr>
        <w:sectPr>
          <w:pgSz w:w="11910" w:h="16840"/>
          <w:pgMar w:header="0" w:footer="987" w:top="1580" w:bottom="1260" w:left="1520" w:right="160"/>
          <w:cols w:num="2" w:equalWidth="0">
            <w:col w:w="2410" w:space="1861"/>
            <w:col w:w="5959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98"/>
        <w:ind w:left="639" w:right="1436" w:firstLine="0"/>
        <w:jc w:val="center"/>
        <w:rPr>
          <w:rFonts w:ascii="Arial MT"/>
          <w:sz w:val="21"/>
        </w:rPr>
      </w:pPr>
      <w:r>
        <w:rPr>
          <w:rFonts w:ascii="Arial MT"/>
          <w:w w:val="65"/>
          <w:sz w:val="21"/>
        </w:rPr>
        <w:t>A</w:t>
      </w:r>
      <w:r>
        <w:rPr>
          <w:rFonts w:ascii="Arial MT"/>
          <w:spacing w:val="-4"/>
          <w:w w:val="65"/>
          <w:sz w:val="21"/>
        </w:rPr>
        <w:t> </w:t>
      </w:r>
      <w:r>
        <w:rPr>
          <w:rFonts w:ascii="Arial MT"/>
          <w:w w:val="65"/>
          <w:sz w:val="21"/>
        </w:rPr>
        <w:t>(98.00</w:t>
      </w: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98"/>
        <w:ind w:left="0" w:right="629" w:firstLine="0"/>
        <w:jc w:val="right"/>
        <w:rPr>
          <w:rFonts w:ascii="Arial MT"/>
          <w:sz w:val="21"/>
        </w:rPr>
      </w:pPr>
      <w:r>
        <w:rPr>
          <w:rFonts w:ascii="Arial MT"/>
          <w:w w:val="65"/>
          <w:sz w:val="21"/>
        </w:rPr>
        <w:t>C</w:t>
      </w:r>
      <w:r>
        <w:rPr>
          <w:rFonts w:ascii="Arial MT"/>
          <w:spacing w:val="5"/>
          <w:w w:val="65"/>
          <w:sz w:val="21"/>
        </w:rPr>
        <w:t> </w:t>
      </w:r>
      <w:r>
        <w:rPr>
          <w:rFonts w:ascii="Arial MT"/>
          <w:w w:val="65"/>
          <w:sz w:val="21"/>
        </w:rPr>
        <w:t>(9.000)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5"/>
        </w:rPr>
      </w:pPr>
    </w:p>
    <w:p>
      <w:pPr>
        <w:spacing w:before="98"/>
        <w:ind w:left="2014" w:right="125" w:firstLine="0"/>
        <w:jc w:val="center"/>
        <w:rPr>
          <w:rFonts w:ascii="Arial MT"/>
          <w:sz w:val="21"/>
        </w:rPr>
      </w:pPr>
      <w:r>
        <w:rPr>
          <w:rFonts w:ascii="Arial MT"/>
          <w:w w:val="65"/>
          <w:sz w:val="21"/>
        </w:rPr>
        <w:t>B</w:t>
      </w:r>
      <w:r>
        <w:rPr>
          <w:rFonts w:ascii="Arial MT"/>
          <w:spacing w:val="5"/>
          <w:w w:val="65"/>
          <w:sz w:val="21"/>
        </w:rPr>
        <w:t> </w:t>
      </w:r>
      <w:r>
        <w:rPr>
          <w:rFonts w:ascii="Arial MT"/>
          <w:w w:val="65"/>
          <w:sz w:val="21"/>
        </w:rPr>
        <w:t>(9.000)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8"/>
        </w:rPr>
      </w:pPr>
    </w:p>
    <w:p>
      <w:pPr>
        <w:pStyle w:val="Heading3"/>
        <w:spacing w:before="90"/>
        <w:ind w:left="465"/>
      </w:pPr>
      <w:r>
        <w:rPr/>
        <w:t>Figure</w:t>
      </w:r>
      <w:r>
        <w:rPr>
          <w:spacing w:val="-3"/>
        </w:rPr>
        <w:t> </w:t>
      </w:r>
      <w:r>
        <w:rPr/>
        <w:t>4.2:</w:t>
      </w:r>
      <w:r>
        <w:rPr>
          <w:spacing w:val="-1"/>
        </w:rPr>
        <w:t> </w:t>
      </w:r>
      <w:r>
        <w:rPr/>
        <w:t>Surface</w:t>
      </w:r>
      <w:r>
        <w:rPr>
          <w:spacing w:val="-2"/>
        </w:rPr>
        <w:t> </w:t>
      </w:r>
      <w:r>
        <w:rPr/>
        <w:t>plot showing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excipient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tensile</w:t>
      </w:r>
      <w:r>
        <w:rPr>
          <w:spacing w:val="-2"/>
        </w:rPr>
        <w:t> </w:t>
      </w:r>
      <w:r>
        <w:rPr/>
        <w:t>strength</w:t>
      </w:r>
    </w:p>
    <w:p>
      <w:pPr>
        <w:spacing w:after="0"/>
        <w:sectPr>
          <w:type w:val="continuous"/>
          <w:pgSz w:w="11910" w:h="16840"/>
          <w:pgMar w:top="1320" w:bottom="1260" w:left="1520" w:right="160"/>
        </w:sectPr>
      </w:pPr>
    </w:p>
    <w:p>
      <w:pPr>
        <w:pStyle w:val="BodyText"/>
        <w:spacing w:before="8"/>
        <w:rPr>
          <w:b/>
          <w:sz w:val="15"/>
        </w:rPr>
      </w:pPr>
    </w:p>
    <w:p>
      <w:pPr>
        <w:spacing w:line="249" w:lineRule="auto" w:before="0"/>
        <w:ind w:left="630" w:right="31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pacing w:val="-1"/>
          <w:w w:val="50"/>
          <w:sz w:val="18"/>
        </w:rPr>
        <w:t>Design-Expert®</w:t>
      </w:r>
      <w:r>
        <w:rPr>
          <w:rFonts w:ascii="Arial MT" w:hAnsi="Arial MT"/>
          <w:w w:val="50"/>
          <w:sz w:val="18"/>
        </w:rPr>
        <w:t> Software</w:t>
      </w:r>
      <w:r>
        <w:rPr>
          <w:rFonts w:ascii="Arial MT" w:hAnsi="Arial MT"/>
          <w:spacing w:val="1"/>
          <w:w w:val="50"/>
          <w:sz w:val="18"/>
        </w:rPr>
        <w:t> </w:t>
      </w:r>
      <w:r>
        <w:rPr>
          <w:rFonts w:ascii="Arial MT" w:hAnsi="Arial MT"/>
          <w:spacing w:val="-1"/>
          <w:w w:val="50"/>
          <w:sz w:val="18"/>
        </w:rPr>
        <w:t>Component</w:t>
      </w:r>
      <w:r>
        <w:rPr>
          <w:rFonts w:ascii="Arial MT" w:hAnsi="Arial MT"/>
          <w:spacing w:val="7"/>
          <w:w w:val="50"/>
          <w:sz w:val="18"/>
        </w:rPr>
        <w:t> </w:t>
      </w:r>
      <w:r>
        <w:rPr>
          <w:rFonts w:ascii="Arial MT" w:hAnsi="Arial MT"/>
          <w:w w:val="50"/>
          <w:sz w:val="18"/>
        </w:rPr>
        <w:t>Coding:</w:t>
      </w:r>
      <w:r>
        <w:rPr>
          <w:rFonts w:ascii="Arial MT" w:hAnsi="Arial MT"/>
          <w:spacing w:val="8"/>
          <w:w w:val="50"/>
          <w:sz w:val="18"/>
        </w:rPr>
        <w:t> </w:t>
      </w:r>
      <w:r>
        <w:rPr>
          <w:rFonts w:ascii="Arial MT" w:hAnsi="Arial MT"/>
          <w:w w:val="50"/>
          <w:sz w:val="18"/>
        </w:rPr>
        <w:t>Actual</w:t>
      </w:r>
      <w:r>
        <w:rPr>
          <w:rFonts w:ascii="Arial MT" w:hAnsi="Arial MT"/>
          <w:spacing w:val="-22"/>
          <w:w w:val="50"/>
          <w:sz w:val="18"/>
        </w:rPr>
        <w:t> </w:t>
      </w:r>
      <w:r>
        <w:rPr>
          <w:rFonts w:ascii="Arial MT" w:hAnsi="Arial MT"/>
          <w:w w:val="50"/>
          <w:sz w:val="18"/>
        </w:rPr>
        <w:t>Disintegration</w:t>
      </w:r>
      <w:r>
        <w:rPr>
          <w:rFonts w:ascii="Arial MT" w:hAnsi="Arial MT"/>
          <w:spacing w:val="2"/>
          <w:w w:val="50"/>
          <w:sz w:val="18"/>
        </w:rPr>
        <w:t> </w:t>
      </w:r>
      <w:r>
        <w:rPr>
          <w:rFonts w:ascii="Arial MT" w:hAnsi="Arial MT"/>
          <w:w w:val="50"/>
          <w:sz w:val="18"/>
        </w:rPr>
        <w:t>time</w:t>
      </w:r>
      <w:r>
        <w:rPr>
          <w:rFonts w:ascii="Arial MT" w:hAnsi="Arial MT"/>
          <w:spacing w:val="2"/>
          <w:w w:val="50"/>
          <w:sz w:val="18"/>
        </w:rPr>
        <w:t> </w:t>
      </w:r>
      <w:r>
        <w:rPr>
          <w:rFonts w:ascii="Arial MT" w:hAnsi="Arial MT"/>
          <w:w w:val="50"/>
          <w:sz w:val="18"/>
        </w:rPr>
        <w:t>(Min)</w:t>
      </w:r>
    </w:p>
    <w:p>
      <w:pPr>
        <w:spacing w:line="249" w:lineRule="auto" w:before="0"/>
        <w:ind w:left="736" w:right="289" w:firstLine="0"/>
        <w:jc w:val="left"/>
        <w:rPr>
          <w:rFonts w:ascii="Arial MT"/>
          <w:sz w:val="18"/>
        </w:rPr>
      </w:pPr>
      <w:r>
        <w:rPr/>
        <w:pict>
          <v:group style="position:absolute;margin-left:108.318985pt;margin-top:3.173173pt;width:2.3pt;height:4.150pt;mso-position-horizontal-relative:page;mso-position-vertical-relative:paragraph;z-index:15871488" coordorigin="2166,63" coordsize="46,83">
            <v:shape style="position:absolute;left:2171;top:68;width:36;height:72" coordorigin="2172,69" coordsize="36,72" path="m2200,69l2179,69,2172,83,2172,97,2173,116,2176,130,2181,138,2186,140,2195,138,2202,130,2206,116,2207,97,2207,83,2200,69xe" filled="true" fillcolor="#b40000" stroked="false">
              <v:path arrowok="t"/>
              <v:fill type="solid"/>
            </v:shape>
            <v:shape style="position:absolute;left:2171;top:68;width:36;height:72" coordorigin="2172,69" coordsize="36,72" path="m2172,97l2173,116,2176,130,2181,138,2186,140,2195,138,2202,130,2206,116,2207,97,2207,83,2200,69,2186,69,2179,69,2172,83,2172,97xe" filled="false" stroked="true" strokeweight=".423568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08.762314pt;margin-top:12.368219pt;width:2.85pt;height:27.25pt;mso-position-horizontal-relative:page;mso-position-vertical-relative:paragraph;z-index:15872000" coordorigin="2175,247" coordsize="57,545" path="m2175,247l2225,247m2232,247l2232,778m2232,792l2182,792m2175,792l2175,262e" filled="false" stroked="true" strokeweight=".533583pt" strokecolor="#000000">
            <v:path arrowok="t"/>
            <v:stroke dashstyle="solid"/>
            <w10:wrap type="none"/>
          </v:shape>
        </w:pict>
      </w:r>
      <w:r>
        <w:rPr>
          <w:rFonts w:ascii="Arial MT"/>
          <w:color w:val="B40000"/>
          <w:spacing w:val="-1"/>
          <w:w w:val="50"/>
          <w:sz w:val="18"/>
        </w:rPr>
        <w:t>Design</w:t>
      </w:r>
      <w:r>
        <w:rPr>
          <w:rFonts w:ascii="Arial MT"/>
          <w:color w:val="B40000"/>
          <w:spacing w:val="4"/>
          <w:w w:val="50"/>
          <w:sz w:val="18"/>
        </w:rPr>
        <w:t> </w:t>
      </w:r>
      <w:r>
        <w:rPr>
          <w:rFonts w:ascii="Arial MT"/>
          <w:color w:val="B40000"/>
          <w:spacing w:val="-1"/>
          <w:w w:val="50"/>
          <w:sz w:val="18"/>
        </w:rPr>
        <w:t>Points</w:t>
      </w:r>
      <w:r>
        <w:rPr>
          <w:rFonts w:ascii="Arial MT"/>
          <w:color w:val="B40000"/>
          <w:spacing w:val="-22"/>
          <w:w w:val="50"/>
          <w:sz w:val="18"/>
        </w:rPr>
        <w:t> </w:t>
      </w:r>
      <w:r>
        <w:rPr>
          <w:rFonts w:ascii="Arial MT"/>
          <w:color w:val="FF0000"/>
          <w:w w:val="60"/>
          <w:sz w:val="18"/>
        </w:rPr>
        <w:t>4.08</w:t>
      </w:r>
    </w:p>
    <w:p>
      <w:pPr>
        <w:pStyle w:val="Heading1"/>
        <w:spacing w:before="73"/>
        <w:ind w:right="3727"/>
      </w:pPr>
      <w:r>
        <w:rPr/>
        <w:br w:type="column"/>
      </w:r>
      <w:r>
        <w:rPr>
          <w:w w:val="45"/>
        </w:rPr>
        <w:t>A:</w:t>
      </w:r>
      <w:r>
        <w:rPr>
          <w:spacing w:val="24"/>
          <w:w w:val="45"/>
        </w:rPr>
        <w:t> </w:t>
      </w:r>
      <w:r>
        <w:rPr>
          <w:w w:val="45"/>
        </w:rPr>
        <w:t>Starch</w:t>
      </w:r>
      <w:r>
        <w:rPr>
          <w:spacing w:val="25"/>
          <w:w w:val="45"/>
        </w:rPr>
        <w:t> </w:t>
      </w:r>
      <w:r>
        <w:rPr>
          <w:w w:val="45"/>
        </w:rPr>
        <w:t>(%)</w:t>
      </w:r>
    </w:p>
    <w:p>
      <w:pPr>
        <w:spacing w:before="12"/>
        <w:ind w:left="521" w:right="3727" w:firstLine="0"/>
        <w:jc w:val="center"/>
        <w:rPr>
          <w:rFonts w:ascii="Arial MT"/>
          <w:sz w:val="21"/>
        </w:rPr>
      </w:pPr>
      <w:r>
        <w:rPr/>
        <w:pict>
          <v:group style="position:absolute;margin-left:263.163635pt;margin-top:6.964514pt;width:236.15pt;height:328.65pt;mso-position-horizontal-relative:page;mso-position-vertical-relative:paragraph;z-index:-20768256" coordorigin="5263,139" coordsize="4723,6573">
            <v:shape style="position:absolute;left:5390;top:317;width:4495;height:6129" coordorigin="5391,318" coordsize="4495,6129" path="m7639,318l5391,6447,9886,6447,7639,318xe" filled="true" fillcolor="#c0c0c0" stroked="false">
              <v:path arrowok="t"/>
              <v:fill type="solid"/>
            </v:shape>
            <v:shape style="position:absolute;left:5390;top:317;width:4495;height:6129" coordorigin="5391,318" coordsize="4495,6129" path="m5391,6447l9886,6447,7639,318,5391,6447xe" filled="false" stroked="true" strokeweight=".435699pt" strokecolor="#000000">
              <v:path arrowok="t"/>
              <v:stroke dashstyle="solid"/>
            </v:shape>
            <v:shape style="position:absolute;left:5390;top:317;width:4495;height:6129" coordorigin="5391,318" coordsize="4495,6129" path="m7639,318l5391,6447,9886,6447,7639,318xe" filled="true" fillcolor="#ffff00" stroked="false">
              <v:path arrowok="t"/>
              <v:fill type="solid"/>
            </v:shape>
            <v:shape style="position:absolute;left:5390;top:317;width:4495;height:6129" coordorigin="5391,318" coordsize="4495,6129" path="m5391,6447l9886,6447,7639,318,5391,6447xm5391,6447l9886,6447m9886,6447l7639,318m7639,318l5391,6447e" filled="false" stroked="true" strokeweight=".48507pt" strokecolor="#000000">
              <v:path arrowok="t"/>
              <v:stroke dashstyle="solid"/>
            </v:shape>
            <v:shape style="position:absolute;left:5263;top:143;width:4719;height:6564" coordorigin="5263,144" coordsize="4719,6564" path="m7639,318l7511,318m5391,6447l5487,6707m9950,6272l9886,6447m8200,1850l6949,1850m5953,4914l6610,6707m9388,4740l8762,6447m8762,3382l6387,3382m6514,3382l7734,6707m8826,3208l7639,6447m9324,4914l5825,4914m7076,1850l8858,6707m8264,1676l6514,6447m9886,6447l5263,6447m7639,318l9982,6707m7702,144l5391,6447e" filled="false" stroked="true" strokeweight=".48507pt" strokecolor="#9f9f9f">
              <v:path arrowok="t"/>
              <v:stroke dashstyle="solid"/>
            </v:shape>
            <v:shape style="position:absolute;left:5738;top:1862;width:1918;height:4584" coordorigin="5738,1863" coordsize="1918,4584" path="m7268,4378l7273,4380,7301,4397,7325,4416,7329,4419,7357,4447,7364,4455,7385,4481,7394,4493,7414,4519,7421,4531,7442,4564,7444,4569,7465,4608,7470,4616,7485,4646,7498,4673,7503,4685,7520,4723,7526,4736,7535,4761,7550,4799,7554,4809,7564,4837,7577,4875,7582,4892,7589,4914,7600,4952,7610,4989,7611,4991,7620,5029,7628,5067,7637,5106,7639,5117,7643,5144,7643,5144,7648,5182,7652,5220,7655,5259,7656,5297,7655,5336,7652,5374,7646,5412,7639,5441,7635,5451,7620,5489,7610,5506,7595,5527,7582,5543,7557,5566,7554,5569,7526,5585,7498,5597,7478,5604,7470,5606,7442,5612,7414,5614,7385,5614,7357,5613,7329,5610,7301,5605,7299,5604,7273,5597,7245,5589,7217,5579,7189,5566,7188,5566,7161,5551,7133,5535,7121,5527,7105,5515,7076,5493,7071,5489,7048,5468,7032,5451,7020,5438,6999,5412,6992,5403,6973,5374,6964,5359,6951,5336,6936,5303,6933,5297,6919,5259,6908,5223,6907,5220,6898,5182,6891,5144,6886,5106,6883,5067,6882,5029,6882,4991,6884,4952,6888,4914,6892,4875,6898,4837,6906,4799,6908,4788,6914,4761,6924,4723,6935,4685,6936,4685,6950,4646,6964,4608,6964,4608,6981,4569,6992,4549,7001,4531,7020,4499,7024,4493,7048,4459,7052,4455,7076,4427,7087,4416,7105,4401,7133,4382,7142,4378,7161,4370,7189,4364,7217,4364,7245,4369,7268,4378m7345,6447l7329,6438,7301,6424,7273,6409,7269,6408,7245,6396,7217,6382,7193,6370,7189,6368,7161,6354,7133,6340,7115,6332,7105,6326,7076,6312,7048,6298,7040,6293,7020,6283,6992,6269,6966,6255,6964,6254,6936,6239,6908,6224,6896,6217,6880,6207,6852,6191,6831,6178,6824,6174,6796,6156,6770,6140,6768,6138,6739,6119,6715,6102,6711,6099,6683,6077,6665,6063,6655,6055,6627,6030,6621,6025,6599,6004,6581,5987,6571,5976,6546,5948,6543,5945,6514,5910,6487,5872,6487,5871,6463,5833,6458,5825,6442,5795,6431,5771,6423,5757,6407,5718,6402,5705,6394,5680,6382,5642,6374,5610,6372,5604,6364,5566,6358,5527,6352,5489,6348,5451,6346,5425,6345,5412,6343,5374,6342,5336,6342,5297,6343,5259,6344,5220,6346,5189,6346,5182,6349,5144,6353,5106,6356,5067,6361,5029,6365,4991,6370,4952,6374,4929,6376,4914,6382,4875,6389,4837,6395,4799,6402,4764,6402,4761,6410,4723,6418,4685,6425,4646,6431,4623,6434,4608,6442,4569,6450,4531,6458,4496,6459,4493,6468,4455,6477,4416,6486,4378,6487,4378,6496,4339,6505,4301,6514,4266,6514,4263,6525,4225,6535,4186,6543,4158,6545,4148,6556,4110,6566,4071,6571,4053,6576,4033,6587,3994,6597,3957,6599,3951,6608,3919,6619,3880,6627,3851,6630,3842,6641,3803,6651,3765,6655,3752,6662,3727,6673,3689,6683,3655,6684,3650,6695,3612,6706,3574,6711,3558,6718,3535,6728,3497,6739,3461,6740,3458,6751,3420,6762,3382,6768,3364,6773,3344,6785,3305,6796,3268,6796,3267,6806,3229,6818,3190,6824,3171,6829,3152,6840,3114,6850,3076,6852,3071,6861,3038,6872,2999,6880,2970,6882,2961,6893,2922,6903,2884,6908,2866,6913,2846,6923,2808,6933,2769,6936,2757,6942,2731,6952,2693,6961,2654,6964,2641,6970,2616,6979,2577,6986,2539,6992,2514,6995,2501,7002,2463,7010,2424,7017,2386,7020,2369,7024,2348,7030,2309,7036,2271,7042,2233,7047,2195,7048,2180,7051,2157,7055,2118,7059,2080,7062,2041,7065,2003,7067,1965,7069,1927,7071,1888,7071,1863m6537,6447l6514,6434,6487,6417,6470,6408,6458,6401,6431,6384,6409,6370,6402,6365,6374,6346,6354,6332,6346,6326,6318,6304,6305,6293,6290,6281,6262,6255,6260,6255,6234,6228,6222,6217,6206,6197,6189,6178,6178,6163,6160,6140,6149,6124,6135,6102,6121,6078,6114,6063,6095,6025,6093,6020,6079,5987,6066,5948,6065,5944,6056,5910,6046,5872,6039,5833,6037,5818,6033,5795,6029,5757,6026,5718,6024,5680,6024,5642,6024,5604,6024,5566,6026,5527,6028,5489,6031,5451,6035,5412,6037,5390,6039,5374,6043,5336,6048,5297,6053,5259,6059,5220,6065,5182,6065,5181,6071,5144,6078,5106,6084,5067,6091,5029,6093,5022,6099,4991,6107,4952,6114,4914,6121,4880,6122,4875,6130,4837,6138,4799,6146,4761,6149,4749,6155,4723,6164,4685,6172,4646,6178,4623,6181,4608,6190,4569,6199,4531,6206,4501,6208,4493,6217,4455,6226,4416,6234,4382,6234,4378,6244,4339,6253,4301,6262,4266,6262,4263,6271,4225,6280,4186,6290,4149,6290,4148,6299,4110,6309,4071,6317,4033,6318,4032,6327,3994,6336,3957,6345,3919,6346,3916,6354,3880,6363,3842,6372,3803,6374,3798,6382,3765,6391,3727,6395,3707m5921,6447l5897,6422,5884,6408,5868,6391,5852,6370,5841,6354,5826,6332,5812,6307,5804,6293,5787,6255,5784,6248,5773,6217,5762,6178,5756,6153,5753,6140,5747,6102,5743,6063,5739,6025,5738,5987,5738,5948,5739,5910,5741,5872,5743,5833,5747,5795,5751,5757,5756,5718,5756,5714,5761,5680,5766,5642,5772,5604,5778,5566,5784,5534,5785,5527,5792,5489,5800,5451,5807,5412,5812,5387,5815,5374,5823,5336,5831,5297,5839,5259,5841,5256,5848,5220,5856,5182,5860,5167e" filled="false" stroked="true" strokeweight=".48507pt" strokecolor="#000000">
              <v:path arrowok="t"/>
              <v:stroke dashstyle="solid"/>
            </v:shape>
            <v:rect style="position:absolute;left:7243;top:5368;width:106;height:221" filled="true" fillcolor="#ffffff" stroked="false">
              <v:fill type="solid"/>
            </v:rect>
            <v:rect style="position:absolute;left:7243;top:5368;width:106;height:221" filled="false" stroked="true" strokeweight=".382127pt" strokecolor="#000000">
              <v:stroke dashstyle="solid"/>
            </v:rect>
            <v:rect style="position:absolute;left:6402;top:4257;width:107;height:221" filled="true" fillcolor="#ffffff" stroked="false">
              <v:fill type="solid"/>
            </v:rect>
            <v:rect style="position:absolute;left:6402;top:4257;width:107;height:221" filled="false" stroked="true" strokeweight=".382725pt" strokecolor="#000000">
              <v:stroke dashstyle="solid"/>
            </v:rect>
            <v:rect style="position:absolute;left:6007;top:4947;width:106;height:222" filled="true" fillcolor="#ffffff" stroked="false">
              <v:fill type="solid"/>
            </v:rect>
            <v:rect style="position:absolute;left:6007;top:4947;width:106;height:222" filled="false" stroked="true" strokeweight=".381834pt" strokecolor="#000000">
              <v:stroke dashstyle="solid"/>
            </v:rect>
            <v:rect style="position:absolute;left:5687;top:5598;width:106;height:221" filled="true" fillcolor="#ffffff" stroked="false">
              <v:fill type="solid"/>
            </v:rect>
            <v:rect style="position:absolute;left:5687;top:5598;width:106;height:221" filled="false" stroked="true" strokeweight=".382422pt" strokecolor="#000000">
              <v:stroke dashstyle="solid"/>
            </v:rect>
            <v:shape style="position:absolute;left:7590;top:252;width:89;height:117" coordorigin="7590,252" coordsize="89,117" path="m7635,252l7617,257,7603,270,7594,288,7590,311,7594,334,7603,352,7617,365,7635,369,7652,365,7666,352,7676,334,7679,311,7676,288,7666,270,7652,257,7635,252xe" filled="true" fillcolor="#b40000" stroked="false">
              <v:path arrowok="t"/>
              <v:fill type="solid"/>
            </v:shape>
            <v:shape style="position:absolute;left:7590;top:252;width:89;height:117" coordorigin="7590,252" coordsize="89,117" path="m7590,311l7594,334,7603,352,7617,365,7635,369,7652,365,7666,352,7676,334,7679,311,7676,288,7666,270,7652,257,7635,252,7617,257,7603,270,7594,288,7590,311xe" filled="false" stroked="true" strokeweight=".441008pt" strokecolor="#000000">
              <v:path arrowok="t"/>
              <v:stroke dashstyle="solid"/>
            </v:shape>
            <v:shape style="position:absolute;left:7590;top:252;width:89;height:117" coordorigin="7590,252" coordsize="89,117" path="m7635,252l7617,257,7603,270,7594,288,7590,311,7594,334,7603,352,7617,365,7635,369,7652,365,7666,352,7676,334,7679,311,7676,288,7666,270,7652,257,7635,252xe" filled="true" fillcolor="#b40000" stroked="false">
              <v:path arrowok="t"/>
              <v:fill type="solid"/>
            </v:shape>
            <v:shape style="position:absolute;left:7590;top:252;width:89;height:117" coordorigin="7590,252" coordsize="89,117" path="m7590,311l7594,334,7603,352,7617,365,7635,369,7652,365,7666,352,7676,334,7679,311,7676,288,7666,270,7652,257,7635,252,7617,257,7603,270,7594,288,7590,311xe" filled="false" stroked="true" strokeweight=".441008pt" strokecolor="#000000">
              <v:path arrowok="t"/>
              <v:stroke dashstyle="solid"/>
            </v:shape>
            <v:shape style="position:absolute;left:5342;top:6380;width:89;height:116" coordorigin="5342,6381" coordsize="89,116" path="m5386,6381l5369,6385,5355,6398,5346,6416,5342,6438,5346,6461,5355,6479,5369,6492,5386,6497,5404,6492,5418,6479,5428,6461,5431,6438,5428,6416,5418,6398,5404,6385,5386,6381xe" filled="true" fillcolor="#b40000" stroked="false">
              <v:path arrowok="t"/>
              <v:fill type="solid"/>
            </v:shape>
            <v:shape style="position:absolute;left:5342;top:6380;width:89;height:116" coordorigin="5342,6381" coordsize="89,116" path="m5342,6438l5346,6461,5355,6479,5369,6492,5386,6497,5404,6492,5418,6479,5428,6461,5431,6438,5428,6416,5418,6398,5404,6385,5386,6381,5369,6385,5355,6398,5346,6416,5342,6438xe" filled="false" stroked="true" strokeweight=".442777pt" strokecolor="#000000">
              <v:path arrowok="t"/>
              <v:stroke dashstyle="solid"/>
            </v:shape>
            <v:shape style="position:absolute;left:5342;top:6380;width:89;height:116" coordorigin="5342,6381" coordsize="89,116" path="m5386,6381l5369,6385,5355,6398,5346,6416,5342,6438,5346,6461,5355,6479,5369,6492,5386,6497,5404,6492,5418,6479,5428,6461,5431,6438,5428,6416,5418,6398,5404,6385,5386,6381xe" filled="true" fillcolor="#b40000" stroked="false">
              <v:path arrowok="t"/>
              <v:fill type="solid"/>
            </v:shape>
            <v:shape style="position:absolute;left:5342;top:6380;width:89;height:116" coordorigin="5342,6381" coordsize="89,116" path="m5342,6438l5346,6461,5355,6479,5369,6492,5386,6497,5404,6492,5418,6479,5428,6461,5431,6438,5428,6416,5418,6398,5404,6385,5386,6381,5369,6385,5355,6398,5346,6416,5342,6438xe" filled="false" stroked="true" strokeweight=".442777pt" strokecolor="#000000">
              <v:path arrowok="t"/>
              <v:stroke dashstyle="solid"/>
            </v:shape>
            <v:shape style="position:absolute;left:9837;top:6380;width:89;height:116" coordorigin="9838,6381" coordsize="89,116" path="m9882,6381l9865,6385,9851,6398,9841,6416,9838,6438,9841,6461,9851,6479,9865,6492,9882,6497,9899,6492,9914,6479,9923,6461,9927,6438,9923,6416,9914,6398,9899,6385,9882,6381xe" filled="true" fillcolor="#b40000" stroked="false">
              <v:path arrowok="t"/>
              <v:fill type="solid"/>
            </v:shape>
            <v:shape style="position:absolute;left:9837;top:6380;width:89;height:116" coordorigin="9838,6381" coordsize="89,116" path="m9838,6438l9841,6461,9851,6479,9865,6492,9882,6497,9899,6492,9914,6479,9923,6461,9927,6438,9923,6416,9914,6398,9899,6385,9882,6381,9865,6385,9851,6398,9841,6416,9838,6438xe" filled="false" stroked="true" strokeweight=".442318pt" strokecolor="#000000">
              <v:path arrowok="t"/>
              <v:stroke dashstyle="solid"/>
            </v:shape>
            <v:shape style="position:absolute;left:9837;top:6380;width:89;height:116" coordorigin="9838,6381" coordsize="89,116" path="m9882,6381l9865,6385,9851,6398,9841,6416,9838,6438,9841,6461,9851,6479,9865,6492,9882,6497,9899,6492,9914,6479,9923,6461,9927,6438,9923,6416,9914,6398,9899,6385,9882,6381xe" filled="true" fillcolor="#b40000" stroked="false">
              <v:path arrowok="t"/>
              <v:fill type="solid"/>
            </v:shape>
            <v:shape style="position:absolute;left:9837;top:6380;width:89;height:116" coordorigin="9838,6381" coordsize="89,116" path="m9838,6438l9841,6461,9851,6479,9865,6492,9882,6497,9899,6492,9914,6479,9923,6461,9927,6438,9923,6416,9914,6398,9899,6385,9882,6381,9865,6385,9851,6398,9841,6416,9838,6438xe" filled="false" stroked="true" strokeweight=".442318pt" strokecolor="#000000">
              <v:path arrowok="t"/>
              <v:stroke dashstyle="solid"/>
            </v:shape>
            <v:shape style="position:absolute;left:6466;top:3317;width:89;height:117" coordorigin="6467,3317" coordsize="89,117" path="m6511,3317l6494,3322,6480,3334,6470,3352,6467,3375,6470,3398,6480,3416,6494,3429,6511,3433,6528,3429,6543,3416,6552,3398,6556,3375,6552,3352,6543,3334,6528,3322,6511,3317xe" filled="true" fillcolor="#b40000" stroked="false">
              <v:path arrowok="t"/>
              <v:fill type="solid"/>
            </v:shape>
            <v:shape style="position:absolute;left:6466;top:3317;width:89;height:117" coordorigin="6467,3317" coordsize="89,117" path="m6467,3375l6470,3398,6480,3416,6494,3429,6511,3433,6528,3429,6543,3416,6552,3398,6556,3375,6552,3352,6543,3334,6528,3322,6511,3317,6494,3322,6480,3334,6470,3352,6467,3375xe" filled="false" stroked="true" strokeweight=".442065pt" strokecolor="#000000">
              <v:path arrowok="t"/>
              <v:stroke dashstyle="solid"/>
            </v:shape>
            <v:shape style="position:absolute;left:6466;top:3317;width:89;height:117" coordorigin="6467,3317" coordsize="89,117" path="m6511,3317l6494,3322,6480,3334,6470,3352,6467,3375,6470,3398,6480,3416,6494,3429,6511,3433,6528,3429,6543,3416,6552,3398,6556,3375,6552,3352,6543,3334,6528,3322,6511,3317xe" filled="true" fillcolor="#b40000" stroked="false">
              <v:path arrowok="t"/>
              <v:fill type="solid"/>
            </v:shape>
            <v:shape style="position:absolute;left:6466;top:3317;width:89;height:117" coordorigin="6467,3317" coordsize="89,117" path="m6467,3375l6470,3398,6480,3416,6494,3429,6511,3433,6528,3429,6543,3416,6552,3398,6556,3375,6552,3352,6543,3334,6528,3322,6511,3317,6494,3322,6480,3334,6470,3352,6467,3375xe" filled="false" stroked="true" strokeweight=".442065pt" strokecolor="#000000">
              <v:path arrowok="t"/>
              <v:stroke dashstyle="solid"/>
            </v:shape>
            <v:shape style="position:absolute;left:8713;top:3317;width:89;height:117" coordorigin="8714,3317" coordsize="89,117" path="m8758,3317l8740,3322,8727,3334,8717,3352,8714,3375,8717,3398,8727,3416,8740,3429,8758,3433,8775,3429,8789,3416,8799,3398,8802,3375,8799,3352,8789,3334,8775,3322,8758,3317xe" filled="true" fillcolor="#b40000" stroked="false">
              <v:path arrowok="t"/>
              <v:fill type="solid"/>
            </v:shape>
            <v:shape style="position:absolute;left:8713;top:3317;width:89;height:117" coordorigin="8714,3317" coordsize="89,117" path="m8714,3375l8717,3398,8727,3416,8740,3429,8758,3433,8775,3429,8789,3416,8799,3398,8802,3375,8799,3352,8789,3334,8775,3322,8758,3317,8740,3322,8727,3334,8717,3352,8714,3375xe" filled="false" stroked="true" strokeweight=".441378pt" strokecolor="#000000">
              <v:path arrowok="t"/>
              <v:stroke dashstyle="solid"/>
            </v:shape>
            <v:shape style="position:absolute;left:7590;top:6380;width:89;height:116" coordorigin="7590,6381" coordsize="89,116" path="m7635,6381l7617,6385,7603,6398,7594,6416,7590,6438,7594,6461,7603,6479,7617,6492,7635,6497,7652,6492,7666,6479,7676,6461,7679,6438,7676,6416,7666,6398,7652,6385,7635,6381xe" filled="true" fillcolor="#b40000" stroked="false">
              <v:path arrowok="t"/>
              <v:fill type="solid"/>
            </v:shape>
            <v:shape style="position:absolute;left:7590;top:6380;width:89;height:116" coordorigin="7590,6381" coordsize="89,116" path="m7590,6438l7594,6461,7603,6479,7617,6492,7635,6497,7652,6492,7666,6479,7676,6461,7679,6438,7676,6416,7666,6398,7652,6385,7635,6381,7617,6385,7603,6398,7594,6416,7590,6438xe" filled="false" stroked="true" strokeweight=".442777pt" strokecolor="#000000">
              <v:path arrowok="t"/>
              <v:stroke dashstyle="solid"/>
            </v:shape>
            <v:shape style="position:absolute;left:7590;top:4338;width:89;height:116" coordorigin="7590,4339" coordsize="89,116" path="m7635,4339l7617,4343,7603,4356,7594,4374,7590,4396,7594,4419,7603,4437,7617,4450,7635,4455,7652,4450,7666,4437,7676,4419,7679,4396,7676,4374,7666,4356,7652,4343,7635,4339xe" filled="true" fillcolor="#b40000" stroked="false">
              <v:path arrowok="t"/>
              <v:fill type="solid"/>
            </v:shape>
            <v:shape style="position:absolute;left:7590;top:4338;width:89;height:116" coordorigin="7590,4339" coordsize="89,116" path="m7590,4396l7594,4419,7603,4437,7617,4450,7635,4455,7652,4450,7666,4437,7676,4419,7679,4396,7676,4374,7666,4356,7652,4343,7635,4339,7617,4343,7603,4356,7594,4374,7590,4396xe" filled="false" stroked="true" strokeweight=".442777pt" strokecolor="#000000">
              <v:path arrowok="t"/>
              <v:stroke dashstyle="solid"/>
            </v:shape>
            <v:shape style="position:absolute;left:7590;top:2295;width:89;height:117" coordorigin="7590,2296" coordsize="89,117" path="m7635,2296l7617,2300,7603,2313,7594,2331,7590,2354,7594,2377,7603,2395,7617,2408,7635,2413,7652,2408,7666,2395,7676,2377,7679,2354,7676,2331,7666,2313,7652,2300,7635,2296xe" filled="true" fillcolor="#b40000" stroked="false">
              <v:path arrowok="t"/>
              <v:fill type="solid"/>
            </v:shape>
            <v:shape style="position:absolute;left:7590;top:2295;width:89;height:117" coordorigin="7590,2296" coordsize="89,117" path="m7590,2354l7594,2377,7603,2395,7617,2408,7635,2413,7652,2408,7666,2395,7676,2377,7679,2354,7676,2331,7666,2313,7652,2300,7635,2296,7617,2300,7603,2313,7594,2331,7590,2354xe" filled="false" stroked="true" strokeweight=".441008pt" strokecolor="#000000">
              <v:path arrowok="t"/>
              <v:stroke dashstyle="solid"/>
            </v:shape>
            <v:shape style="position:absolute;left:6443;top:5332;width:133;height:171" type="#_x0000_t75" stroked="false">
              <v:imagedata r:id="rId111" o:title=""/>
            </v:shape>
            <v:shape style="position:absolute;left:8713;top:5359;width:89;height:117" coordorigin="8714,5360" coordsize="89,117" path="m8758,5360l8740,5364,8727,5377,8717,5395,8714,5417,8717,5440,8727,5459,8740,5471,8758,5476,8775,5471,8789,5459,8799,5440,8802,5417,8799,5395,8789,5377,8775,5364,8758,5360xe" filled="true" fillcolor="#b40000" stroked="false">
              <v:path arrowok="t"/>
              <v:fill type="solid"/>
            </v:shape>
            <v:shape style="position:absolute;left:8713;top:5359;width:89;height:117" coordorigin="8714,5360" coordsize="89,117" path="m8714,5417l8717,5440,8727,5459,8740,5471,8758,5476,8775,5471,8789,5459,8799,5440,8802,5417,8799,5395,8789,5377,8775,5364,8758,5360,8740,5364,8727,5377,8717,5395,8714,5417xe" filled="false" stroked="true" strokeweight=".44113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color w:val="9F9F9F"/>
          <w:w w:val="60"/>
          <w:sz w:val="21"/>
        </w:rPr>
        <w:t>98</w:t>
      </w:r>
      <w:r>
        <w:rPr>
          <w:rFonts w:ascii="Arial MT"/>
          <w:w w:val="60"/>
          <w:position w:val="2"/>
          <w:sz w:val="22"/>
        </w:rPr>
        <w:t>2</w:t>
      </w:r>
      <w:r>
        <w:rPr>
          <w:rFonts w:ascii="Arial MT"/>
          <w:spacing w:val="24"/>
          <w:w w:val="60"/>
          <w:position w:val="2"/>
          <w:sz w:val="22"/>
        </w:rPr>
        <w:t> </w:t>
      </w:r>
      <w:r>
        <w:rPr>
          <w:rFonts w:ascii="Arial MT"/>
          <w:color w:val="9F9F9F"/>
          <w:w w:val="60"/>
          <w:position w:val="17"/>
          <w:sz w:val="21"/>
        </w:rPr>
        <w:t>1</w:t>
      </w:r>
    </w:p>
    <w:p>
      <w:pPr>
        <w:spacing w:after="0"/>
        <w:jc w:val="center"/>
        <w:rPr>
          <w:rFonts w:ascii="Arial MT"/>
          <w:sz w:val="21"/>
        </w:rPr>
        <w:sectPr>
          <w:pgSz w:w="11910" w:h="16840"/>
          <w:pgMar w:header="0" w:footer="987" w:top="1580" w:bottom="1260" w:left="1520" w:right="160"/>
          <w:cols w:num="2" w:equalWidth="0">
            <w:col w:w="1763" w:space="3338"/>
            <w:col w:w="5129"/>
          </w:cols>
        </w:sectPr>
      </w:pPr>
    </w:p>
    <w:p>
      <w:pPr>
        <w:pStyle w:val="BodyText"/>
        <w:spacing w:before="10"/>
        <w:rPr>
          <w:rFonts w:ascii="Arial MT"/>
          <w:sz w:val="9"/>
        </w:rPr>
      </w:pPr>
    </w:p>
    <w:p>
      <w:pPr>
        <w:spacing w:before="99"/>
        <w:ind w:left="736" w:right="0" w:firstLine="0"/>
        <w:jc w:val="left"/>
        <w:rPr>
          <w:rFonts w:ascii="Arial MT"/>
          <w:sz w:val="18"/>
        </w:rPr>
      </w:pPr>
      <w:r>
        <w:rPr>
          <w:rFonts w:ascii="Arial MT"/>
          <w:color w:val="0000FF"/>
          <w:w w:val="60"/>
          <w:sz w:val="18"/>
        </w:rPr>
        <w:t>0.16</w:t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spacing w:line="208" w:lineRule="exact" w:before="93"/>
        <w:ind w:left="6745" w:right="0" w:firstLine="0"/>
        <w:jc w:val="left"/>
        <w:rPr>
          <w:rFonts w:ascii="Arial MT"/>
          <w:sz w:val="21"/>
        </w:rPr>
      </w:pPr>
      <w:r>
        <w:rPr>
          <w:rFonts w:ascii="Arial MT"/>
          <w:color w:val="9F9F9F"/>
          <w:w w:val="49"/>
          <w:sz w:val="21"/>
        </w:rPr>
        <w:t>3</w:t>
      </w:r>
    </w:p>
    <w:p>
      <w:pPr>
        <w:tabs>
          <w:tab w:pos="5428" w:val="right" w:leader="none"/>
        </w:tabs>
        <w:spacing w:line="208" w:lineRule="exact" w:before="0"/>
        <w:ind w:left="630" w:right="0" w:firstLine="0"/>
        <w:jc w:val="left"/>
        <w:rPr>
          <w:rFonts w:ascii="Arial MT"/>
          <w:sz w:val="21"/>
        </w:rPr>
      </w:pPr>
      <w:r>
        <w:rPr>
          <w:rFonts w:ascii="Arial MT"/>
          <w:w w:val="60"/>
          <w:sz w:val="18"/>
        </w:rPr>
        <w:t>X1</w:t>
      </w:r>
      <w:r>
        <w:rPr>
          <w:rFonts w:ascii="Arial MT"/>
          <w:spacing w:val="-5"/>
          <w:w w:val="60"/>
          <w:sz w:val="18"/>
        </w:rPr>
        <w:t> </w:t>
      </w:r>
      <w:r>
        <w:rPr>
          <w:rFonts w:ascii="Arial MT"/>
          <w:w w:val="60"/>
          <w:sz w:val="18"/>
        </w:rPr>
        <w:t>=</w:t>
      </w:r>
      <w:r>
        <w:rPr>
          <w:rFonts w:ascii="Arial MT"/>
          <w:spacing w:val="-1"/>
          <w:w w:val="60"/>
          <w:sz w:val="18"/>
        </w:rPr>
        <w:t> </w:t>
      </w:r>
      <w:r>
        <w:rPr>
          <w:rFonts w:ascii="Arial MT"/>
          <w:w w:val="60"/>
          <w:sz w:val="18"/>
        </w:rPr>
        <w:t>A:</w:t>
      </w:r>
      <w:r>
        <w:rPr>
          <w:rFonts w:ascii="Arial MT"/>
          <w:spacing w:val="-1"/>
          <w:w w:val="60"/>
          <w:sz w:val="18"/>
        </w:rPr>
        <w:t> </w:t>
      </w:r>
      <w:r>
        <w:rPr>
          <w:rFonts w:ascii="Arial MT"/>
          <w:w w:val="60"/>
          <w:sz w:val="18"/>
        </w:rPr>
        <w:t>Starch</w:t>
        <w:tab/>
      </w:r>
      <w:r>
        <w:rPr>
          <w:rFonts w:ascii="Arial MT"/>
          <w:color w:val="9F9F9F"/>
          <w:w w:val="60"/>
          <w:sz w:val="21"/>
        </w:rPr>
        <w:t>96</w:t>
      </w:r>
    </w:p>
    <w:p>
      <w:pPr>
        <w:spacing w:before="0"/>
        <w:ind w:left="630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w w:val="50"/>
          <w:sz w:val="18"/>
        </w:rPr>
        <w:t>X2</w:t>
      </w:r>
      <w:r>
        <w:rPr>
          <w:rFonts w:ascii="Arial MT"/>
          <w:spacing w:val="1"/>
          <w:w w:val="50"/>
          <w:sz w:val="18"/>
        </w:rPr>
        <w:t> </w:t>
      </w:r>
      <w:r>
        <w:rPr>
          <w:rFonts w:ascii="Arial MT"/>
          <w:spacing w:val="-1"/>
          <w:w w:val="50"/>
          <w:sz w:val="18"/>
        </w:rPr>
        <w:t>=</w:t>
      </w:r>
      <w:r>
        <w:rPr>
          <w:rFonts w:ascii="Arial MT"/>
          <w:spacing w:val="5"/>
          <w:w w:val="50"/>
          <w:sz w:val="18"/>
        </w:rPr>
        <w:t> </w:t>
      </w:r>
      <w:r>
        <w:rPr>
          <w:rFonts w:ascii="Arial MT"/>
          <w:w w:val="50"/>
          <w:sz w:val="18"/>
        </w:rPr>
        <w:t>B:</w:t>
      </w:r>
      <w:r>
        <w:rPr>
          <w:rFonts w:ascii="Arial MT"/>
          <w:spacing w:val="5"/>
          <w:w w:val="50"/>
          <w:sz w:val="18"/>
        </w:rPr>
        <w:t> </w:t>
      </w:r>
      <w:r>
        <w:rPr>
          <w:rFonts w:ascii="Arial MT"/>
          <w:w w:val="50"/>
          <w:sz w:val="18"/>
        </w:rPr>
        <w:t>Gelatin</w:t>
      </w:r>
    </w:p>
    <w:p>
      <w:pPr>
        <w:spacing w:before="8"/>
        <w:ind w:left="630" w:right="0" w:firstLine="0"/>
        <w:jc w:val="left"/>
        <w:rPr>
          <w:rFonts w:ascii="Arial MT"/>
          <w:sz w:val="18"/>
        </w:rPr>
      </w:pPr>
      <w:r>
        <w:rPr>
          <w:rFonts w:ascii="Arial MT"/>
          <w:w w:val="50"/>
          <w:sz w:val="18"/>
        </w:rPr>
        <w:t>X3</w:t>
      </w:r>
      <w:r>
        <w:rPr>
          <w:rFonts w:ascii="Arial MT"/>
          <w:spacing w:val="1"/>
          <w:w w:val="50"/>
          <w:sz w:val="18"/>
        </w:rPr>
        <w:t> </w:t>
      </w:r>
      <w:r>
        <w:rPr>
          <w:rFonts w:ascii="Arial MT"/>
          <w:w w:val="50"/>
          <w:sz w:val="18"/>
        </w:rPr>
        <w:t>=</w:t>
      </w:r>
      <w:r>
        <w:rPr>
          <w:rFonts w:ascii="Arial MT"/>
          <w:spacing w:val="5"/>
          <w:w w:val="50"/>
          <w:sz w:val="18"/>
        </w:rPr>
        <w:t> </w:t>
      </w:r>
      <w:r>
        <w:rPr>
          <w:rFonts w:ascii="Arial MT"/>
          <w:w w:val="50"/>
          <w:sz w:val="18"/>
        </w:rPr>
        <w:t>C:</w:t>
      </w:r>
      <w:r>
        <w:rPr>
          <w:rFonts w:ascii="Arial MT"/>
          <w:spacing w:val="5"/>
          <w:w w:val="50"/>
          <w:sz w:val="18"/>
        </w:rPr>
        <w:t> </w:t>
      </w:r>
      <w:r>
        <w:rPr>
          <w:rFonts w:ascii="Arial MT"/>
          <w:w w:val="50"/>
          <w:sz w:val="18"/>
        </w:rPr>
        <w:t>Silicon</w:t>
      </w:r>
      <w:r>
        <w:rPr>
          <w:rFonts w:ascii="Arial MT"/>
          <w:spacing w:val="1"/>
          <w:w w:val="50"/>
          <w:sz w:val="18"/>
        </w:rPr>
        <w:t> </w:t>
      </w:r>
      <w:r>
        <w:rPr>
          <w:rFonts w:ascii="Arial MT"/>
          <w:w w:val="50"/>
          <w:sz w:val="18"/>
        </w:rPr>
        <w:t>dioxide</w:t>
      </w:r>
    </w:p>
    <w:p>
      <w:pPr>
        <w:tabs>
          <w:tab w:pos="7307" w:val="left" w:leader="none"/>
        </w:tabs>
        <w:spacing w:before="698"/>
        <w:ind w:left="4753" w:right="0" w:firstLine="0"/>
        <w:jc w:val="left"/>
        <w:rPr>
          <w:rFonts w:ascii="Arial MT"/>
          <w:sz w:val="21"/>
        </w:rPr>
      </w:pPr>
      <w:r>
        <w:rPr>
          <w:rFonts w:ascii="Arial MT"/>
          <w:color w:val="9F9F9F"/>
          <w:w w:val="60"/>
          <w:sz w:val="21"/>
        </w:rPr>
        <w:t>94</w:t>
      </w:r>
      <w:r>
        <w:rPr>
          <w:rFonts w:ascii="Arial MT"/>
          <w:w w:val="60"/>
          <w:position w:val="2"/>
          <w:sz w:val="22"/>
        </w:rPr>
        <w:t>2</w:t>
        <w:tab/>
      </w:r>
      <w:r>
        <w:rPr>
          <w:rFonts w:ascii="Arial MT"/>
          <w:color w:val="9F9F9F"/>
          <w:w w:val="60"/>
          <w:position w:val="17"/>
          <w:sz w:val="21"/>
        </w:rPr>
        <w:t>5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spacing w:before="211"/>
        <w:ind w:left="0" w:right="336" w:firstLine="0"/>
        <w:jc w:val="center"/>
        <w:rPr>
          <w:rFonts w:ascii="Arial MT"/>
          <w:sz w:val="21"/>
        </w:rPr>
      </w:pPr>
      <w:r>
        <w:rPr>
          <w:rFonts w:ascii="Arial MT"/>
          <w:w w:val="49"/>
          <w:sz w:val="21"/>
        </w:rPr>
        <w:t>1</w:t>
      </w:r>
    </w:p>
    <w:p>
      <w:pPr>
        <w:spacing w:line="208" w:lineRule="exact" w:before="112"/>
        <w:ind w:left="5568" w:right="0" w:firstLine="0"/>
        <w:jc w:val="center"/>
        <w:rPr>
          <w:rFonts w:ascii="Arial MT"/>
          <w:sz w:val="21"/>
        </w:rPr>
      </w:pPr>
      <w:r>
        <w:rPr>
          <w:rFonts w:ascii="Arial MT"/>
          <w:color w:val="9F9F9F"/>
          <w:w w:val="49"/>
          <w:sz w:val="21"/>
        </w:rPr>
        <w:t>7</w:t>
      </w:r>
    </w:p>
    <w:p>
      <w:pPr>
        <w:spacing w:line="168" w:lineRule="exact" w:before="0"/>
        <w:ind w:left="333" w:right="2060" w:firstLine="0"/>
        <w:jc w:val="center"/>
        <w:rPr>
          <w:rFonts w:ascii="Arial MT"/>
          <w:sz w:val="21"/>
        </w:rPr>
      </w:pPr>
      <w:r>
        <w:rPr>
          <w:rFonts w:ascii="Arial MT"/>
          <w:color w:val="9F9F9F"/>
          <w:w w:val="60"/>
          <w:sz w:val="21"/>
        </w:rPr>
        <w:t>92</w:t>
      </w:r>
    </w:p>
    <w:p>
      <w:pPr>
        <w:spacing w:line="202" w:lineRule="exact" w:before="0"/>
        <w:ind w:left="0" w:right="1125" w:firstLine="0"/>
        <w:jc w:val="center"/>
        <w:rPr>
          <w:rFonts w:ascii="Arial MT"/>
          <w:sz w:val="21"/>
        </w:rPr>
      </w:pPr>
      <w:r>
        <w:rPr>
          <w:rFonts w:ascii="Arial MT"/>
          <w:w w:val="49"/>
          <w:sz w:val="21"/>
        </w:rPr>
        <w:t>2</w:t>
      </w:r>
    </w:p>
    <w:p>
      <w:pPr>
        <w:spacing w:line="236" w:lineRule="exact" w:before="180"/>
        <w:ind w:left="1341" w:right="0" w:firstLine="0"/>
        <w:jc w:val="center"/>
        <w:rPr>
          <w:rFonts w:ascii="Arial MT"/>
          <w:sz w:val="21"/>
        </w:rPr>
      </w:pPr>
      <w:r>
        <w:rPr>
          <w:rFonts w:ascii="Arial MT"/>
          <w:w w:val="49"/>
          <w:sz w:val="21"/>
        </w:rPr>
        <w:t>0</w:t>
      </w:r>
    </w:p>
    <w:p>
      <w:pPr>
        <w:spacing w:line="236" w:lineRule="exact" w:before="0"/>
        <w:ind w:left="0" w:right="1768" w:firstLine="0"/>
        <w:jc w:val="center"/>
        <w:rPr>
          <w:rFonts w:ascii="Arial MT"/>
          <w:sz w:val="21"/>
        </w:rPr>
      </w:pPr>
      <w:r>
        <w:rPr>
          <w:rFonts w:ascii="Arial MT"/>
          <w:w w:val="49"/>
          <w:sz w:val="21"/>
        </w:rPr>
        <w:t>3</w:t>
      </w:r>
    </w:p>
    <w:p>
      <w:pPr>
        <w:pStyle w:val="BodyText"/>
        <w:spacing w:before="7"/>
        <w:rPr>
          <w:rFonts w:ascii="Arial MT"/>
          <w:sz w:val="26"/>
        </w:rPr>
      </w:pPr>
    </w:p>
    <w:p>
      <w:pPr>
        <w:tabs>
          <w:tab w:pos="8237" w:val="left" w:leader="none"/>
        </w:tabs>
        <w:spacing w:before="0"/>
        <w:ind w:left="3630" w:right="0" w:firstLine="0"/>
        <w:jc w:val="left"/>
        <w:rPr>
          <w:rFonts w:ascii="Arial MT"/>
          <w:sz w:val="21"/>
        </w:rPr>
      </w:pPr>
      <w:r>
        <w:rPr>
          <w:rFonts w:ascii="Arial MT"/>
          <w:color w:val="9F9F9F"/>
          <w:w w:val="60"/>
          <w:position w:val="-1"/>
          <w:sz w:val="21"/>
        </w:rPr>
        <w:t>90</w:t>
      </w:r>
      <w:r>
        <w:rPr>
          <w:rFonts w:ascii="Arial MT"/>
          <w:w w:val="60"/>
          <w:sz w:val="22"/>
        </w:rPr>
        <w:t>2</w:t>
        <w:tab/>
        <w:t>2</w:t>
      </w:r>
      <w:r>
        <w:rPr>
          <w:rFonts w:ascii="Arial MT"/>
          <w:spacing w:val="45"/>
          <w:sz w:val="22"/>
        </w:rPr>
        <w:t> </w:t>
      </w:r>
      <w:r>
        <w:rPr>
          <w:rFonts w:ascii="Arial MT"/>
          <w:color w:val="9F9F9F"/>
          <w:w w:val="60"/>
          <w:position w:val="15"/>
          <w:sz w:val="21"/>
        </w:rPr>
        <w:t>9</w:t>
      </w:r>
    </w:p>
    <w:p>
      <w:pPr>
        <w:tabs>
          <w:tab w:pos="5062" w:val="left" w:leader="none"/>
          <w:tab w:pos="6186" w:val="left" w:leader="none"/>
          <w:tab w:pos="7309" w:val="left" w:leader="none"/>
          <w:tab w:pos="8433" w:val="left" w:leader="none"/>
        </w:tabs>
        <w:spacing w:line="236" w:lineRule="exact" w:before="148"/>
        <w:ind w:left="3938" w:right="0" w:firstLine="0"/>
        <w:jc w:val="left"/>
        <w:rPr>
          <w:rFonts w:ascii="Arial MT"/>
          <w:sz w:val="21"/>
        </w:rPr>
      </w:pPr>
      <w:r>
        <w:rPr>
          <w:rFonts w:ascii="Arial MT"/>
          <w:color w:val="9F9F9F"/>
          <w:w w:val="60"/>
          <w:sz w:val="21"/>
        </w:rPr>
        <w:t>9</w:t>
        <w:tab/>
        <w:t>7</w:t>
        <w:tab/>
        <w:t>5</w:t>
        <w:tab/>
        <w:t>3</w:t>
        <w:tab/>
        <w:t>1</w:t>
      </w:r>
    </w:p>
    <w:p>
      <w:pPr>
        <w:pStyle w:val="Heading1"/>
        <w:tabs>
          <w:tab w:pos="5306" w:val="left" w:leader="none"/>
        </w:tabs>
        <w:spacing w:line="292" w:lineRule="exact"/>
        <w:ind w:left="2014"/>
      </w:pPr>
      <w:r>
        <w:rPr>
          <w:w w:val="45"/>
        </w:rPr>
        <w:t>B:</w:t>
      </w:r>
      <w:r>
        <w:rPr>
          <w:spacing w:val="10"/>
          <w:w w:val="45"/>
        </w:rPr>
        <w:t> </w:t>
      </w:r>
      <w:r>
        <w:rPr>
          <w:w w:val="45"/>
        </w:rPr>
        <w:t>Gelatin</w:t>
      </w:r>
      <w:r>
        <w:rPr>
          <w:spacing w:val="11"/>
          <w:w w:val="45"/>
        </w:rPr>
        <w:t> </w:t>
      </w:r>
      <w:r>
        <w:rPr>
          <w:w w:val="45"/>
        </w:rPr>
        <w:t>(%)</w:t>
        <w:tab/>
        <w:t>C:</w:t>
      </w:r>
      <w:r>
        <w:rPr>
          <w:spacing w:val="16"/>
          <w:w w:val="45"/>
        </w:rPr>
        <w:t> </w:t>
      </w:r>
      <w:r>
        <w:rPr>
          <w:w w:val="45"/>
        </w:rPr>
        <w:t>Silicon</w:t>
      </w:r>
      <w:r>
        <w:rPr>
          <w:spacing w:val="16"/>
          <w:w w:val="45"/>
        </w:rPr>
        <w:t> </w:t>
      </w:r>
      <w:r>
        <w:rPr>
          <w:w w:val="45"/>
        </w:rPr>
        <w:t>dioxide</w:t>
      </w:r>
      <w:r>
        <w:rPr>
          <w:spacing w:val="16"/>
          <w:w w:val="45"/>
        </w:rPr>
        <w:t> </w:t>
      </w:r>
      <w:r>
        <w:rPr>
          <w:w w:val="45"/>
        </w:rPr>
        <w:t>(%)</w:t>
      </w:r>
    </w:p>
    <w:p>
      <w:pPr>
        <w:spacing w:before="49"/>
        <w:ind w:left="2014" w:right="30" w:firstLine="0"/>
        <w:jc w:val="center"/>
        <w:rPr>
          <w:rFonts w:ascii="Arial MT"/>
          <w:sz w:val="36"/>
        </w:rPr>
      </w:pPr>
      <w:r>
        <w:rPr>
          <w:rFonts w:ascii="Arial MT"/>
          <w:w w:val="50"/>
          <w:sz w:val="36"/>
        </w:rPr>
        <w:t>Disintegration</w:t>
      </w:r>
      <w:r>
        <w:rPr>
          <w:rFonts w:ascii="Arial MT"/>
          <w:spacing w:val="1"/>
          <w:w w:val="50"/>
          <w:sz w:val="36"/>
        </w:rPr>
        <w:t> </w:t>
      </w:r>
      <w:r>
        <w:rPr>
          <w:rFonts w:ascii="Arial MT"/>
          <w:w w:val="50"/>
          <w:sz w:val="36"/>
        </w:rPr>
        <w:t>time</w:t>
      </w:r>
      <w:r>
        <w:rPr>
          <w:rFonts w:ascii="Arial MT"/>
          <w:spacing w:val="2"/>
          <w:w w:val="50"/>
          <w:sz w:val="36"/>
        </w:rPr>
        <w:t> </w:t>
      </w:r>
      <w:r>
        <w:rPr>
          <w:rFonts w:ascii="Arial MT"/>
          <w:w w:val="50"/>
          <w:sz w:val="36"/>
        </w:rPr>
        <w:t>(Min)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3"/>
        </w:rPr>
      </w:pPr>
    </w:p>
    <w:p>
      <w:pPr>
        <w:pStyle w:val="Heading3"/>
        <w:spacing w:before="90"/>
        <w:ind w:left="465" w:right="1392"/>
      </w:pPr>
      <w:r>
        <w:rPr/>
        <w:t>Figure 4.3: Contour plot showing the effect of each excipient on the disintegration</w:t>
      </w:r>
      <w:r>
        <w:rPr>
          <w:spacing w:val="-57"/>
        </w:rPr>
        <w:t> </w:t>
      </w:r>
      <w:r>
        <w:rPr/>
        <w:t>time</w:t>
      </w:r>
    </w:p>
    <w:p>
      <w:pPr>
        <w:spacing w:after="0"/>
        <w:sectPr>
          <w:type w:val="continuous"/>
          <w:pgSz w:w="11910" w:h="16840"/>
          <w:pgMar w:top="1320" w:bottom="1260" w:left="1520" w:right="160"/>
        </w:sectPr>
      </w:pPr>
    </w:p>
    <w:p>
      <w:pPr>
        <w:spacing w:line="244" w:lineRule="auto" w:before="133"/>
        <w:ind w:left="629" w:right="8501" w:firstLine="0"/>
        <w:jc w:val="left"/>
        <w:rPr>
          <w:rFonts w:ascii="Arial MT" w:hAnsi="Arial MT"/>
          <w:sz w:val="16"/>
        </w:rPr>
      </w:pPr>
      <w:r>
        <w:rPr/>
        <w:pict>
          <v:shape style="position:absolute;margin-left:269.574310pt;margin-top:23.426968pt;width:10pt;height:207.2pt;mso-position-horizontal-relative:page;mso-position-vertical-relative:paragraph;z-index:15875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80"/>
                      <w:sz w:val="14"/>
                    </w:rPr>
                    <w:t>D</w:t>
                  </w:r>
                  <w:r>
                    <w:rPr>
                      <w:rFonts w:ascii="Arial MT"/>
                      <w:spacing w:val="27"/>
                      <w:w w:val="180"/>
                      <w:sz w:val="14"/>
                    </w:rPr>
                    <w:t> </w:t>
                  </w:r>
                  <w:r>
                    <w:rPr>
                      <w:rFonts w:ascii="Arial MT"/>
                      <w:w w:val="180"/>
                      <w:sz w:val="14"/>
                    </w:rPr>
                    <w:t>i</w:t>
                  </w:r>
                  <w:r>
                    <w:rPr>
                      <w:rFonts w:ascii="Arial MT"/>
                      <w:spacing w:val="-33"/>
                      <w:w w:val="180"/>
                      <w:sz w:val="14"/>
                    </w:rPr>
                    <w:t> </w:t>
                  </w:r>
                  <w:r>
                    <w:rPr>
                      <w:rFonts w:ascii="Arial MT"/>
                      <w:w w:val="180"/>
                      <w:sz w:val="14"/>
                    </w:rPr>
                    <w:t>s</w:t>
                  </w:r>
                  <w:r>
                    <w:rPr>
                      <w:rFonts w:ascii="Arial MT"/>
                      <w:spacing w:val="-11"/>
                      <w:w w:val="180"/>
                      <w:sz w:val="14"/>
                    </w:rPr>
                    <w:t> </w:t>
                  </w:r>
                  <w:r>
                    <w:rPr>
                      <w:rFonts w:ascii="Arial MT"/>
                      <w:w w:val="180"/>
                      <w:sz w:val="14"/>
                    </w:rPr>
                    <w:t>i</w:t>
                  </w:r>
                  <w:r>
                    <w:rPr>
                      <w:rFonts w:ascii="Arial MT"/>
                      <w:spacing w:val="-32"/>
                      <w:w w:val="180"/>
                      <w:sz w:val="14"/>
                    </w:rPr>
                    <w:t> </w:t>
                  </w:r>
                  <w:r>
                    <w:rPr>
                      <w:rFonts w:ascii="Arial MT"/>
                      <w:w w:val="180"/>
                      <w:sz w:val="14"/>
                    </w:rPr>
                    <w:t>n</w:t>
                  </w:r>
                  <w:r>
                    <w:rPr>
                      <w:rFonts w:ascii="Arial MT"/>
                      <w:spacing w:val="-5"/>
                      <w:w w:val="180"/>
                      <w:sz w:val="14"/>
                    </w:rPr>
                    <w:t> </w:t>
                  </w:r>
                  <w:r>
                    <w:rPr>
                      <w:rFonts w:ascii="Arial MT"/>
                      <w:w w:val="180"/>
                      <w:sz w:val="14"/>
                    </w:rPr>
                    <w:t>t</w:t>
                  </w:r>
                  <w:r>
                    <w:rPr>
                      <w:rFonts w:ascii="Arial MT"/>
                      <w:spacing w:val="-30"/>
                      <w:w w:val="180"/>
                      <w:sz w:val="14"/>
                    </w:rPr>
                    <w:t> </w:t>
                  </w:r>
                  <w:r>
                    <w:rPr>
                      <w:rFonts w:ascii="Arial MT"/>
                      <w:w w:val="180"/>
                      <w:sz w:val="14"/>
                    </w:rPr>
                    <w:t>e</w:t>
                  </w:r>
                  <w:r>
                    <w:rPr>
                      <w:rFonts w:ascii="Arial MT"/>
                      <w:spacing w:val="-6"/>
                      <w:w w:val="180"/>
                      <w:sz w:val="14"/>
                    </w:rPr>
                    <w:t> </w:t>
                  </w:r>
                  <w:r>
                    <w:rPr>
                      <w:rFonts w:ascii="Arial MT"/>
                      <w:w w:val="180"/>
                      <w:sz w:val="14"/>
                    </w:rPr>
                    <w:t>g</w:t>
                  </w:r>
                  <w:r>
                    <w:rPr>
                      <w:rFonts w:ascii="Arial MT"/>
                      <w:spacing w:val="-6"/>
                      <w:w w:val="180"/>
                      <w:sz w:val="14"/>
                    </w:rPr>
                    <w:t> </w:t>
                  </w:r>
                  <w:r>
                    <w:rPr>
                      <w:rFonts w:ascii="Arial MT"/>
                      <w:w w:val="180"/>
                      <w:sz w:val="14"/>
                    </w:rPr>
                    <w:t>r</w:t>
                  </w:r>
                  <w:r>
                    <w:rPr>
                      <w:rFonts w:ascii="Arial MT"/>
                      <w:spacing w:val="-24"/>
                      <w:w w:val="180"/>
                      <w:sz w:val="14"/>
                    </w:rPr>
                    <w:t> </w:t>
                  </w:r>
                  <w:r>
                    <w:rPr>
                      <w:rFonts w:ascii="Arial MT"/>
                      <w:w w:val="180"/>
                      <w:sz w:val="14"/>
                    </w:rPr>
                    <w:t>a</w:t>
                  </w:r>
                  <w:r>
                    <w:rPr>
                      <w:rFonts w:ascii="Arial MT"/>
                      <w:spacing w:val="-6"/>
                      <w:w w:val="180"/>
                      <w:sz w:val="14"/>
                    </w:rPr>
                    <w:t> </w:t>
                  </w:r>
                  <w:r>
                    <w:rPr>
                      <w:rFonts w:ascii="Arial MT"/>
                      <w:w w:val="180"/>
                      <w:sz w:val="14"/>
                    </w:rPr>
                    <w:t>t</w:t>
                  </w:r>
                  <w:r>
                    <w:rPr>
                      <w:rFonts w:ascii="Arial MT"/>
                      <w:spacing w:val="-29"/>
                      <w:w w:val="180"/>
                      <w:sz w:val="14"/>
                    </w:rPr>
                    <w:t> </w:t>
                  </w:r>
                  <w:r>
                    <w:rPr>
                      <w:rFonts w:ascii="Arial MT"/>
                      <w:w w:val="180"/>
                      <w:sz w:val="14"/>
                    </w:rPr>
                    <w:t>i</w:t>
                  </w:r>
                  <w:r>
                    <w:rPr>
                      <w:rFonts w:ascii="Arial MT"/>
                      <w:spacing w:val="-33"/>
                      <w:w w:val="180"/>
                      <w:sz w:val="14"/>
                    </w:rPr>
                    <w:t> </w:t>
                  </w:r>
                  <w:r>
                    <w:rPr>
                      <w:rFonts w:ascii="Arial MT"/>
                      <w:w w:val="180"/>
                      <w:sz w:val="14"/>
                    </w:rPr>
                    <w:t>o</w:t>
                  </w:r>
                  <w:r>
                    <w:rPr>
                      <w:rFonts w:ascii="Arial MT"/>
                      <w:spacing w:val="-6"/>
                      <w:w w:val="180"/>
                      <w:sz w:val="14"/>
                    </w:rPr>
                    <w:t> </w:t>
                  </w:r>
                  <w:r>
                    <w:rPr>
                      <w:rFonts w:ascii="Arial MT"/>
                      <w:w w:val="180"/>
                      <w:sz w:val="14"/>
                    </w:rPr>
                    <w:t>n </w:t>
                  </w:r>
                  <w:r>
                    <w:rPr>
                      <w:rFonts w:ascii="Arial MT"/>
                      <w:spacing w:val="36"/>
                      <w:w w:val="180"/>
                      <w:sz w:val="14"/>
                    </w:rPr>
                    <w:t> </w:t>
                  </w:r>
                  <w:r>
                    <w:rPr>
                      <w:rFonts w:ascii="Arial MT"/>
                      <w:w w:val="180"/>
                      <w:sz w:val="14"/>
                    </w:rPr>
                    <w:t>t</w:t>
                  </w:r>
                  <w:r>
                    <w:rPr>
                      <w:rFonts w:ascii="Arial MT"/>
                      <w:spacing w:val="-30"/>
                      <w:w w:val="180"/>
                      <w:sz w:val="14"/>
                    </w:rPr>
                    <w:t> </w:t>
                  </w:r>
                  <w:r>
                    <w:rPr>
                      <w:rFonts w:ascii="Arial MT"/>
                      <w:w w:val="180"/>
                      <w:sz w:val="14"/>
                    </w:rPr>
                    <w:t>i</w:t>
                  </w:r>
                  <w:r>
                    <w:rPr>
                      <w:rFonts w:ascii="Arial MT"/>
                      <w:spacing w:val="-32"/>
                      <w:w w:val="180"/>
                      <w:sz w:val="14"/>
                    </w:rPr>
                    <w:t> </w:t>
                  </w:r>
                  <w:r>
                    <w:rPr>
                      <w:rFonts w:ascii="Arial MT"/>
                      <w:w w:val="180"/>
                      <w:sz w:val="14"/>
                    </w:rPr>
                    <w:t>m</w:t>
                  </w:r>
                  <w:r>
                    <w:rPr>
                      <w:rFonts w:ascii="Arial MT"/>
                      <w:spacing w:val="36"/>
                      <w:w w:val="180"/>
                      <w:sz w:val="14"/>
                    </w:rPr>
                    <w:t> </w:t>
                  </w:r>
                  <w:r>
                    <w:rPr>
                      <w:rFonts w:ascii="Arial MT"/>
                      <w:w w:val="180"/>
                      <w:sz w:val="14"/>
                    </w:rPr>
                    <w:t>e </w:t>
                  </w:r>
                  <w:r>
                    <w:rPr>
                      <w:rFonts w:ascii="Arial MT"/>
                      <w:spacing w:val="35"/>
                      <w:w w:val="180"/>
                      <w:sz w:val="14"/>
                    </w:rPr>
                    <w:t> </w:t>
                  </w:r>
                  <w:r>
                    <w:rPr>
                      <w:rFonts w:ascii="Arial MT"/>
                      <w:w w:val="180"/>
                      <w:sz w:val="14"/>
                    </w:rPr>
                    <w:t>(</w:t>
                  </w:r>
                  <w:r>
                    <w:rPr>
                      <w:rFonts w:ascii="Arial MT"/>
                      <w:spacing w:val="-25"/>
                      <w:w w:val="180"/>
                      <w:sz w:val="14"/>
                    </w:rPr>
                    <w:t> </w:t>
                  </w:r>
                  <w:r>
                    <w:rPr>
                      <w:rFonts w:ascii="Arial MT"/>
                      <w:w w:val="180"/>
                      <w:sz w:val="14"/>
                    </w:rPr>
                    <w:t>M</w:t>
                  </w:r>
                  <w:r>
                    <w:rPr>
                      <w:rFonts w:ascii="Arial MT"/>
                      <w:spacing w:val="36"/>
                      <w:w w:val="180"/>
                      <w:sz w:val="14"/>
                    </w:rPr>
                    <w:t> </w:t>
                  </w:r>
                  <w:r>
                    <w:rPr>
                      <w:rFonts w:ascii="Arial MT"/>
                      <w:w w:val="180"/>
                      <w:sz w:val="14"/>
                    </w:rPr>
                    <w:t>i</w:t>
                  </w:r>
                  <w:r>
                    <w:rPr>
                      <w:rFonts w:ascii="Arial MT"/>
                      <w:spacing w:val="-32"/>
                      <w:w w:val="180"/>
                      <w:sz w:val="14"/>
                    </w:rPr>
                    <w:t> </w:t>
                  </w:r>
                  <w:r>
                    <w:rPr>
                      <w:rFonts w:ascii="Arial MT"/>
                      <w:w w:val="180"/>
                      <w:sz w:val="14"/>
                    </w:rPr>
                    <w:t>n</w:t>
                  </w:r>
                  <w:r>
                    <w:rPr>
                      <w:rFonts w:ascii="Arial MT"/>
                      <w:spacing w:val="-6"/>
                      <w:w w:val="180"/>
                      <w:sz w:val="14"/>
                    </w:rPr>
                    <w:t> </w:t>
                  </w:r>
                  <w:r>
                    <w:rPr>
                      <w:rFonts w:ascii="Arial MT"/>
                      <w:w w:val="180"/>
                      <w:sz w:val="14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 MT" w:hAnsi="Arial MT"/>
          <w:w w:val="55"/>
          <w:sz w:val="16"/>
        </w:rPr>
        <w:t>Design-Expert®</w:t>
      </w:r>
      <w:r>
        <w:rPr>
          <w:rFonts w:ascii="Arial MT" w:hAnsi="Arial MT"/>
          <w:spacing w:val="1"/>
          <w:w w:val="55"/>
          <w:sz w:val="16"/>
        </w:rPr>
        <w:t> </w:t>
      </w:r>
      <w:r>
        <w:rPr>
          <w:rFonts w:ascii="Arial MT" w:hAnsi="Arial MT"/>
          <w:w w:val="55"/>
          <w:sz w:val="16"/>
        </w:rPr>
        <w:t>Software</w:t>
      </w:r>
      <w:r>
        <w:rPr>
          <w:rFonts w:ascii="Arial MT" w:hAnsi="Arial MT"/>
          <w:spacing w:val="1"/>
          <w:w w:val="55"/>
          <w:sz w:val="16"/>
        </w:rPr>
        <w:t> </w:t>
      </w:r>
      <w:r>
        <w:rPr>
          <w:rFonts w:ascii="Arial MT" w:hAnsi="Arial MT"/>
          <w:w w:val="55"/>
          <w:sz w:val="16"/>
        </w:rPr>
        <w:t>Component</w:t>
      </w:r>
      <w:r>
        <w:rPr>
          <w:rFonts w:ascii="Arial MT" w:hAnsi="Arial MT"/>
          <w:spacing w:val="14"/>
          <w:w w:val="55"/>
          <w:sz w:val="16"/>
        </w:rPr>
        <w:t> </w:t>
      </w:r>
      <w:r>
        <w:rPr>
          <w:rFonts w:ascii="Arial MT" w:hAnsi="Arial MT"/>
          <w:w w:val="55"/>
          <w:sz w:val="16"/>
        </w:rPr>
        <w:t>Coding:</w:t>
      </w:r>
      <w:r>
        <w:rPr>
          <w:rFonts w:ascii="Arial MT" w:hAnsi="Arial MT"/>
          <w:spacing w:val="14"/>
          <w:w w:val="55"/>
          <w:sz w:val="16"/>
        </w:rPr>
        <w:t> </w:t>
      </w:r>
      <w:r>
        <w:rPr>
          <w:rFonts w:ascii="Arial MT" w:hAnsi="Arial MT"/>
          <w:w w:val="55"/>
          <w:sz w:val="16"/>
        </w:rPr>
        <w:t>Actual</w:t>
      </w:r>
      <w:r>
        <w:rPr>
          <w:rFonts w:ascii="Arial MT" w:hAnsi="Arial MT"/>
          <w:spacing w:val="-21"/>
          <w:w w:val="55"/>
          <w:sz w:val="16"/>
        </w:rPr>
        <w:t> </w:t>
      </w:r>
      <w:r>
        <w:rPr>
          <w:rFonts w:ascii="Arial MT" w:hAnsi="Arial MT"/>
          <w:w w:val="55"/>
          <w:sz w:val="16"/>
        </w:rPr>
        <w:t>Disintegration</w:t>
      </w:r>
      <w:r>
        <w:rPr>
          <w:rFonts w:ascii="Arial MT" w:hAnsi="Arial MT"/>
          <w:spacing w:val="6"/>
          <w:w w:val="55"/>
          <w:sz w:val="16"/>
        </w:rPr>
        <w:t> </w:t>
      </w:r>
      <w:r>
        <w:rPr>
          <w:rFonts w:ascii="Arial MT" w:hAnsi="Arial MT"/>
          <w:w w:val="55"/>
          <w:sz w:val="16"/>
        </w:rPr>
        <w:t>time</w:t>
      </w:r>
      <w:r>
        <w:rPr>
          <w:rFonts w:ascii="Arial MT" w:hAnsi="Arial MT"/>
          <w:spacing w:val="7"/>
          <w:w w:val="55"/>
          <w:sz w:val="16"/>
        </w:rPr>
        <w:t> </w:t>
      </w:r>
      <w:r>
        <w:rPr>
          <w:rFonts w:ascii="Arial MT" w:hAnsi="Arial MT"/>
          <w:w w:val="55"/>
          <w:sz w:val="16"/>
        </w:rPr>
        <w:t>(Min)</w:t>
      </w:r>
    </w:p>
    <w:p>
      <w:pPr>
        <w:spacing w:line="244" w:lineRule="auto" w:before="1"/>
        <w:ind w:left="735" w:right="8035" w:firstLine="0"/>
        <w:jc w:val="both"/>
        <w:rPr>
          <w:rFonts w:ascii="Arial MT"/>
          <w:sz w:val="16"/>
        </w:rPr>
      </w:pPr>
      <w:r>
        <w:rPr/>
        <w:pict>
          <v:group style="position:absolute;margin-left:108.291245pt;margin-top:2.932039pt;width:2.3pt;height:3.65pt;mso-position-horizontal-relative:page;mso-position-vertical-relative:paragraph;z-index:15873024" coordorigin="2166,59" coordsize="46,73">
            <v:shape style="position:absolute;left:2170;top:63;width:36;height:63" coordorigin="2171,64" coordsize="36,63" path="m2199,64l2178,64,2171,76,2171,88,2172,105,2175,117,2180,124,2185,126,2194,124,2201,117,2205,105,2206,88,2206,76,2199,64xe" filled="true" fillcolor="#b40000" stroked="false">
              <v:path arrowok="t"/>
              <v:fill type="solid"/>
            </v:shape>
            <v:shape style="position:absolute;left:2170;top:63;width:36;height:63" coordorigin="2171,64" coordsize="36,63" path="m2171,88l2172,105,2175,117,2180,124,2185,126,2194,124,2201,117,2205,105,2206,88,2206,76,2199,64,2185,64,2178,64,2171,76,2171,88xe" filled="false" stroked="true" strokeweight=".418478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8.291756pt;margin-top:12.311158pt;width:2.3pt;height:3.65pt;mso-position-horizontal-relative:page;mso-position-vertical-relative:paragraph;z-index:15873536" coordorigin="2166,246" coordsize="46,73">
            <v:shape style="position:absolute;left:2170;top:251;width:36;height:64" coordorigin="2171,251" coordsize="36,64" path="m2199,251l2178,251,2171,264,2171,276,2172,293,2175,305,2180,312,2185,314,2194,312,2201,305,2205,293,2206,276,2206,264,2199,251xe" filled="true" fillcolor="#d97e7e" stroked="false">
              <v:path arrowok="t"/>
              <v:fill type="solid"/>
            </v:shape>
            <v:shape style="position:absolute;left:2170;top:251;width:36;height:64" coordorigin="2171,251" coordsize="36,64" path="m2171,276l2172,293,2175,305,2180,312,2185,314,2194,312,2201,305,2205,293,2206,276,2206,264,2199,251,2185,251,2178,251,2171,264,2171,276xe" filled="false" stroked="true" strokeweight=".417734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08.712311pt;margin-top:20.403887pt;width:2.85pt;height:23.8pt;mso-position-horizontal-relative:page;mso-position-vertical-relative:paragraph;z-index:15874048" coordorigin="2174,408" coordsize="57,476" path="m2174,408l2224,408m2231,408l2231,871m2231,884l2181,884m2174,884l2174,421e" filled="false" stroked="true" strokeweight=".488986pt" strokecolor="#000000">
            <v:path arrowok="t"/>
            <v:stroke dashstyle="solid"/>
            <w10:wrap type="none"/>
          </v:shape>
        </w:pict>
      </w:r>
      <w:r>
        <w:rPr>
          <w:rFonts w:ascii="Arial MT"/>
          <w:color w:val="B40000"/>
          <w:w w:val="55"/>
          <w:sz w:val="16"/>
        </w:rPr>
        <w:t>Design points above predicted value</w:t>
      </w:r>
      <w:r>
        <w:rPr>
          <w:rFonts w:ascii="Arial MT"/>
          <w:color w:val="B40000"/>
          <w:spacing w:val="1"/>
          <w:w w:val="55"/>
          <w:sz w:val="16"/>
        </w:rPr>
        <w:t> </w:t>
      </w:r>
      <w:r>
        <w:rPr>
          <w:rFonts w:ascii="Arial MT"/>
          <w:color w:val="D97E7E"/>
          <w:w w:val="55"/>
          <w:sz w:val="16"/>
        </w:rPr>
        <w:t>Design points below predicted value</w:t>
      </w:r>
      <w:r>
        <w:rPr>
          <w:rFonts w:ascii="Arial MT"/>
          <w:color w:val="D97E7E"/>
          <w:spacing w:val="1"/>
          <w:w w:val="55"/>
          <w:sz w:val="16"/>
        </w:rPr>
        <w:t> </w:t>
      </w:r>
      <w:r>
        <w:rPr>
          <w:rFonts w:ascii="Arial MT"/>
          <w:color w:val="FF0000"/>
          <w:w w:val="65"/>
          <w:sz w:val="16"/>
        </w:rPr>
        <w:t>4.08</w:t>
      </w:r>
    </w:p>
    <w:p>
      <w:pPr>
        <w:spacing w:line="183" w:lineRule="exact" w:before="0"/>
        <w:ind w:left="0" w:right="1014" w:firstLine="0"/>
        <w:jc w:val="center"/>
        <w:rPr>
          <w:rFonts w:ascii="Arial MT"/>
          <w:sz w:val="18"/>
        </w:rPr>
      </w:pPr>
      <w:r>
        <w:rPr/>
        <w:pict>
          <v:group style="position:absolute;margin-left:303.177155pt;margin-top:7.792074pt;width:179pt;height:260.3pt;mso-position-horizontal-relative:page;mso-position-vertical-relative:paragraph;z-index:15874560" coordorigin="6064,156" coordsize="3580,5206">
            <v:shape style="position:absolute;left:6273;top:3583;width:3219;height:1773" coordorigin="6274,3583" coordsize="3219,1773" path="m6274,3583l7305,5356,9492,4103,6274,3583xe" filled="true" fillcolor="#ffff00" stroked="false">
              <v:path arrowok="t"/>
              <v:fill type="solid"/>
            </v:shape>
            <v:shape style="position:absolute;left:6209;top:184;width:3428;height:5172" coordorigin="6210,184" coordsize="3428,5172" path="m7305,5356l9492,4103,6274,3583,7305,5356xm6274,3583l6210,184m6258,2771l9526,3249m6250,2339l9544,2812m6242,1909l9562,2369m6234,1478l9581,1917m6226,1046l9599,1460m6218,615l9618,993m6803,2850l6780,239m7348,2930l7352,295m7892,3010l7923,351m8437,3090l8494,407m8981,3170l9066,463m6210,184l9637,519m7305,5356l9492,4103,6274,3583,7305,5356m7305,5356l9492,4103,6274,3583,7305,5356xe" filled="false" stroked="true" strokeweight=".444527pt" strokecolor="#000000">
              <v:path arrowok="t"/>
              <v:stroke dashstyle="solid"/>
            </v:shape>
            <v:shape style="position:absolute;left:7405;top:4369;width:678;height:286" coordorigin="7406,4370" coordsize="678,286" path="m7485,4381l7489,4380,7510,4376,7528,4373,7531,4372,7556,4371,7561,4370,7582,4370,7591,4370,7611,4370,7618,4370,7641,4371,7645,4372,7669,4373,7674,4373,7693,4376,7709,4377,7716,4378,7739,4381,7747,4382,7761,4384,7782,4388,7788,4388,7803,4392,7824,4395,7833,4397,7845,4400,7865,4404,7883,4408,7884,4408,7904,4414,7922,4419,7941,4424,7946,4426,7959,4430,7977,4435,7992,4442,8009,4448,8024,4455,8038,4464,8052,4471,8084,4516,8083,4523,8041,4575,7984,4605,7969,4612,7968,4612,7953,4618,7935,4624,7917,4629,7899,4634,7898,4634,7879,4639,7858,4643,7849,4645,7837,4647,7814,4651,7810,4651,7790,4654,7775,4655,7764,4655,7744,4656,7736,4656,7716,4655,7705,4655,7690,4654,7669,4651,7666,4650,7645,4647,7625,4643,7623,4643,7604,4637,7537,4611,7509,4595,7496,4587,7443,4538,7434,4528,7426,4516,7420,4505,7419,4505,7414,4493,7411,4486,7409,4480,7407,4469,7406,4467,7406,4454,7406,4452,7441,4398,7485,4381e" filled="false" stroked="true" strokeweight=".530903pt" strokecolor="#0000ff">
              <v:path arrowok="t"/>
              <v:stroke dashstyle="solid"/>
            </v:shape>
            <v:shape style="position:absolute;left:6499;top:3970;width:1827;height:926" coordorigin="6499,3970" coordsize="1827,926" path="m8325,4771l8315,4774,8295,4778,8275,4784,8273,4784,8256,4789,8236,4794,8219,4798,8216,4799,8197,4804,8178,4809,8165,4813,8158,4814,8138,4820,8118,4824,8112,4825,8098,4829,8079,4834,8059,4838,8058,4840,8038,4844,8017,4849,8008,4851,7997,4854,7977,4858,7960,4861,7955,4863,7933,4867,7914,4870,7912,4871,7890,4875,7871,4879,7867,4879,7845,4883,7830,4885,7821,4886,7797,4889,7792,4890,7772,4892,7756,4892,7747,4894,7723,4895,7720,4895,7692,4896,7662,4896,7634,4895,7629,4894,7608,4892,7593,4891,7583,4890,7560,4887,7552,4885,7538,4882,7517,4878,7501,4873,7497,4872,7478,4867,7459,4860,7441,4854,7424,4847,7413,4842,7408,4840,7392,4832,7377,4824,7362,4816,7348,4808,7333,4800,7322,4793,7320,4791,7307,4782,7294,4774,7245,4737,7238,4731,7233,4728,7222,4718,7211,4708,7200,4699,7190,4689,7188,4688,7178,4679,7168,4668,7157,4659,7151,4654,7147,4649,7137,4639,7127,4629,7118,4620,7117,4619,7108,4609,7099,4599,7089,4589,7080,4578,7070,4568,7062,4558,7061,4558,7052,4547,7044,4538,7037,4530,7034,4527,7026,4517,7017,4506,7013,4502,7008,4497,7000,4486,6991,4476,6990,4475,6982,4465,6974,4455,6968,4447,6966,4444,6958,4435,6949,4424,6947,4421,6941,4414,6933,4404,6926,4394,6925,4394,6916,4383,6908,4373,6905,4369,6901,4363,6892,4352,6885,4343,6885,4343,6876,4333,6868,4323,6865,4318,6860,4312,6853,4302,6845,4292,6844,4292,6837,4282,6829,4273,6825,4267,6821,4263,6813,4253,6805,4243,6804,4241,6796,4233,6788,4223,6782,4216,6780,4214,6772,4204,6764,4194,6760,4190,6756,4185,6747,4175,6739,4166,6736,4163,6731,4157,6722,4147,6713,4138,6710,4135,6705,4128,6696,4119,6687,4111,6681,4105,6678,4102,6668,4093,6659,4085,6649,4076,6645,4072,6640,4067,6630,4059,6620,4051,6609,4042,6598,4035,6594,4032,6588,4027,6577,4019,6566,4011,6555,4004,6543,3996,6532,3989,6519,3982,6507,3975,6499,3970e" filled="false" stroked="true" strokeweight=".517705pt" strokecolor="#00daff">
              <v:path arrowok="t"/>
              <v:stroke dashstyle="solid"/>
            </v:shape>
            <v:shape style="position:absolute;left:6795;top:4481;width:1122;height:569" coordorigin="6796,4481" coordsize="1122,569" path="m7918,5004l7901,5008,7880,5014,7868,5016,7859,5018,7837,5023,7821,5026,7816,5027,7792,5031,7777,5035,7770,5035,7747,5039,7735,5040,7722,5042,7697,5045,7697,5045,7672,5047,7661,5048,7645,5049,7628,5049,7616,5049,7597,5049,7585,5049,7569,5049,7552,5047,7542,5047,7517,5044,7515,5044,7494,5040,7471,5036,7469,5035,7450,5031,7431,5025,7411,5019,7404,5016,7393,5012,7376,5006,7360,4998,7343,4990,7328,4982,7313,4973,7298,4965,7284,4957,7271,4948,7257,4939,7244,4929,7237,4924,7231,4920,7219,4911,7206,4901,7195,4891,7183,4881,7171,4872,7171,4871,7160,4862,7149,4852,7138,4842,7127,4832,7125,4830,7116,4822,7106,4811,7095,4802,7086,4792,7085,4791,7074,4780,7065,4771,7054,4760,7051,4757,7044,4750,7034,4740,7025,4730,7019,4724,7015,4719,7005,4709,6995,4699,6988,4691,6986,4688,6977,4678,6967,4668,6959,4659,6957,4657,6948,4647,6938,4637,6930,4628,6929,4627,6920,4616,6911,4606,6902,4596,6892,4587,6883,4576,6874,4566,6865,4556,6856,4545,6846,4535,6846,4535,6837,4525,6829,4516,6819,4506,6818,4504,6810,4496,6801,4486,6796,4481e" filled="false" stroked="true" strokeweight=".517782pt" strokecolor="#00ff1f">
              <v:path arrowok="t"/>
              <v:stroke dashstyle="solid"/>
            </v:shape>
            <v:shape style="position:absolute;left:7055;top:4927;width:539;height:267" coordorigin="7056,4928" coordsize="539,267" path="m7594,5190l7571,5192,7558,5194,7543,5194,7526,5194,7513,5194,7496,5194,7480,5193,7469,5192,7445,5188,7440,5188,7421,5184,7400,5179,7386,5175,7380,5173,7311,5143,7252,5107,7214,5078,7213,5078,7201,5069,7190,5059,7178,5048,7166,5038,7157,5029,7155,5027,7144,5017,7133,5007,7122,4997,7116,4989,7111,4986,7101,4975,7091,4964,7081,4953,7079,4953,7070,4943,7060,4932,7056,4928e" filled="false" stroked="true" strokeweight=".519516pt" strokecolor="#e3ff00">
              <v:path arrowok="t"/>
              <v:stroke dashstyle="solid"/>
            </v:shape>
            <v:shape style="position:absolute;left:6239;top:2748;width:31;height:34" coordorigin="6239,2748" coordsize="31,34" path="m6263,2748l6246,2748,6239,2756,6239,2765,6239,2774,6246,2782,6263,2782,6270,2774,6270,2756,6263,2748xe" filled="true" fillcolor="#000000" stroked="false">
              <v:path arrowok="t"/>
              <v:fill type="solid"/>
            </v:shape>
            <v:shape style="position:absolute;left:6239;top:2748;width:31;height:34" coordorigin="6239,2748" coordsize="31,34" path="m6239,2765l6239,2774,6246,2782,6254,2782,6263,2782,6270,2774,6270,2765,6270,2756,6263,2748,6254,2748,6246,2748,6239,2756,6239,2765xe" filled="false" stroked="true" strokeweight=".432061pt" strokecolor="#000000">
              <v:path arrowok="t"/>
              <v:stroke dashstyle="solid"/>
            </v:shape>
            <v:shape style="position:absolute;left:6222;top:1885;width:32;height:34" coordorigin="6223,1886" coordsize="32,34" path="m6247,1886l6230,1886,6223,1893,6223,1902,6223,1911,6230,1919,6247,1919,6254,1911,6254,1893,6247,1886xe" filled="true" fillcolor="#000000" stroked="false">
              <v:path arrowok="t"/>
              <v:fill type="solid"/>
            </v:shape>
            <v:shape style="position:absolute;left:6222;top:1885;width:32;height:34" coordorigin="6223,1886" coordsize="32,34" path="m6223,1902l6223,1911,6230,1919,6239,1919,6247,1919,6254,1911,6254,1902,6254,1893,6247,1886,6239,1886,6230,1886,6223,1893,6223,1902xe" filled="false" stroked="true" strokeweight=".438183pt" strokecolor="#000000">
              <v:path arrowok="t"/>
              <v:stroke dashstyle="solid"/>
            </v:shape>
            <v:shape style="position:absolute;left:6214;top:1454;width:31;height:34" coordorigin="6215,1454" coordsize="31,34" path="m6239,1454l6222,1454,6215,1462,6215,1471,6215,1480,6222,1488,6239,1488,6245,1480,6245,1462,6239,1454xe" filled="true" fillcolor="#000000" stroked="false">
              <v:path arrowok="t"/>
              <v:fill type="solid"/>
            </v:shape>
            <v:shape style="position:absolute;left:6214;top:1454;width:31;height:34" coordorigin="6215,1454" coordsize="31,34" path="m6215,1471l6215,1480,6222,1488,6230,1488,6239,1488,6245,1480,6245,1471,6245,1462,6239,1454,6230,1454,6222,1454,6215,1462,6215,1471xe" filled="false" stroked="true" strokeweight=".433456pt" strokecolor="#000000">
              <v:path arrowok="t"/>
              <v:stroke dashstyle="solid"/>
            </v:shape>
            <v:shape style="position:absolute;left:6207;top:1023;width:32;height:33" coordorigin="6207,1023" coordsize="32,33" path="m6232,1023l6214,1023,6207,1030,6207,1039,6207,1048,6214,1056,6232,1056,6239,1048,6239,1030,6232,1023xe" filled="true" fillcolor="#000000" stroked="false">
              <v:path arrowok="t"/>
              <v:fill type="solid"/>
            </v:shape>
            <v:shape style="position:absolute;left:6207;top:1023;width:32;height:33" coordorigin="6207,1023" coordsize="32,33" path="m6207,1039l6207,1048,6214,1056,6223,1056,6232,1056,6239,1048,6239,1039,6239,1030,6232,1023,6223,1023,6214,1023,6207,1030,6207,1039xe" filled="false" stroked="true" strokeweight=".438897pt" strokecolor="#000000">
              <v:path arrowok="t"/>
              <v:stroke dashstyle="solid"/>
            </v:shape>
            <v:shape style="position:absolute;left:6198;top:592;width:33;height:34" coordorigin="6198,592" coordsize="33,34" path="m6223,592l6205,592,6198,600,6198,609,6198,618,6205,626,6223,626,6230,618,6230,600,6223,592xe" filled="true" fillcolor="#000000" stroked="false">
              <v:path arrowok="t"/>
              <v:fill type="solid"/>
            </v:shape>
            <v:shape style="position:absolute;left:6198;top:592;width:33;height:34" coordorigin="6198,592" coordsize="33,34" path="m6198,609l6198,618,6205,626,6214,626,6223,626,6230,618,6230,609,6230,600,6223,592,6214,592,6205,592,6198,600,6198,609xe" filled="false" stroked="true" strokeweight=".438345pt" strokecolor="#000000">
              <v:path arrowok="t"/>
              <v:stroke dashstyle="solid"/>
            </v:shape>
            <v:shape style="position:absolute;left:6190;top:160;width:31;height:33" coordorigin="6191,161" coordsize="31,33" path="m6214,161l6198,161,6191,168,6191,177,6191,186,6198,194,6214,194,6221,186,6221,168,6214,161xe" filled="true" fillcolor="#000000" stroked="false">
              <v:path arrowok="t"/>
              <v:fill type="solid"/>
            </v:shape>
            <v:shape style="position:absolute;left:6190;top:160;width:31;height:33" coordorigin="6191,161" coordsize="31,33" path="m6191,177l6191,186,6198,194,6206,194,6214,194,6221,186,6221,177,6221,168,6214,161,6206,161,6198,161,6191,168,6191,177xe" filled="false" stroked="true" strokeweight=".436266pt" strokecolor="#000000">
              <v:path arrowok="t"/>
              <v:stroke dashstyle="solid"/>
            </v:shape>
            <v:shape style="position:absolute;left:6194;top:1769;width:3399;height:1537" type="#_x0000_t75" stroked="false">
              <v:imagedata r:id="rId112" o:title=""/>
            </v:shape>
            <v:shape style="position:absolute;left:6209;top:184;width:3428;height:5172" coordorigin="6210,184" coordsize="3428,5172" path="m7305,5356l7305,1339m9492,4103l9637,519m7305,1339l9637,519m7305,1339l6210,184e" filled="false" stroked="true" strokeweight=".444527pt" strokecolor="#000000">
              <v:path arrowok="t"/>
              <v:stroke dashstyle="solid"/>
            </v:shape>
            <v:shape style="position:absolute;left:6105;top:414;width:117;height:2355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55"/>
                        <w:sz w:val="18"/>
                      </w:rPr>
                      <w:t>4</w:t>
                    </w:r>
                  </w:p>
                  <w:p>
                    <w:pPr>
                      <w:spacing w:line="240" w:lineRule="auto" w:before="5"/>
                      <w:rPr>
                        <w:rFonts w:ascii="Arial MT"/>
                        <w:sz w:val="19"/>
                      </w:rPr>
                    </w:pPr>
                  </w:p>
                  <w:p>
                    <w:pPr>
                      <w:spacing w:before="0"/>
                      <w:ind w:left="8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55"/>
                        <w:sz w:val="18"/>
                      </w:rPr>
                      <w:t>3</w:t>
                    </w:r>
                  </w:p>
                  <w:p>
                    <w:pPr>
                      <w:spacing w:line="240" w:lineRule="auto" w:before="5"/>
                      <w:rPr>
                        <w:rFonts w:ascii="Arial MT"/>
                        <w:sz w:val="19"/>
                      </w:rPr>
                    </w:pPr>
                  </w:p>
                  <w:p>
                    <w:pPr>
                      <w:spacing w:before="1"/>
                      <w:ind w:left="15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55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19"/>
                      </w:rPr>
                    </w:pPr>
                  </w:p>
                  <w:p>
                    <w:pPr>
                      <w:spacing w:before="0"/>
                      <w:ind w:left="24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55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5"/>
                      <w:rPr>
                        <w:rFonts w:ascii="Arial MT"/>
                        <w:sz w:val="19"/>
                      </w:rPr>
                    </w:pPr>
                  </w:p>
                  <w:p>
                    <w:pPr>
                      <w:spacing w:before="0"/>
                      <w:ind w:left="32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55"/>
                        <w:sz w:val="18"/>
                      </w:rPr>
                      <w:t>0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19"/>
                      </w:rPr>
                    </w:pPr>
                  </w:p>
                  <w:p>
                    <w:pPr>
                      <w:spacing w:line="207" w:lineRule="exact" w:before="0"/>
                      <w:ind w:left="5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65"/>
                        <w:sz w:val="18"/>
                      </w:rPr>
                      <w:t>-1</w:t>
                    </w:r>
                  </w:p>
                </w:txbxContent>
              </v:textbox>
              <w10:wrap type="none"/>
            </v:shape>
            <v:shape style="position:absolute;left:6064;top:3279;width:134;height:25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w w:val="60"/>
                        <w:sz w:val="23"/>
                      </w:rPr>
                      <w:t>0)</w:t>
                    </w:r>
                  </w:p>
                </w:txbxContent>
              </v:textbox>
              <w10:wrap type="none"/>
            </v:shape>
            <v:shape style="position:absolute;left:7863;top:3513;width:544;height:25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w w:val="55"/>
                        <w:sz w:val="23"/>
                      </w:rPr>
                      <w:t>B (1.000)</w:t>
                    </w:r>
                  </w:p>
                </w:txbxContent>
              </v:textbox>
              <w10:wrap type="none"/>
            </v:shape>
            <v:shape style="position:absolute;left:6063;top:4404;width:551;height:25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w w:val="55"/>
                        <w:sz w:val="23"/>
                      </w:rPr>
                      <w:t>C (1.000)</w:t>
                    </w:r>
                  </w:p>
                </w:txbxContent>
              </v:textbox>
              <w10:wrap type="none"/>
            </v:shape>
            <v:shape style="position:absolute;left:8593;top:4752;width:608;height:25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w w:val="55"/>
                        <w:sz w:val="23"/>
                      </w:rPr>
                      <w:t>A</w:t>
                    </w:r>
                    <w:r>
                      <w:rPr>
                        <w:rFonts w:ascii="Arial MT"/>
                        <w:spacing w:val="-7"/>
                        <w:w w:val="55"/>
                        <w:sz w:val="23"/>
                      </w:rPr>
                      <w:t> </w:t>
                    </w:r>
                    <w:r>
                      <w:rPr>
                        <w:rFonts w:ascii="Arial MT"/>
                        <w:w w:val="55"/>
                        <w:sz w:val="23"/>
                      </w:rPr>
                      <w:t>(90.000)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55"/>
          <w:sz w:val="18"/>
        </w:rPr>
        <w:t>5</w:t>
      </w:r>
    </w:p>
    <w:p>
      <w:pPr>
        <w:spacing w:before="6"/>
        <w:ind w:left="657" w:right="9232" w:firstLine="0"/>
        <w:jc w:val="center"/>
        <w:rPr>
          <w:rFonts w:ascii="Arial MT"/>
          <w:sz w:val="16"/>
        </w:rPr>
      </w:pPr>
      <w:r>
        <w:rPr>
          <w:rFonts w:ascii="Arial MT"/>
          <w:color w:val="0000FF"/>
          <w:w w:val="65"/>
          <w:sz w:val="16"/>
        </w:rPr>
        <w:t>0.16</w:t>
      </w:r>
    </w:p>
    <w:p>
      <w:pPr>
        <w:pStyle w:val="BodyText"/>
        <w:spacing w:before="7"/>
        <w:rPr>
          <w:rFonts w:ascii="Arial MT"/>
          <w:sz w:val="16"/>
        </w:rPr>
      </w:pPr>
    </w:p>
    <w:p>
      <w:pPr>
        <w:spacing w:line="244" w:lineRule="auto" w:before="0"/>
        <w:ind w:left="629" w:right="8943" w:firstLine="0"/>
        <w:jc w:val="left"/>
        <w:rPr>
          <w:rFonts w:ascii="Arial MT"/>
          <w:sz w:val="16"/>
        </w:rPr>
      </w:pPr>
      <w:r>
        <w:rPr>
          <w:rFonts w:ascii="Arial MT"/>
          <w:w w:val="55"/>
          <w:sz w:val="16"/>
        </w:rPr>
        <w:t>X1 =</w:t>
      </w:r>
      <w:r>
        <w:rPr>
          <w:rFonts w:ascii="Arial MT"/>
          <w:spacing w:val="1"/>
          <w:w w:val="55"/>
          <w:sz w:val="16"/>
        </w:rPr>
        <w:t> </w:t>
      </w:r>
      <w:r>
        <w:rPr>
          <w:rFonts w:ascii="Arial MT"/>
          <w:w w:val="55"/>
          <w:sz w:val="16"/>
        </w:rPr>
        <w:t>A:</w:t>
      </w:r>
      <w:r>
        <w:rPr>
          <w:rFonts w:ascii="Arial MT"/>
          <w:spacing w:val="1"/>
          <w:w w:val="55"/>
          <w:sz w:val="16"/>
        </w:rPr>
        <w:t> </w:t>
      </w:r>
      <w:r>
        <w:rPr>
          <w:rFonts w:ascii="Arial MT"/>
          <w:w w:val="55"/>
          <w:sz w:val="16"/>
        </w:rPr>
        <w:t>Starch</w:t>
      </w:r>
      <w:r>
        <w:rPr>
          <w:rFonts w:ascii="Arial MT"/>
          <w:spacing w:val="-22"/>
          <w:w w:val="55"/>
          <w:sz w:val="16"/>
        </w:rPr>
        <w:t> </w:t>
      </w:r>
      <w:r>
        <w:rPr>
          <w:rFonts w:ascii="Arial MT"/>
          <w:spacing w:val="-1"/>
          <w:w w:val="55"/>
          <w:sz w:val="16"/>
        </w:rPr>
        <w:t>X2</w:t>
      </w:r>
      <w:r>
        <w:rPr>
          <w:rFonts w:ascii="Arial MT"/>
          <w:spacing w:val="2"/>
          <w:w w:val="55"/>
          <w:sz w:val="16"/>
        </w:rPr>
        <w:t> </w:t>
      </w:r>
      <w:r>
        <w:rPr>
          <w:rFonts w:ascii="Arial MT"/>
          <w:spacing w:val="-1"/>
          <w:w w:val="55"/>
          <w:sz w:val="16"/>
        </w:rPr>
        <w:t>=</w:t>
      </w:r>
      <w:r>
        <w:rPr>
          <w:rFonts w:ascii="Arial MT"/>
          <w:spacing w:val="6"/>
          <w:w w:val="55"/>
          <w:sz w:val="16"/>
        </w:rPr>
        <w:t> </w:t>
      </w:r>
      <w:r>
        <w:rPr>
          <w:rFonts w:ascii="Arial MT"/>
          <w:spacing w:val="-1"/>
          <w:w w:val="55"/>
          <w:sz w:val="16"/>
        </w:rPr>
        <w:t>B:</w:t>
      </w:r>
      <w:r>
        <w:rPr>
          <w:rFonts w:ascii="Arial MT"/>
          <w:spacing w:val="6"/>
          <w:w w:val="55"/>
          <w:sz w:val="16"/>
        </w:rPr>
        <w:t> </w:t>
      </w:r>
      <w:r>
        <w:rPr>
          <w:rFonts w:ascii="Arial MT"/>
          <w:w w:val="55"/>
          <w:sz w:val="16"/>
        </w:rPr>
        <w:t>Gelatin</w:t>
      </w:r>
    </w:p>
    <w:p>
      <w:pPr>
        <w:spacing w:before="1"/>
        <w:ind w:left="629" w:right="0" w:firstLine="0"/>
        <w:jc w:val="left"/>
        <w:rPr>
          <w:rFonts w:ascii="Arial MT"/>
          <w:sz w:val="16"/>
        </w:rPr>
      </w:pPr>
      <w:r>
        <w:rPr>
          <w:rFonts w:ascii="Arial MT"/>
          <w:w w:val="55"/>
          <w:sz w:val="16"/>
        </w:rPr>
        <w:t>X3</w:t>
      </w:r>
      <w:r>
        <w:rPr>
          <w:rFonts w:ascii="Arial MT"/>
          <w:spacing w:val="4"/>
          <w:w w:val="55"/>
          <w:sz w:val="16"/>
        </w:rPr>
        <w:t> </w:t>
      </w:r>
      <w:r>
        <w:rPr>
          <w:rFonts w:ascii="Arial MT"/>
          <w:w w:val="55"/>
          <w:sz w:val="16"/>
        </w:rPr>
        <w:t>=</w:t>
      </w:r>
      <w:r>
        <w:rPr>
          <w:rFonts w:ascii="Arial MT"/>
          <w:spacing w:val="10"/>
          <w:w w:val="55"/>
          <w:sz w:val="16"/>
        </w:rPr>
        <w:t> </w:t>
      </w:r>
      <w:r>
        <w:rPr>
          <w:rFonts w:ascii="Arial MT"/>
          <w:w w:val="55"/>
          <w:sz w:val="16"/>
        </w:rPr>
        <w:t>C:</w:t>
      </w:r>
      <w:r>
        <w:rPr>
          <w:rFonts w:ascii="Arial MT"/>
          <w:spacing w:val="9"/>
          <w:w w:val="55"/>
          <w:sz w:val="16"/>
        </w:rPr>
        <w:t> </w:t>
      </w:r>
      <w:r>
        <w:rPr>
          <w:rFonts w:ascii="Arial MT"/>
          <w:w w:val="55"/>
          <w:sz w:val="16"/>
        </w:rPr>
        <w:t>Silicon</w:t>
      </w:r>
      <w:r>
        <w:rPr>
          <w:rFonts w:ascii="Arial MT"/>
          <w:spacing w:val="5"/>
          <w:w w:val="55"/>
          <w:sz w:val="16"/>
        </w:rPr>
        <w:t> </w:t>
      </w:r>
      <w:r>
        <w:rPr>
          <w:rFonts w:ascii="Arial MT"/>
          <w:w w:val="55"/>
          <w:sz w:val="16"/>
        </w:rPr>
        <w:t>dioxide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8"/>
        </w:rPr>
      </w:pPr>
    </w:p>
    <w:p>
      <w:pPr>
        <w:spacing w:before="91"/>
        <w:ind w:left="453" w:right="2060" w:firstLine="0"/>
        <w:jc w:val="center"/>
        <w:rPr>
          <w:rFonts w:ascii="Arial MT"/>
          <w:sz w:val="23"/>
        </w:rPr>
      </w:pPr>
      <w:r>
        <w:rPr>
          <w:rFonts w:ascii="Arial MT"/>
          <w:w w:val="55"/>
          <w:sz w:val="23"/>
        </w:rPr>
        <w:t>A</w:t>
      </w:r>
      <w:r>
        <w:rPr>
          <w:rFonts w:ascii="Arial MT"/>
          <w:spacing w:val="-8"/>
          <w:w w:val="55"/>
          <w:sz w:val="23"/>
        </w:rPr>
        <w:t> </w:t>
      </w:r>
      <w:r>
        <w:rPr>
          <w:rFonts w:ascii="Arial MT"/>
          <w:w w:val="55"/>
          <w:sz w:val="23"/>
        </w:rPr>
        <w:t>(98.00</w:t>
      </w:r>
    </w:p>
    <w:p>
      <w:pPr>
        <w:pStyle w:val="BodyText"/>
        <w:spacing w:before="6"/>
        <w:rPr>
          <w:rFonts w:ascii="Arial MT"/>
          <w:sz w:val="18"/>
        </w:rPr>
      </w:pPr>
    </w:p>
    <w:p>
      <w:pPr>
        <w:spacing w:before="91"/>
        <w:ind w:left="0" w:right="1502" w:firstLine="0"/>
        <w:jc w:val="right"/>
        <w:rPr>
          <w:rFonts w:ascii="Arial MT"/>
          <w:sz w:val="23"/>
        </w:rPr>
      </w:pPr>
      <w:r>
        <w:rPr>
          <w:rFonts w:ascii="Arial MT"/>
          <w:w w:val="55"/>
          <w:sz w:val="23"/>
        </w:rPr>
        <w:t>C</w:t>
      </w:r>
      <w:r>
        <w:rPr>
          <w:rFonts w:ascii="Arial MT"/>
          <w:spacing w:val="-1"/>
          <w:w w:val="55"/>
          <w:sz w:val="23"/>
        </w:rPr>
        <w:t> </w:t>
      </w:r>
      <w:r>
        <w:rPr>
          <w:rFonts w:ascii="Arial MT"/>
          <w:w w:val="55"/>
          <w:sz w:val="23"/>
        </w:rPr>
        <w:t>(9.000)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0"/>
        <w:ind w:left="1261" w:right="439" w:firstLine="0"/>
        <w:jc w:val="center"/>
        <w:rPr>
          <w:rFonts w:ascii="Arial MT"/>
          <w:sz w:val="23"/>
        </w:rPr>
      </w:pPr>
      <w:r>
        <w:rPr>
          <w:rFonts w:ascii="Arial MT"/>
          <w:w w:val="55"/>
          <w:sz w:val="23"/>
        </w:rPr>
        <w:t>B</w:t>
      </w:r>
      <w:r>
        <w:rPr>
          <w:rFonts w:ascii="Arial MT"/>
          <w:spacing w:val="-1"/>
          <w:w w:val="55"/>
          <w:sz w:val="23"/>
        </w:rPr>
        <w:t> </w:t>
      </w:r>
      <w:r>
        <w:rPr>
          <w:rFonts w:ascii="Arial MT"/>
          <w:w w:val="55"/>
          <w:sz w:val="23"/>
        </w:rPr>
        <w:t>(9.000)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pStyle w:val="Heading3"/>
        <w:spacing w:before="90"/>
        <w:ind w:left="465" w:right="1472"/>
      </w:pPr>
      <w:r>
        <w:rPr/>
        <w:t>Figure 4.4: Surface plot showing the effect of each excipient on the disintegration</w:t>
      </w:r>
      <w:r>
        <w:rPr>
          <w:spacing w:val="-57"/>
        </w:rPr>
        <w:t> </w:t>
      </w:r>
      <w:r>
        <w:rPr/>
        <w:t>time</w:t>
      </w:r>
    </w:p>
    <w:p>
      <w:pPr>
        <w:spacing w:after="0"/>
        <w:sectPr>
          <w:pgSz w:w="11910" w:h="16840"/>
          <w:pgMar w:header="0" w:footer="987" w:top="1580" w:bottom="1260" w:left="1520" w:right="160"/>
        </w:sectPr>
      </w:pPr>
    </w:p>
    <w:p>
      <w:pPr>
        <w:pStyle w:val="BodyText"/>
        <w:spacing w:line="480" w:lineRule="auto" w:before="72"/>
        <w:ind w:left="465" w:right="1252"/>
        <w:jc w:val="both"/>
      </w:pPr>
      <w:r>
        <w:rPr/>
        <w:t>Following the results of the analysis, numerical and graphical optimization were applied</w:t>
      </w:r>
      <w:r>
        <w:rPr>
          <w:spacing w:val="-57"/>
        </w:rPr>
        <w:t> </w:t>
      </w:r>
      <w:r>
        <w:rPr/>
        <w:t>to determine the optimum proportion of excipients required to develop the co-processed</w:t>
      </w:r>
      <w:r>
        <w:rPr>
          <w:spacing w:val="1"/>
        </w:rPr>
        <w:t> </w:t>
      </w:r>
      <w:r>
        <w:rPr/>
        <w:t>excipient that will deliver the desired tablet characteristics as predicted by the Design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software.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(7)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software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ranked</w:t>
      </w:r>
      <w:r>
        <w:rPr>
          <w:spacing w:val="20"/>
        </w:rPr>
        <w:t> </w:t>
      </w:r>
      <w:r>
        <w:rPr/>
        <w:t>using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desirability</w:t>
      </w:r>
      <w:r>
        <w:rPr>
          <w:spacing w:val="16"/>
        </w:rPr>
        <w:t> </w:t>
      </w:r>
      <w:r>
        <w:rPr/>
        <w:t>scale</w:t>
      </w:r>
      <w:r>
        <w:rPr>
          <w:spacing w:val="19"/>
        </w:rPr>
        <w:t> </w:t>
      </w:r>
      <w:r>
        <w:rPr/>
        <w:t>based</w:t>
      </w:r>
      <w:r>
        <w:rPr>
          <w:spacing w:val="21"/>
        </w:rPr>
        <w:t> </w:t>
      </w: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degree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fitting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each</w:t>
      </w:r>
      <w:r>
        <w:rPr>
          <w:spacing w:val="21"/>
        </w:rPr>
        <w:t> </w:t>
      </w:r>
      <w:r>
        <w:rPr/>
        <w:t>combination</w:t>
      </w:r>
      <w:r>
        <w:rPr>
          <w:spacing w:val="21"/>
        </w:rPr>
        <w:t> </w:t>
      </w:r>
      <w:r>
        <w:rPr/>
        <w:t>to</w:t>
      </w:r>
      <w:r>
        <w:rPr>
          <w:spacing w:val="-58"/>
        </w:rPr>
        <w:t> </w:t>
      </w:r>
      <w:r>
        <w:rPr/>
        <w:t>the criteria set during optimization (Table 4.4). Based on the rating of this scale, the first</w:t>
      </w:r>
      <w:r>
        <w:rPr>
          <w:spacing w:val="-57"/>
        </w:rPr>
        <w:t> </w:t>
      </w:r>
      <w:r>
        <w:rPr/>
        <w:t>solution with a desirable value of 0.979 was selected by the software as the optimized</w:t>
      </w:r>
      <w:r>
        <w:rPr>
          <w:spacing w:val="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co-processed excipient.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ind w:left="465" w:right="1254"/>
      </w:pPr>
      <w:r>
        <w:rPr/>
        <w:t>Table 4.4: Prediction of the optimized composition of the co-processed excipient</w:t>
      </w:r>
      <w:r>
        <w:rPr>
          <w:spacing w:val="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possible</w:t>
      </w:r>
      <w:r>
        <w:rPr>
          <w:spacing w:val="-2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interacting</w:t>
      </w:r>
      <w:r>
        <w:rPr>
          <w:spacing w:val="-2"/>
        </w:rPr>
        <w:t> </w:t>
      </w:r>
      <w:r>
        <w:rPr/>
        <w:t>excipients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expected</w:t>
      </w:r>
      <w:r>
        <w:rPr>
          <w:spacing w:val="-3"/>
        </w:rPr>
        <w:t> </w:t>
      </w:r>
      <w:r>
        <w:rPr/>
        <w:t>responses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3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1088"/>
        <w:gridCol w:w="1079"/>
        <w:gridCol w:w="1196"/>
        <w:gridCol w:w="1079"/>
        <w:gridCol w:w="1680"/>
        <w:gridCol w:w="1477"/>
      </w:tblGrid>
      <w:tr>
        <w:trPr>
          <w:trHeight w:val="759" w:hRule="atLeast"/>
        </w:trPr>
        <w:tc>
          <w:tcPr>
            <w:tcW w:w="1045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Number</w:t>
            </w:r>
          </w:p>
        </w:tc>
        <w:tc>
          <w:tcPr>
            <w:tcW w:w="1088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5"/>
              <w:ind w:left="142" w:right="155"/>
              <w:rPr>
                <w:b/>
                <w:sz w:val="22"/>
              </w:rPr>
            </w:pPr>
            <w:r>
              <w:rPr>
                <w:b/>
                <w:sz w:val="22"/>
              </w:rPr>
              <w:t>Cassava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Starch</w:t>
            </w:r>
          </w:p>
        </w:tc>
        <w:tc>
          <w:tcPr>
            <w:tcW w:w="1079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71"/>
              <w:rPr>
                <w:b/>
                <w:sz w:val="22"/>
              </w:rPr>
            </w:pPr>
            <w:r>
              <w:rPr>
                <w:b/>
                <w:sz w:val="22"/>
              </w:rPr>
              <w:t>Gelatin</w:t>
            </w:r>
          </w:p>
        </w:tc>
        <w:tc>
          <w:tcPr>
            <w:tcW w:w="1196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208"/>
              <w:rPr>
                <w:b/>
                <w:sz w:val="22"/>
              </w:rPr>
            </w:pPr>
            <w:r>
              <w:rPr>
                <w:b/>
                <w:sz w:val="22"/>
              </w:rPr>
              <w:t>Colloidal</w:t>
            </w:r>
          </w:p>
          <w:p>
            <w:pPr>
              <w:pStyle w:val="TableParagraph"/>
              <w:spacing w:line="252" w:lineRule="exact"/>
              <w:ind w:left="208" w:right="283"/>
              <w:rPr>
                <w:b/>
                <w:sz w:val="22"/>
              </w:rPr>
            </w:pPr>
            <w:r>
              <w:rPr>
                <w:b/>
                <w:sz w:val="22"/>
              </w:rPr>
              <w:t>silicon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dioxide</w:t>
            </w:r>
          </w:p>
        </w:tc>
        <w:tc>
          <w:tcPr>
            <w:tcW w:w="1079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5"/>
              <w:ind w:left="128" w:right="148"/>
              <w:rPr>
                <w:b/>
                <w:sz w:val="22"/>
              </w:rPr>
            </w:pPr>
            <w:r>
              <w:rPr>
                <w:b/>
                <w:sz w:val="22"/>
              </w:rPr>
              <w:t>Tensile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strength</w:t>
            </w:r>
          </w:p>
        </w:tc>
        <w:tc>
          <w:tcPr>
            <w:tcW w:w="1680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5"/>
              <w:ind w:left="165" w:right="150"/>
              <w:rPr>
                <w:b/>
                <w:sz w:val="22"/>
              </w:rPr>
            </w:pPr>
            <w:r>
              <w:rPr>
                <w:b/>
                <w:sz w:val="22"/>
              </w:rPr>
              <w:t>Disintegration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time</w:t>
            </w:r>
          </w:p>
        </w:tc>
        <w:tc>
          <w:tcPr>
            <w:tcW w:w="1477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5"/>
              <w:ind w:left="168" w:right="189"/>
              <w:rPr>
                <w:b/>
                <w:sz w:val="22"/>
              </w:rPr>
            </w:pPr>
            <w:r>
              <w:rPr>
                <w:b/>
                <w:sz w:val="22"/>
              </w:rPr>
              <w:t>Desirability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scale</w:t>
            </w:r>
          </w:p>
        </w:tc>
      </w:tr>
      <w:tr>
        <w:trPr>
          <w:trHeight w:val="377" w:hRule="atLeast"/>
        </w:trPr>
        <w:tc>
          <w:tcPr>
            <w:tcW w:w="10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142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0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171"/>
              <w:rPr>
                <w:sz w:val="22"/>
              </w:rPr>
            </w:pPr>
            <w:r>
              <w:rPr>
                <w:sz w:val="22"/>
              </w:rPr>
              <w:t>7.5</w:t>
            </w:r>
          </w:p>
        </w:tc>
        <w:tc>
          <w:tcPr>
            <w:tcW w:w="11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208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  <w:tc>
          <w:tcPr>
            <w:tcW w:w="10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128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  <w:tc>
          <w:tcPr>
            <w:tcW w:w="16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165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  <w:tc>
          <w:tcPr>
            <w:tcW w:w="14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168"/>
              <w:rPr>
                <w:sz w:val="22"/>
              </w:rPr>
            </w:pPr>
            <w:r>
              <w:rPr>
                <w:sz w:val="22"/>
              </w:rPr>
              <w:t>0.979</w:t>
            </w:r>
          </w:p>
        </w:tc>
      </w:tr>
      <w:tr>
        <w:trPr>
          <w:trHeight w:val="506" w:hRule="atLeast"/>
        </w:trPr>
        <w:tc>
          <w:tcPr>
            <w:tcW w:w="1045" w:type="dxa"/>
          </w:tcPr>
          <w:p>
            <w:pPr>
              <w:pStyle w:val="TableParagraph"/>
              <w:spacing w:before="122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88" w:type="dxa"/>
          </w:tcPr>
          <w:p>
            <w:pPr>
              <w:pStyle w:val="TableParagraph"/>
              <w:spacing w:before="122"/>
              <w:ind w:left="142"/>
              <w:rPr>
                <w:sz w:val="22"/>
              </w:rPr>
            </w:pPr>
            <w:r>
              <w:rPr>
                <w:sz w:val="22"/>
              </w:rPr>
              <w:t>92.6</w:t>
            </w:r>
          </w:p>
        </w:tc>
        <w:tc>
          <w:tcPr>
            <w:tcW w:w="1079" w:type="dxa"/>
          </w:tcPr>
          <w:p>
            <w:pPr>
              <w:pStyle w:val="TableParagraph"/>
              <w:spacing w:before="122"/>
              <w:ind w:left="171"/>
              <w:rPr>
                <w:sz w:val="22"/>
              </w:rPr>
            </w:pPr>
            <w:r>
              <w:rPr>
                <w:sz w:val="22"/>
              </w:rPr>
              <w:t>6.4</w:t>
            </w:r>
          </w:p>
        </w:tc>
        <w:tc>
          <w:tcPr>
            <w:tcW w:w="1196" w:type="dxa"/>
          </w:tcPr>
          <w:p>
            <w:pPr>
              <w:pStyle w:val="TableParagraph"/>
              <w:spacing w:before="122"/>
              <w:ind w:left="208"/>
              <w:rPr>
                <w:sz w:val="22"/>
              </w:rPr>
            </w:pPr>
            <w:r>
              <w:rPr>
                <w:sz w:val="22"/>
              </w:rPr>
              <w:t>1.0</w:t>
            </w:r>
          </w:p>
        </w:tc>
        <w:tc>
          <w:tcPr>
            <w:tcW w:w="1079" w:type="dxa"/>
          </w:tcPr>
          <w:p>
            <w:pPr>
              <w:pStyle w:val="TableParagraph"/>
              <w:spacing w:before="122"/>
              <w:ind w:left="128"/>
              <w:rPr>
                <w:sz w:val="22"/>
              </w:rPr>
            </w:pPr>
            <w:r>
              <w:rPr>
                <w:sz w:val="22"/>
              </w:rPr>
              <w:t>4.0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22"/>
              <w:ind w:left="165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  <w:tc>
          <w:tcPr>
            <w:tcW w:w="1477" w:type="dxa"/>
          </w:tcPr>
          <w:p>
            <w:pPr>
              <w:pStyle w:val="TableParagraph"/>
              <w:spacing w:before="122"/>
              <w:ind w:left="168"/>
              <w:rPr>
                <w:sz w:val="22"/>
              </w:rPr>
            </w:pPr>
            <w:r>
              <w:rPr>
                <w:sz w:val="22"/>
              </w:rPr>
              <w:t>0.961</w:t>
            </w:r>
          </w:p>
        </w:tc>
      </w:tr>
      <w:tr>
        <w:trPr>
          <w:trHeight w:val="505" w:hRule="atLeast"/>
        </w:trPr>
        <w:tc>
          <w:tcPr>
            <w:tcW w:w="1045" w:type="dxa"/>
          </w:tcPr>
          <w:p>
            <w:pPr>
              <w:pStyle w:val="TableParagraph"/>
              <w:spacing w:before="122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88" w:type="dxa"/>
          </w:tcPr>
          <w:p>
            <w:pPr>
              <w:pStyle w:val="TableParagraph"/>
              <w:spacing w:before="122"/>
              <w:ind w:left="142"/>
              <w:rPr>
                <w:sz w:val="22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1079" w:type="dxa"/>
          </w:tcPr>
          <w:p>
            <w:pPr>
              <w:pStyle w:val="TableParagraph"/>
              <w:spacing w:before="122"/>
              <w:ind w:left="171"/>
              <w:rPr>
                <w:sz w:val="22"/>
              </w:rPr>
            </w:pPr>
            <w:r>
              <w:rPr>
                <w:sz w:val="22"/>
              </w:rPr>
              <w:t>5.0</w:t>
            </w:r>
          </w:p>
        </w:tc>
        <w:tc>
          <w:tcPr>
            <w:tcW w:w="1196" w:type="dxa"/>
          </w:tcPr>
          <w:p>
            <w:pPr>
              <w:pStyle w:val="TableParagraph"/>
              <w:spacing w:before="122"/>
              <w:ind w:left="208"/>
              <w:rPr>
                <w:sz w:val="22"/>
              </w:rPr>
            </w:pPr>
            <w:r>
              <w:rPr>
                <w:sz w:val="22"/>
              </w:rPr>
              <w:t>1.0</w:t>
            </w:r>
          </w:p>
        </w:tc>
        <w:tc>
          <w:tcPr>
            <w:tcW w:w="1079" w:type="dxa"/>
          </w:tcPr>
          <w:p>
            <w:pPr>
              <w:pStyle w:val="TableParagraph"/>
              <w:spacing w:before="122"/>
              <w:ind w:left="128"/>
              <w:rPr>
                <w:sz w:val="22"/>
              </w:rPr>
            </w:pPr>
            <w:r>
              <w:rPr>
                <w:sz w:val="22"/>
              </w:rPr>
              <w:t>3.8</w:t>
            </w:r>
          </w:p>
        </w:tc>
        <w:tc>
          <w:tcPr>
            <w:tcW w:w="1680" w:type="dxa"/>
          </w:tcPr>
          <w:p>
            <w:pPr>
              <w:pStyle w:val="TableParagraph"/>
              <w:spacing w:before="122"/>
              <w:ind w:left="165"/>
              <w:rPr>
                <w:sz w:val="22"/>
              </w:rPr>
            </w:pPr>
            <w:r>
              <w:rPr>
                <w:sz w:val="22"/>
              </w:rPr>
              <w:t>1.8</w:t>
            </w:r>
          </w:p>
        </w:tc>
        <w:tc>
          <w:tcPr>
            <w:tcW w:w="1477" w:type="dxa"/>
          </w:tcPr>
          <w:p>
            <w:pPr>
              <w:pStyle w:val="TableParagraph"/>
              <w:spacing w:before="122"/>
              <w:ind w:left="168"/>
              <w:rPr>
                <w:sz w:val="22"/>
              </w:rPr>
            </w:pPr>
            <w:r>
              <w:rPr>
                <w:sz w:val="22"/>
              </w:rPr>
              <w:t>0.843</w:t>
            </w:r>
          </w:p>
        </w:tc>
      </w:tr>
      <w:tr>
        <w:trPr>
          <w:trHeight w:val="505" w:hRule="atLeast"/>
        </w:trPr>
        <w:tc>
          <w:tcPr>
            <w:tcW w:w="1045" w:type="dxa"/>
          </w:tcPr>
          <w:p>
            <w:pPr>
              <w:pStyle w:val="TableParagraph"/>
              <w:spacing w:before="121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88" w:type="dxa"/>
          </w:tcPr>
          <w:p>
            <w:pPr>
              <w:pStyle w:val="TableParagraph"/>
              <w:spacing w:before="121"/>
              <w:ind w:left="142"/>
              <w:rPr>
                <w:sz w:val="22"/>
              </w:rPr>
            </w:pPr>
            <w:r>
              <w:rPr>
                <w:sz w:val="22"/>
              </w:rPr>
              <w:t>91.6</w:t>
            </w:r>
          </w:p>
        </w:tc>
        <w:tc>
          <w:tcPr>
            <w:tcW w:w="1079" w:type="dxa"/>
          </w:tcPr>
          <w:p>
            <w:pPr>
              <w:pStyle w:val="TableParagraph"/>
              <w:spacing w:before="121"/>
              <w:ind w:left="171"/>
              <w:rPr>
                <w:sz w:val="22"/>
              </w:rPr>
            </w:pPr>
            <w:r>
              <w:rPr>
                <w:sz w:val="22"/>
              </w:rPr>
              <w:t>1.6</w:t>
            </w:r>
          </w:p>
        </w:tc>
        <w:tc>
          <w:tcPr>
            <w:tcW w:w="1196" w:type="dxa"/>
          </w:tcPr>
          <w:p>
            <w:pPr>
              <w:pStyle w:val="TableParagraph"/>
              <w:spacing w:before="121"/>
              <w:ind w:left="208"/>
              <w:rPr>
                <w:sz w:val="22"/>
              </w:rPr>
            </w:pPr>
            <w:r>
              <w:rPr>
                <w:sz w:val="22"/>
              </w:rPr>
              <w:t>6.8</w:t>
            </w:r>
          </w:p>
        </w:tc>
        <w:tc>
          <w:tcPr>
            <w:tcW w:w="1079" w:type="dxa"/>
          </w:tcPr>
          <w:p>
            <w:pPr>
              <w:pStyle w:val="TableParagraph"/>
              <w:spacing w:before="121"/>
              <w:ind w:left="128"/>
              <w:rPr>
                <w:sz w:val="22"/>
              </w:rPr>
            </w:pPr>
            <w:r>
              <w:rPr>
                <w:sz w:val="22"/>
              </w:rPr>
              <w:t>3.9</w:t>
            </w:r>
          </w:p>
        </w:tc>
        <w:tc>
          <w:tcPr>
            <w:tcW w:w="1680" w:type="dxa"/>
          </w:tcPr>
          <w:p>
            <w:pPr>
              <w:pStyle w:val="TableParagraph"/>
              <w:spacing w:before="121"/>
              <w:ind w:left="165"/>
              <w:rPr>
                <w:sz w:val="22"/>
              </w:rPr>
            </w:pPr>
            <w:r>
              <w:rPr>
                <w:sz w:val="22"/>
              </w:rPr>
              <w:t>0.6</w:t>
            </w:r>
          </w:p>
        </w:tc>
        <w:tc>
          <w:tcPr>
            <w:tcW w:w="1477" w:type="dxa"/>
          </w:tcPr>
          <w:p>
            <w:pPr>
              <w:pStyle w:val="TableParagraph"/>
              <w:spacing w:before="121"/>
              <w:ind w:left="168"/>
              <w:rPr>
                <w:sz w:val="22"/>
              </w:rPr>
            </w:pPr>
            <w:r>
              <w:rPr>
                <w:sz w:val="22"/>
              </w:rPr>
              <w:t>0.606</w:t>
            </w:r>
          </w:p>
        </w:tc>
      </w:tr>
      <w:tr>
        <w:trPr>
          <w:trHeight w:val="506" w:hRule="atLeast"/>
        </w:trPr>
        <w:tc>
          <w:tcPr>
            <w:tcW w:w="1045" w:type="dxa"/>
          </w:tcPr>
          <w:p>
            <w:pPr>
              <w:pStyle w:val="TableParagraph"/>
              <w:spacing w:before="122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88" w:type="dxa"/>
          </w:tcPr>
          <w:p>
            <w:pPr>
              <w:pStyle w:val="TableParagraph"/>
              <w:spacing w:before="122"/>
              <w:ind w:left="142"/>
              <w:rPr>
                <w:sz w:val="22"/>
              </w:rPr>
            </w:pPr>
            <w:r>
              <w:rPr>
                <w:sz w:val="22"/>
              </w:rPr>
              <w:t>95.8</w:t>
            </w:r>
          </w:p>
        </w:tc>
        <w:tc>
          <w:tcPr>
            <w:tcW w:w="1079" w:type="dxa"/>
          </w:tcPr>
          <w:p>
            <w:pPr>
              <w:pStyle w:val="TableParagraph"/>
              <w:spacing w:before="122"/>
              <w:ind w:left="171"/>
              <w:rPr>
                <w:sz w:val="22"/>
              </w:rPr>
            </w:pPr>
            <w:r>
              <w:rPr>
                <w:sz w:val="22"/>
              </w:rPr>
              <w:t>1.7</w:t>
            </w:r>
          </w:p>
        </w:tc>
        <w:tc>
          <w:tcPr>
            <w:tcW w:w="1196" w:type="dxa"/>
          </w:tcPr>
          <w:p>
            <w:pPr>
              <w:pStyle w:val="TableParagraph"/>
              <w:spacing w:before="122"/>
              <w:ind w:left="208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  <w:tc>
          <w:tcPr>
            <w:tcW w:w="1079" w:type="dxa"/>
          </w:tcPr>
          <w:p>
            <w:pPr>
              <w:pStyle w:val="TableParagraph"/>
              <w:spacing w:before="122"/>
              <w:ind w:left="128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1680" w:type="dxa"/>
          </w:tcPr>
          <w:p>
            <w:pPr>
              <w:pStyle w:val="TableParagraph"/>
              <w:spacing w:before="122"/>
              <w:ind w:left="165"/>
              <w:rPr>
                <w:sz w:val="22"/>
              </w:rPr>
            </w:pPr>
            <w:r>
              <w:rPr>
                <w:sz w:val="22"/>
              </w:rPr>
              <w:t>0.7</w:t>
            </w:r>
          </w:p>
        </w:tc>
        <w:tc>
          <w:tcPr>
            <w:tcW w:w="1477" w:type="dxa"/>
          </w:tcPr>
          <w:p>
            <w:pPr>
              <w:pStyle w:val="TableParagraph"/>
              <w:spacing w:before="122"/>
              <w:ind w:left="168"/>
              <w:rPr>
                <w:sz w:val="22"/>
              </w:rPr>
            </w:pPr>
            <w:r>
              <w:rPr>
                <w:sz w:val="22"/>
              </w:rPr>
              <w:t>0.544</w:t>
            </w:r>
          </w:p>
        </w:tc>
      </w:tr>
      <w:tr>
        <w:trPr>
          <w:trHeight w:val="506" w:hRule="atLeast"/>
        </w:trPr>
        <w:tc>
          <w:tcPr>
            <w:tcW w:w="1045" w:type="dxa"/>
          </w:tcPr>
          <w:p>
            <w:pPr>
              <w:pStyle w:val="TableParagraph"/>
              <w:spacing w:before="122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88" w:type="dxa"/>
          </w:tcPr>
          <w:p>
            <w:pPr>
              <w:pStyle w:val="TableParagraph"/>
              <w:spacing w:before="122"/>
              <w:ind w:left="142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1079" w:type="dxa"/>
          </w:tcPr>
          <w:p>
            <w:pPr>
              <w:pStyle w:val="TableParagraph"/>
              <w:spacing w:before="122"/>
              <w:ind w:left="171"/>
              <w:rPr>
                <w:sz w:val="22"/>
              </w:rPr>
            </w:pPr>
            <w:r>
              <w:rPr>
                <w:sz w:val="22"/>
              </w:rPr>
              <w:t>3.0</w:t>
            </w:r>
          </w:p>
        </w:tc>
        <w:tc>
          <w:tcPr>
            <w:tcW w:w="1196" w:type="dxa"/>
          </w:tcPr>
          <w:p>
            <w:pPr>
              <w:pStyle w:val="TableParagraph"/>
              <w:spacing w:before="122"/>
              <w:ind w:left="208"/>
              <w:rPr>
                <w:sz w:val="22"/>
              </w:rPr>
            </w:pPr>
            <w:r>
              <w:rPr>
                <w:sz w:val="22"/>
              </w:rPr>
              <w:t>4.0</w:t>
            </w:r>
          </w:p>
        </w:tc>
        <w:tc>
          <w:tcPr>
            <w:tcW w:w="1079" w:type="dxa"/>
          </w:tcPr>
          <w:p>
            <w:pPr>
              <w:pStyle w:val="TableParagraph"/>
              <w:spacing w:before="122"/>
              <w:ind w:left="128"/>
              <w:rPr>
                <w:sz w:val="22"/>
              </w:rPr>
            </w:pPr>
            <w:r>
              <w:rPr>
                <w:sz w:val="22"/>
              </w:rPr>
              <w:t>3.7</w:t>
            </w:r>
          </w:p>
        </w:tc>
        <w:tc>
          <w:tcPr>
            <w:tcW w:w="1680" w:type="dxa"/>
          </w:tcPr>
          <w:p>
            <w:pPr>
              <w:pStyle w:val="TableParagraph"/>
              <w:spacing w:before="122"/>
              <w:ind w:left="165"/>
              <w:rPr>
                <w:sz w:val="22"/>
              </w:rPr>
            </w:pPr>
            <w:r>
              <w:rPr>
                <w:sz w:val="22"/>
              </w:rPr>
              <w:t>0.6</w:t>
            </w:r>
          </w:p>
        </w:tc>
        <w:tc>
          <w:tcPr>
            <w:tcW w:w="1477" w:type="dxa"/>
          </w:tcPr>
          <w:p>
            <w:pPr>
              <w:pStyle w:val="TableParagraph"/>
              <w:spacing w:before="122"/>
              <w:ind w:left="168"/>
              <w:rPr>
                <w:sz w:val="22"/>
              </w:rPr>
            </w:pPr>
            <w:r>
              <w:rPr>
                <w:sz w:val="22"/>
              </w:rPr>
              <w:t>0.435</w:t>
            </w:r>
          </w:p>
        </w:tc>
      </w:tr>
      <w:tr>
        <w:trPr>
          <w:trHeight w:val="634" w:hRule="atLeast"/>
        </w:trPr>
        <w:tc>
          <w:tcPr>
            <w:tcW w:w="104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22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8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22"/>
              <w:ind w:left="142"/>
              <w:rPr>
                <w:sz w:val="22"/>
              </w:rPr>
            </w:pPr>
            <w:r>
              <w:rPr>
                <w:sz w:val="22"/>
              </w:rPr>
              <w:t>91.5</w:t>
            </w:r>
          </w:p>
        </w:tc>
        <w:tc>
          <w:tcPr>
            <w:tcW w:w="107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22"/>
              <w:ind w:left="17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9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22"/>
              <w:ind w:left="208"/>
              <w:rPr>
                <w:sz w:val="22"/>
              </w:rPr>
            </w:pPr>
            <w:r>
              <w:rPr>
                <w:sz w:val="22"/>
              </w:rPr>
              <w:t>7.5</w:t>
            </w:r>
          </w:p>
        </w:tc>
        <w:tc>
          <w:tcPr>
            <w:tcW w:w="107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22"/>
              <w:ind w:left="128"/>
              <w:rPr>
                <w:sz w:val="22"/>
              </w:rPr>
            </w:pPr>
            <w:r>
              <w:rPr>
                <w:sz w:val="22"/>
              </w:rPr>
              <w:t>2.9</w:t>
            </w:r>
          </w:p>
        </w:tc>
        <w:tc>
          <w:tcPr>
            <w:tcW w:w="168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22"/>
              <w:ind w:left="165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47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22"/>
              <w:ind w:left="168"/>
              <w:rPr>
                <w:sz w:val="22"/>
              </w:rPr>
            </w:pPr>
            <w:r>
              <w:rPr>
                <w:sz w:val="22"/>
              </w:rPr>
              <w:t>0.211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4"/>
      </w:pPr>
      <w:r>
        <w:rPr/>
        <w:t>A</w:t>
      </w:r>
      <w:r>
        <w:rPr>
          <w:spacing w:val="32"/>
        </w:rPr>
        <w:t> </w:t>
      </w:r>
      <w:r>
        <w:rPr/>
        <w:t>representative</w:t>
      </w:r>
      <w:r>
        <w:rPr>
          <w:spacing w:val="32"/>
        </w:rPr>
        <w:t> </w:t>
      </w:r>
      <w:r>
        <w:rPr/>
        <w:t>overlay</w:t>
      </w:r>
      <w:r>
        <w:rPr>
          <w:spacing w:val="30"/>
        </w:rPr>
        <w:t> </w:t>
      </w:r>
      <w:r>
        <w:rPr/>
        <w:t>contour</w:t>
      </w:r>
      <w:r>
        <w:rPr>
          <w:spacing w:val="33"/>
        </w:rPr>
        <w:t> </w:t>
      </w:r>
      <w:r>
        <w:rPr/>
        <w:t>plot</w:t>
      </w:r>
      <w:r>
        <w:rPr>
          <w:spacing w:val="34"/>
        </w:rPr>
        <w:t> </w:t>
      </w:r>
      <w:r>
        <w:rPr/>
        <w:t>showing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combined</w:t>
      </w:r>
      <w:r>
        <w:rPr>
          <w:spacing w:val="33"/>
        </w:rPr>
        <w:t> </w:t>
      </w:r>
      <w:r>
        <w:rPr/>
        <w:t>responses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the</w:t>
      </w:r>
      <w:r>
        <w:rPr>
          <w:spacing w:val="-57"/>
        </w:rPr>
        <w:t> </w:t>
      </w:r>
      <w:r>
        <w:rPr/>
        <w:t>corresponding</w:t>
      </w:r>
      <w:r>
        <w:rPr>
          <w:spacing w:val="-4"/>
        </w:rPr>
        <w:t> </w:t>
      </w:r>
      <w:r>
        <w:rPr/>
        <w:t>factor settings is</w:t>
      </w:r>
      <w:r>
        <w:rPr>
          <w:spacing w:val="2"/>
        </w:rPr>
        <w:t> </w:t>
      </w:r>
      <w:r>
        <w:rPr/>
        <w:t>given as</w:t>
      </w:r>
      <w:r>
        <w:rPr>
          <w:spacing w:val="1"/>
        </w:rPr>
        <w:t> </w:t>
      </w:r>
      <w:r>
        <w:rPr/>
        <w:t>Figure</w:t>
      </w:r>
      <w:r>
        <w:rPr>
          <w:spacing w:val="-1"/>
        </w:rPr>
        <w:t> </w:t>
      </w:r>
      <w:r>
        <w:rPr/>
        <w:t>4.5.</w:t>
      </w:r>
    </w:p>
    <w:p>
      <w:pPr>
        <w:spacing w:after="0" w:line="480" w:lineRule="auto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before="11"/>
        <w:rPr>
          <w:sz w:val="15"/>
        </w:rPr>
      </w:pPr>
    </w:p>
    <w:p>
      <w:pPr>
        <w:spacing w:before="0"/>
        <w:ind w:left="627" w:right="0" w:firstLine="0"/>
        <w:jc w:val="left"/>
        <w:rPr>
          <w:rFonts w:ascii="Arial MT" w:hAnsi="Arial MT"/>
          <w:sz w:val="19"/>
        </w:rPr>
      </w:pPr>
      <w:r>
        <w:rPr>
          <w:rFonts w:ascii="Arial MT" w:hAnsi="Arial MT"/>
          <w:w w:val="45"/>
          <w:sz w:val="19"/>
        </w:rPr>
        <w:t>Design-Expert®</w:t>
      </w:r>
      <w:r>
        <w:rPr>
          <w:rFonts w:ascii="Arial MT" w:hAnsi="Arial MT"/>
          <w:spacing w:val="1"/>
          <w:w w:val="45"/>
          <w:sz w:val="19"/>
        </w:rPr>
        <w:t> </w:t>
      </w:r>
      <w:r>
        <w:rPr>
          <w:rFonts w:ascii="Arial MT" w:hAnsi="Arial MT"/>
          <w:w w:val="45"/>
          <w:sz w:val="19"/>
        </w:rPr>
        <w:t>Software</w:t>
      </w:r>
      <w:r>
        <w:rPr>
          <w:rFonts w:ascii="Arial MT" w:hAnsi="Arial MT"/>
          <w:spacing w:val="1"/>
          <w:w w:val="45"/>
          <w:sz w:val="19"/>
        </w:rPr>
        <w:t> </w:t>
      </w:r>
      <w:r>
        <w:rPr>
          <w:rFonts w:ascii="Arial MT" w:hAnsi="Arial MT"/>
          <w:w w:val="45"/>
          <w:sz w:val="19"/>
        </w:rPr>
        <w:t>Component</w:t>
      </w:r>
      <w:r>
        <w:rPr>
          <w:rFonts w:ascii="Arial MT" w:hAnsi="Arial MT"/>
          <w:spacing w:val="1"/>
          <w:w w:val="45"/>
          <w:sz w:val="19"/>
        </w:rPr>
        <w:t> </w:t>
      </w:r>
      <w:r>
        <w:rPr>
          <w:rFonts w:ascii="Arial MT" w:hAnsi="Arial MT"/>
          <w:w w:val="45"/>
          <w:sz w:val="19"/>
        </w:rPr>
        <w:t>Coding:</w:t>
      </w:r>
      <w:r>
        <w:rPr>
          <w:rFonts w:ascii="Arial MT" w:hAnsi="Arial MT"/>
          <w:spacing w:val="1"/>
          <w:w w:val="45"/>
          <w:sz w:val="19"/>
        </w:rPr>
        <w:t> </w:t>
      </w:r>
      <w:r>
        <w:rPr>
          <w:rFonts w:ascii="Arial MT" w:hAnsi="Arial MT"/>
          <w:w w:val="45"/>
          <w:sz w:val="19"/>
        </w:rPr>
        <w:t>Actual</w:t>
      </w:r>
      <w:r>
        <w:rPr>
          <w:rFonts w:ascii="Arial MT" w:hAnsi="Arial MT"/>
          <w:spacing w:val="1"/>
          <w:w w:val="45"/>
          <w:sz w:val="19"/>
        </w:rPr>
        <w:t> </w:t>
      </w:r>
      <w:r>
        <w:rPr>
          <w:rFonts w:ascii="Arial MT" w:hAnsi="Arial MT"/>
          <w:w w:val="45"/>
          <w:sz w:val="19"/>
        </w:rPr>
        <w:t>Overlay</w:t>
      </w:r>
      <w:r>
        <w:rPr>
          <w:rFonts w:ascii="Arial MT" w:hAnsi="Arial MT"/>
          <w:spacing w:val="7"/>
          <w:w w:val="45"/>
          <w:sz w:val="19"/>
        </w:rPr>
        <w:t> </w:t>
      </w:r>
      <w:r>
        <w:rPr>
          <w:rFonts w:ascii="Arial MT" w:hAnsi="Arial MT"/>
          <w:w w:val="45"/>
          <w:sz w:val="19"/>
        </w:rPr>
        <w:t>Plot</w:t>
      </w:r>
    </w:p>
    <w:p>
      <w:pPr>
        <w:pStyle w:val="BodyText"/>
        <w:spacing w:before="6"/>
        <w:rPr>
          <w:rFonts w:ascii="Arial MT"/>
          <w:sz w:val="19"/>
        </w:rPr>
      </w:pPr>
    </w:p>
    <w:p>
      <w:pPr>
        <w:spacing w:before="0"/>
        <w:ind w:left="627" w:right="0" w:firstLine="0"/>
        <w:jc w:val="left"/>
        <w:rPr>
          <w:rFonts w:ascii="Arial MT"/>
          <w:sz w:val="19"/>
        </w:rPr>
      </w:pPr>
      <w:r>
        <w:rPr/>
        <w:pict>
          <v:group style="position:absolute;margin-left:108.168304pt;margin-top:47.505379pt;width:2.35pt;height:4.2pt;mso-position-horizontal-relative:page;mso-position-vertical-relative:paragraph;z-index:-20764672" coordorigin="2163,950" coordsize="47,84">
            <v:shape style="position:absolute;left:2168;top:955;width:36;height:73" coordorigin="2169,956" coordsize="36,73" path="m2197,956l2176,956,2169,970,2169,985,2170,1004,2173,1018,2178,1026,2183,1029,2192,1026,2199,1018,2203,1004,2204,985,2204,970,2197,956xe" filled="true" fillcolor="#b40000" stroked="false">
              <v:path arrowok="t"/>
              <v:fill type="solid"/>
            </v:shape>
            <v:shape style="position:absolute;left:2168;top:955;width:36;height:73" coordorigin="2169,956" coordsize="36,73" path="m2169,985l2170,1004,2173,1018,2178,1026,2183,1029,2192,1026,2199,1018,2203,1004,2204,985,2204,970,2197,956,2183,956,2176,956,2169,970,2169,985xe" filled="false" stroked="true" strokeweight=".424579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45"/>
          <w:sz w:val="19"/>
        </w:rPr>
        <w:t>Tensile</w:t>
      </w:r>
      <w:r>
        <w:rPr>
          <w:rFonts w:ascii="Arial MT"/>
          <w:spacing w:val="3"/>
          <w:w w:val="45"/>
          <w:sz w:val="19"/>
        </w:rPr>
        <w:t> </w:t>
      </w:r>
      <w:r>
        <w:rPr>
          <w:rFonts w:ascii="Arial MT"/>
          <w:w w:val="45"/>
          <w:sz w:val="19"/>
        </w:rPr>
        <w:t>strength</w:t>
      </w:r>
      <w:r>
        <w:rPr>
          <w:rFonts w:ascii="Arial MT"/>
          <w:spacing w:val="1"/>
          <w:w w:val="45"/>
          <w:sz w:val="19"/>
        </w:rPr>
        <w:t> </w:t>
      </w:r>
      <w:r>
        <w:rPr>
          <w:rFonts w:ascii="Arial MT"/>
          <w:w w:val="45"/>
          <w:sz w:val="19"/>
        </w:rPr>
        <w:t>StdErr(Tensile</w:t>
      </w:r>
      <w:r>
        <w:rPr>
          <w:rFonts w:ascii="Arial MT"/>
          <w:spacing w:val="1"/>
          <w:w w:val="45"/>
          <w:sz w:val="19"/>
        </w:rPr>
        <w:t> </w:t>
      </w:r>
      <w:r>
        <w:rPr>
          <w:rFonts w:ascii="Arial MT"/>
          <w:w w:val="45"/>
          <w:sz w:val="19"/>
        </w:rPr>
        <w:t>strength)</w:t>
      </w:r>
      <w:r>
        <w:rPr>
          <w:rFonts w:ascii="Arial MT"/>
          <w:spacing w:val="1"/>
          <w:w w:val="45"/>
          <w:sz w:val="19"/>
        </w:rPr>
        <w:t> </w:t>
      </w:r>
      <w:r>
        <w:rPr>
          <w:rFonts w:ascii="Arial MT"/>
          <w:w w:val="45"/>
          <w:sz w:val="19"/>
        </w:rPr>
        <w:t>Disintegration</w:t>
      </w:r>
      <w:r>
        <w:rPr>
          <w:rFonts w:ascii="Arial MT"/>
          <w:spacing w:val="5"/>
          <w:w w:val="45"/>
          <w:sz w:val="19"/>
        </w:rPr>
        <w:t> </w:t>
      </w:r>
      <w:r>
        <w:rPr>
          <w:rFonts w:ascii="Arial MT"/>
          <w:w w:val="45"/>
          <w:sz w:val="19"/>
        </w:rPr>
        <w:t>time</w:t>
      </w:r>
      <w:r>
        <w:rPr>
          <w:rFonts w:ascii="Arial MT"/>
          <w:spacing w:val="1"/>
          <w:w w:val="45"/>
          <w:sz w:val="19"/>
        </w:rPr>
        <w:t> </w:t>
      </w:r>
      <w:r>
        <w:rPr>
          <w:rFonts w:ascii="Arial MT"/>
          <w:w w:val="45"/>
          <w:sz w:val="19"/>
        </w:rPr>
        <w:t>StdErr(Disintegration</w:t>
      </w:r>
      <w:r>
        <w:rPr>
          <w:rFonts w:ascii="Arial MT"/>
          <w:spacing w:val="1"/>
          <w:w w:val="45"/>
          <w:sz w:val="19"/>
        </w:rPr>
        <w:t> </w:t>
      </w:r>
      <w:r>
        <w:rPr>
          <w:rFonts w:ascii="Arial MT"/>
          <w:w w:val="45"/>
          <w:sz w:val="19"/>
        </w:rPr>
        <w:t>time)</w:t>
      </w:r>
      <w:r>
        <w:rPr>
          <w:rFonts w:ascii="Arial MT"/>
          <w:spacing w:val="1"/>
          <w:w w:val="45"/>
          <w:sz w:val="19"/>
        </w:rPr>
        <w:t> </w:t>
      </w:r>
      <w:r>
        <w:rPr>
          <w:rFonts w:ascii="Arial MT"/>
          <w:color w:val="B40000"/>
          <w:w w:val="45"/>
          <w:sz w:val="19"/>
        </w:rPr>
        <w:t>Design</w:t>
      </w:r>
      <w:r>
        <w:rPr>
          <w:rFonts w:ascii="Arial MT"/>
          <w:color w:val="B40000"/>
          <w:spacing w:val="3"/>
          <w:w w:val="45"/>
          <w:sz w:val="19"/>
        </w:rPr>
        <w:t> </w:t>
      </w:r>
      <w:r>
        <w:rPr>
          <w:rFonts w:ascii="Arial MT"/>
          <w:color w:val="B40000"/>
          <w:w w:val="45"/>
          <w:sz w:val="19"/>
        </w:rPr>
        <w:t>Points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8"/>
        </w:rPr>
      </w:pPr>
    </w:p>
    <w:p>
      <w:pPr>
        <w:spacing w:before="0"/>
        <w:ind w:left="627" w:right="492" w:firstLine="0"/>
        <w:jc w:val="left"/>
        <w:rPr>
          <w:rFonts w:ascii="Arial MT"/>
          <w:sz w:val="19"/>
        </w:rPr>
      </w:pPr>
      <w:r>
        <w:rPr>
          <w:rFonts w:ascii="Arial MT"/>
          <w:w w:val="45"/>
          <w:sz w:val="19"/>
        </w:rPr>
        <w:t>X1 =</w:t>
      </w:r>
      <w:r>
        <w:rPr>
          <w:rFonts w:ascii="Arial MT"/>
          <w:spacing w:val="1"/>
          <w:w w:val="45"/>
          <w:sz w:val="19"/>
        </w:rPr>
        <w:t> </w:t>
      </w:r>
      <w:r>
        <w:rPr>
          <w:rFonts w:ascii="Arial MT"/>
          <w:w w:val="45"/>
          <w:sz w:val="19"/>
        </w:rPr>
        <w:t>A:</w:t>
      </w:r>
      <w:r>
        <w:rPr>
          <w:rFonts w:ascii="Arial MT"/>
          <w:spacing w:val="1"/>
          <w:w w:val="45"/>
          <w:sz w:val="19"/>
        </w:rPr>
        <w:t> </w:t>
      </w:r>
      <w:r>
        <w:rPr>
          <w:rFonts w:ascii="Arial MT"/>
          <w:w w:val="45"/>
          <w:sz w:val="19"/>
        </w:rPr>
        <w:t>Starch</w:t>
      </w:r>
      <w:r>
        <w:rPr>
          <w:rFonts w:ascii="Arial MT"/>
          <w:spacing w:val="1"/>
          <w:w w:val="45"/>
          <w:sz w:val="19"/>
        </w:rPr>
        <w:t> </w:t>
      </w:r>
      <w:r>
        <w:rPr>
          <w:rFonts w:ascii="Arial MT"/>
          <w:w w:val="45"/>
          <w:sz w:val="19"/>
        </w:rPr>
        <w:t>X2</w:t>
      </w:r>
      <w:r>
        <w:rPr>
          <w:rFonts w:ascii="Arial MT"/>
          <w:spacing w:val="4"/>
          <w:w w:val="45"/>
          <w:sz w:val="19"/>
        </w:rPr>
        <w:t> </w:t>
      </w:r>
      <w:r>
        <w:rPr>
          <w:rFonts w:ascii="Arial MT"/>
          <w:w w:val="45"/>
          <w:sz w:val="19"/>
        </w:rPr>
        <w:t>=</w:t>
      </w:r>
      <w:r>
        <w:rPr>
          <w:rFonts w:ascii="Arial MT"/>
          <w:spacing w:val="11"/>
          <w:w w:val="45"/>
          <w:sz w:val="19"/>
        </w:rPr>
        <w:t> </w:t>
      </w:r>
      <w:r>
        <w:rPr>
          <w:rFonts w:ascii="Arial MT"/>
          <w:w w:val="45"/>
          <w:sz w:val="19"/>
        </w:rPr>
        <w:t>B:</w:t>
      </w:r>
      <w:r>
        <w:rPr>
          <w:rFonts w:ascii="Arial MT"/>
          <w:spacing w:val="10"/>
          <w:w w:val="45"/>
          <w:sz w:val="19"/>
        </w:rPr>
        <w:t> </w:t>
      </w:r>
      <w:r>
        <w:rPr>
          <w:rFonts w:ascii="Arial MT"/>
          <w:w w:val="45"/>
          <w:sz w:val="19"/>
        </w:rPr>
        <w:t>Gelatin</w:t>
      </w:r>
    </w:p>
    <w:p>
      <w:pPr>
        <w:spacing w:before="3"/>
        <w:ind w:left="627" w:right="0" w:firstLine="0"/>
        <w:jc w:val="left"/>
        <w:rPr>
          <w:rFonts w:ascii="Arial MT"/>
          <w:sz w:val="19"/>
        </w:rPr>
      </w:pPr>
      <w:r>
        <w:rPr>
          <w:rFonts w:ascii="Arial MT"/>
          <w:w w:val="45"/>
          <w:sz w:val="19"/>
        </w:rPr>
        <w:t>X3</w:t>
      </w:r>
      <w:r>
        <w:rPr>
          <w:rFonts w:ascii="Arial MT"/>
          <w:spacing w:val="7"/>
          <w:w w:val="45"/>
          <w:sz w:val="19"/>
        </w:rPr>
        <w:t> </w:t>
      </w:r>
      <w:r>
        <w:rPr>
          <w:rFonts w:ascii="Arial MT"/>
          <w:w w:val="45"/>
          <w:sz w:val="19"/>
        </w:rPr>
        <w:t>=</w:t>
      </w:r>
      <w:r>
        <w:rPr>
          <w:rFonts w:ascii="Arial MT"/>
          <w:spacing w:val="15"/>
          <w:w w:val="45"/>
          <w:sz w:val="19"/>
        </w:rPr>
        <w:t> </w:t>
      </w:r>
      <w:r>
        <w:rPr>
          <w:rFonts w:ascii="Arial MT"/>
          <w:w w:val="45"/>
          <w:sz w:val="19"/>
        </w:rPr>
        <w:t>C:</w:t>
      </w:r>
      <w:r>
        <w:rPr>
          <w:rFonts w:ascii="Arial MT"/>
          <w:spacing w:val="14"/>
          <w:w w:val="45"/>
          <w:sz w:val="19"/>
        </w:rPr>
        <w:t> </w:t>
      </w:r>
      <w:r>
        <w:rPr>
          <w:rFonts w:ascii="Arial MT"/>
          <w:w w:val="45"/>
          <w:sz w:val="19"/>
        </w:rPr>
        <w:t>Silicon</w:t>
      </w:r>
      <w:r>
        <w:rPr>
          <w:rFonts w:ascii="Arial MT"/>
          <w:spacing w:val="8"/>
          <w:w w:val="45"/>
          <w:sz w:val="19"/>
        </w:rPr>
        <w:t> </w:t>
      </w:r>
      <w:r>
        <w:rPr>
          <w:rFonts w:ascii="Arial MT"/>
          <w:w w:val="45"/>
          <w:sz w:val="19"/>
        </w:rPr>
        <w:t>dioxide</w:t>
      </w:r>
    </w:p>
    <w:p>
      <w:pPr>
        <w:pStyle w:val="BodyText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</w: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0"/>
        <w:ind w:left="0" w:right="0" w:firstLine="0"/>
        <w:jc w:val="right"/>
        <w:rPr>
          <w:rFonts w:ascii="Arial MT"/>
          <w:sz w:val="20"/>
        </w:rPr>
      </w:pPr>
      <w:r>
        <w:rPr>
          <w:rFonts w:ascii="Arial MT"/>
          <w:color w:val="9F9F9F"/>
          <w:w w:val="60"/>
          <w:sz w:val="20"/>
        </w:rPr>
        <w:t>96</w:t>
      </w: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spacing w:before="2"/>
        <w:rPr>
          <w:rFonts w:ascii="Arial MT"/>
          <w:sz w:val="19"/>
        </w:rPr>
      </w:pPr>
    </w:p>
    <w:p>
      <w:pPr>
        <w:spacing w:before="0"/>
        <w:ind w:left="459" w:right="328" w:firstLine="0"/>
        <w:jc w:val="center"/>
        <w:rPr>
          <w:rFonts w:ascii="Arial MT"/>
          <w:sz w:val="21"/>
        </w:rPr>
      </w:pPr>
      <w:r>
        <w:rPr>
          <w:rFonts w:ascii="Arial MT"/>
          <w:color w:val="9F9F9F"/>
          <w:w w:val="60"/>
          <w:sz w:val="20"/>
        </w:rPr>
        <w:t>94</w:t>
      </w:r>
      <w:r>
        <w:rPr>
          <w:rFonts w:ascii="Arial MT"/>
          <w:w w:val="60"/>
          <w:position w:val="2"/>
          <w:sz w:val="21"/>
        </w:rPr>
        <w:t>2</w:t>
      </w:r>
    </w:p>
    <w:p>
      <w:pPr>
        <w:spacing w:before="70"/>
        <w:ind w:left="280" w:right="0" w:firstLine="0"/>
        <w:jc w:val="left"/>
        <w:rPr>
          <w:rFonts w:ascii="Arial MT"/>
          <w:sz w:val="25"/>
        </w:rPr>
      </w:pPr>
      <w:r>
        <w:rPr/>
        <w:br w:type="column"/>
      </w:r>
      <w:r>
        <w:rPr>
          <w:rFonts w:ascii="Arial MT"/>
          <w:w w:val="45"/>
          <w:sz w:val="25"/>
        </w:rPr>
        <w:t>A:</w:t>
      </w:r>
      <w:r>
        <w:rPr>
          <w:rFonts w:ascii="Arial MT"/>
          <w:spacing w:val="15"/>
          <w:w w:val="45"/>
          <w:sz w:val="25"/>
        </w:rPr>
        <w:t> </w:t>
      </w:r>
      <w:r>
        <w:rPr>
          <w:rFonts w:ascii="Arial MT"/>
          <w:w w:val="45"/>
          <w:sz w:val="25"/>
        </w:rPr>
        <w:t>Starch</w:t>
      </w:r>
      <w:r>
        <w:rPr>
          <w:rFonts w:ascii="Arial MT"/>
          <w:spacing w:val="8"/>
          <w:w w:val="45"/>
          <w:sz w:val="25"/>
        </w:rPr>
        <w:t> </w:t>
      </w:r>
      <w:r>
        <w:rPr>
          <w:rFonts w:ascii="Arial MT"/>
          <w:w w:val="45"/>
          <w:sz w:val="25"/>
        </w:rPr>
        <w:t>(%)</w:t>
      </w:r>
    </w:p>
    <w:p>
      <w:pPr>
        <w:spacing w:before="13"/>
        <w:ind w:left="408" w:right="0" w:firstLine="0"/>
        <w:jc w:val="left"/>
        <w:rPr>
          <w:rFonts w:ascii="Arial MT"/>
          <w:sz w:val="20"/>
        </w:rPr>
      </w:pPr>
      <w:r>
        <w:rPr/>
        <w:pict>
          <v:group style="position:absolute;margin-left:263.017639pt;margin-top:6.7492pt;width:236.15pt;height:320.05pt;mso-position-horizontal-relative:page;mso-position-vertical-relative:paragraph;z-index:-20764160" coordorigin="5260,135" coordsize="4723,6401">
            <v:shape style="position:absolute;left:5388;top:309;width:4495;height:5967" coordorigin="5388,309" coordsize="4495,5967" path="m7636,309l5388,6276,9883,6276,7636,309xe" filled="true" fillcolor="#c0c0c0" stroked="false">
              <v:path arrowok="t"/>
              <v:fill type="solid"/>
            </v:shape>
            <v:shape style="position:absolute;left:5388;top:309;width:4495;height:5967" coordorigin="5388,309" coordsize="4495,5967" path="m5388,6276l9883,6276,7636,309,5388,6276xe" filled="false" stroked="true" strokeweight=".445425pt" strokecolor="#000000">
              <v:path arrowok="t"/>
              <v:stroke dashstyle="solid"/>
            </v:shape>
            <v:shape style="position:absolute;left:5388;top:309;width:4495;height:5967" coordorigin="5388,309" coordsize="4495,5967" path="m7636,309l5388,6276,9883,6276,7636,309xe" filled="true" fillcolor="#ffff00" stroked="false">
              <v:path arrowok="t"/>
              <v:fill type="solid"/>
            </v:shape>
            <v:shape style="position:absolute;left:5388;top:309;width:4495;height:5967" coordorigin="5388,309" coordsize="4495,5967" path="m5388,6276l9883,6276,7636,309,5388,6276xe" filled="false" stroked="true" strokeweight=".445425pt" strokecolor="#000000">
              <v:path arrowok="t"/>
              <v:stroke dashstyle="solid"/>
            </v:shape>
            <v:shape style="position:absolute;left:6441;top:3218;width:3412;height:3058" coordorigin="6441,3219" coordsize="3412,3058" path="m7948,5494l7948,5454,7946,5420,7944,5402,7942,5382,7937,5346,7931,5308,7924,5270,7916,5234,7916,5230,7908,5196,7899,5158,7890,5122,7888,5112,7880,5084,7870,5046,7860,5010,7859,5010,7849,4972,7837,4936,7832,4916,7826,4898,7814,4860,7804,4828,7802,4824,7789,4786,7777,4748,7776,4744,7750,4674,7748,4666,7736,4636,7722,4600,7720,4592,7708,4562,7693,4524,7692,4520,7678,4488,7664,4452,7662,4450,7646,4412,7636,4388,7629,4376,7612,4338,7607,4328,7594,4302,7579,4270,7576,4264,7556,4226,7551,4218,7535,4190,7523,4168,7513,4152,7495,4120,7491,4114,7467,4078,7465,4078,7439,4040,7438,4040,7411,4006,7406,4002,7382,3976,7369,3964,7355,3952,7326,3932,7318,3928,7298,3916,7270,3904,7242,3898,7214,3898,7186,3902,7158,3910,7130,3924,7124,3928,7102,3942,7083,3958,7074,3943,7061,3927,7045,3909,7022,3891,7017,3887,6989,3875,6961,3871,6933,3877,6905,3889,6903,3891,6877,3909,6854,3927,6849,3933,6821,3963,6819,3965,6793,3997,6789,4003,6765,4039,6740,4077,6736,4083,6709,4131,6698,4153,6680,4185,6678,4189,6660,4227,6652,4243,6643,4263,6626,4301,6624,4305,6610,4339,6596,4373,6595,4375,6568,4447,6566,4451,6553,4487,6540,4525,6528,4563,6516,4599,6512,4615,6506,4637,6496,4675,6486,4711,6484,4721,6477,4749,6469,4787,6461,4823,6455,4859,6455,4861,6450,4899,6446,4935,6443,4973,6441,5011,6441,5047,6443,5085,6446,5121,6453,5159,6455,5167,6463,5197,6478,5233,6484,5245,6498,5271,6512,5289,6528,5309,6540,5321,6568,5343,6573,5345,6596,5359,6624,5371,6652,5379,6674,5383,6680,5385,6709,5385,6736,5385,6765,5385,6772,5383,6793,5379,6821,5373,6849,5363,6857,5359,6872,5382,6877,5388,6901,5420,6905,5424,6933,5454,6935,5456,6961,5482,6975,5494,6989,5506,7017,5528,7021,5532,7045,5548,7074,5568,7076,5570,7102,5584,7130,5600,7143,5606,7158,5614,7186,5626,7214,5640,7224,5644,7242,5650,7270,5660,7298,5670,7326,5680,7328,5682,7355,5688,7382,5696,7411,5704,7439,5710,7467,5716,7482,5718,7495,5720,7523,5724,7551,5728,7579,5732,7607,5734,7636,5734,7664,5734,7692,5734,7720,5732,7748,5728,7776,5724,7802,5718,7804,5718,7832,5706,7860,5692,7876,5682,7888,5670,7910,5644,7916,5632,7929,5606,7940,5570,7944,5544,7946,5532,7948,5494xm8754,3279l8745,3256,8731,3219,8744,3256,8754,3279xm8782,3354l8773,3331,8759,3293,8773,3331,8782,3354xm9853,6276l9829,6239,9827,6235,9798,6204,9795,6202,9771,6182,9742,6168,9731,6165,9714,6159,9686,6151,9658,6146,9630,6142,9602,6139,9574,6137,9546,6134,9518,6133,9490,6131,9461,6130,9433,6128,9405,6127,9405,6165,9383,6127,9377,6127,9349,6126,9321,6126,9293,6125,9265,6125,9237,6124,9209,6124,9181,6124,9152,6124,9124,6125,9096,6125,9068,6126,9040,6127,9034,6127,9012,6128,8984,6129,8956,6131,8928,6133,8900,6136,8871,6139,8843,6143,8815,6147,8787,6152,8759,6158,8735,6165,8731,6166,8703,6175,8675,6188,8648,6202,8647,6202,8619,6223,8602,6239,8590,6253,8575,6276,8590,6276,8619,6276,8647,6276,8675,6276,8703,6276,8731,6276,8759,6276,8787,6276,8815,6276,8843,6276,8871,6276,8900,6276,8928,6276,8956,6276,8984,6276,9012,6276,9040,6276,9068,6276,9096,6276,9124,6276,9152,6276,9181,6276,9209,6276,9237,6276,9265,6276,9293,6276,9321,6276,9349,6276,9377,6276,9405,6276,9433,6276,9461,6276,9490,6276,9518,6276,9546,6276,9574,6276,9602,6276,9630,6276,9658,6276,9686,6276,9714,6276,9742,6276,9771,6276,9798,6276,9827,6276,9853,6276xe" filled="true" fillcolor="#dfdfdf" stroked="false">
              <v:path arrowok="t"/>
              <v:fill type="solid"/>
            </v:shape>
            <v:shape style="position:absolute;left:5388;top:309;width:4495;height:5967" coordorigin="5388,309" coordsize="4495,5967" path="m5388,6276l9883,6276m9883,6276l7636,309m7636,309l5388,6276e" filled="false" stroked="true" strokeweight=".492943pt" strokecolor="#000000">
              <v:path arrowok="t"/>
              <v:stroke dashstyle="solid"/>
            </v:shape>
            <v:shape style="position:absolute;left:5388;top:309;width:4559;height:6222" coordorigin="5388,309" coordsize="4559,6222" path="m7636,309l7508,309m5388,6276l5484,6531m9947,6107l9883,6276m8197,1801l6946,1801m5950,4785l6607,6531m9385,4616l8759,6276e" filled="false" stroked="true" strokeweight=".492943pt" strokecolor="#9f9f9f">
              <v:path arrowok="t"/>
              <v:stroke dashstyle="solid"/>
            </v:shape>
            <v:line style="position:absolute" from="6384,3293" to="8038,3293" stroked="true" strokeweight=".665126pt" strokecolor="#9f9f9f">
              <v:stroke dashstyle="solid"/>
            </v:line>
            <v:shape style="position:absolute;left:6511;top:3123;width:2312;height:3408" coordorigin="6512,3123" coordsize="2312,3408" path="m6512,3293l7731,6531m8823,3123l7636,6276e" filled="false" stroked="true" strokeweight=".492943pt" strokecolor="#9f9f9f">
              <v:path arrowok="t"/>
              <v:stroke dashstyle="solid"/>
            </v:shape>
            <v:shape style="position:absolute;left:5822;top:4785;width:3499;height:2" coordorigin="5822,4785" coordsize="3499,0" path="m5822,4785l6210,4785m8030,4785l9321,4785e" filled="false" stroked="true" strokeweight=".665126pt" strokecolor="#9f9f9f">
              <v:path arrowok="t"/>
              <v:stroke dashstyle="solid"/>
            </v:shape>
            <v:shape style="position:absolute;left:5260;top:139;width:4719;height:6392" coordorigin="5260,139" coordsize="4719,6392" path="m7074,1801l8855,6531m8261,1632l6512,6276m9883,6276l5260,6276m7636,309l9979,6531m7699,139l5388,6276e" filled="false" stroked="true" strokeweight=".492943pt" strokecolor="#9f9f9f">
              <v:path arrowok="t"/>
              <v:stroke dashstyle="solid"/>
            </v:shape>
            <v:shape style="position:absolute;left:6441;top:3367;width:3412;height:2909" coordorigin="6441,3368" coordsize="3412,2909" path="m7022,3889l7045,3909,7061,3927,7074,3943,7086,3964,7102,3992,7106,4002,7121,4039,7130,4060,7135,4076,7146,4114,7157,4151,7158,4155,7166,4188,7173,4226,7180,4263,7186,4297,7186,4300,7186,4300,7191,4337,7196,4375,7199,4412,7203,4449,7205,4486,7206,4524,7208,4561,7208,4598,7208,4635,7206,4673,7204,4710,7201,4747,7197,4785,7193,4822,7187,4860,7186,4868,7180,4897,7172,4934,7162,4971,7158,4988,7151,5009,7138,5046,7130,5068,7123,5083,7105,5120,7102,5128,7084,5158,7074,5176,7060,5195,7045,5216,7032,5232,7017,5248,6996,5270,6989,5276,6961,5300,6951,5307,6933,5321,6905,5337,6890,5344,6877,5351,6849,5362,6821,5371,6793,5378,6772,5381,6765,5383,6736,5386,6709,5386,6680,5383,6674,5381,6652,5377,6624,5369,6596,5358,6573,5344,6568,5341,6540,5320,6528,5307,6512,5288,6498,5270,6484,5244,6478,5232,6463,5195,6455,5166,6453,5158,6446,5120,6443,5083,6441,5046,6441,5009,6443,4971,6446,4934,6450,4897,6455,4860,6455,4858,6461,4822,6469,4785,6477,4747,6484,4720,6486,4710,6496,4673,6506,4635,6512,4616,6516,4598,6528,4561,6540,4526,6540,4524,6553,4486,6566,4449,6568,4446,6581,4412,6595,4375,6596,4372,6610,4337,6624,4305,6626,4300,6643,4263,6652,4242,6660,4226,6678,4188,6680,4185,6698,4151,6709,4131,6718,4114,6736,4083,6740,4076,6763,4039,6765,4038,6789,4002,6793,3997,6819,3964,6821,3963,6849,3932,6854,3927,6877,3907,6903,3889,6905,3889,6933,3877,6961,3872,6989,3874,7017,3886,7022,3889m8787,3368l8787,3368,8787,3368,8801,3405,8801,3405m8575,6276l8590,6254,8602,6239,8619,6224,8647,6203,8648,6202,8675,6188,8703,6176,8731,6167,8735,6165,8759,6159,8787,6153,8815,6148,8843,6143,8871,6139,8900,6137,8928,6134,8956,6132,8984,6130,9012,6129,9035,6127,9040,6127,9068,6127,9096,6126,9124,6126,9152,6125,9181,6125,9209,6125,9237,6125,9265,6126,9293,6126,9321,6127,9349,6127,9377,6127,9383,6127,9383,6127,9405,6128,9433,6129,9461,6131,9490,6132,9518,6133,9546,6135,9574,6138,9602,6140,9630,6143,9658,6147,9686,6152,9714,6160,9731,6165,9742,6169,9771,6183,9795,6202,9798,6205,9827,6236,9829,6239,9853,6276m7318,3927l7326,3932,7355,3953,7369,3964,7382,3977,7406,4002,7411,4007,7438,4039,7439,4040,7465,4076,7467,4078,7491,4114,7495,4120,7513,4151,7523,4167,7535,4188,7551,4217,7556,4226,7576,4263,7579,4270,7594,4300,7607,4328,7612,4337,7629,4375,7636,4388,7646,4412,7662,4449,7664,4452,7678,4486,7692,4520,7693,4524,7708,4561,7720,4592,7722,4598,7736,4635,7748,4667,7750,4673,7763,4710,7776,4746,7777,4747,7789,4785,7802,4822,7804,4828,7814,4860,7826,4897,7832,4916,7837,4934,7849,4971,7859,5009,7860,5010,7870,5046,7880,5083,7888,5112,7890,5120,7899,5158,7908,5195,7916,5231,7916,5232,7924,5270,7931,5307,7937,5344,7942,5381,7944,5403,7946,5419,7946,5419,7948,5456,7948,5493,7946,5530,7944,5544,7940,5568,7929,5606,7916,5632,7910,5643,7888,5669,7876,5680,7860,5691,7832,5706,7804,5717,7802,5717,7776,5724,7748,5729,7720,5733,7692,5734,7664,5735,7636,5734,7607,5733,7579,5731,7551,5728,7523,5724,7495,5720,7482,5717,7467,5715,7439,5709,7411,5703,7382,5696,7355,5688,7328,5680,7326,5680,7298,5671,7270,5660,7242,5650,7224,5643,7214,5640,7186,5626,7158,5613,7143,5606,7130,5600,7102,5583,7076,5568,7074,5567,7045,5548,7021,5530,7017,5528,6989,5507,6975,5493,6961,5482,6935,5456,6933,5455,6905,5424,6901,5419,6877,5388,6872,5381,6849,5347,6847,5344,6827,5307,6821,5296,6809,5270,6793,5232,6793,5231,6780,5195,6770,5158,6765,5134,6761,5120,6755,5083,6750,5046,6746,5009,6744,4971,6743,4934,6743,4897,6745,4860,6747,4822,6751,4785,6755,4747,6760,4710,6765,4683,6766,4673,6773,4635,6780,4598,6789,4561,6793,4548,6798,4524,6809,4486,6820,4449,6821,4446,6832,4412,6844,4375,6849,4361,6857,4337,6872,4300,6877,4287,6887,4263,6903,4226,6905,4223,6921,4188,6933,4165,6940,4151,6961,4114,6961,4114,6984,4076,6989,4069,7010,4039,7017,4030,7040,4002,7045,3996,7074,3966,7075,3964,7102,3942,7124,3927,7130,3923,7158,3910,7186,3902,7214,3898,7242,3899,7270,3905,7298,3916,7318,3927m8787,3368l8787,3368,8787,3368,8801,3405,8801,3405e" filled="false" stroked="true" strokeweight=".492943pt" strokecolor="#000000">
              <v:path arrowok="t"/>
              <v:stroke dashstyle="solid"/>
            </v:shape>
            <v:rect style="position:absolute;left:6083;top:5129;width:1075;height:227" filled="true" fillcolor="#ffffff" stroked="false">
              <v:fill type="solid"/>
            </v:rect>
            <v:rect style="position:absolute;left:6083;top:5129;width:1075;height:227" filled="false" stroked="true" strokeweight=".650507pt" strokecolor="#000000">
              <v:stroke dashstyle="solid"/>
            </v:rect>
            <v:rect style="position:absolute;left:8038;top:3126;width:1491;height:226" filled="true" fillcolor="#ffffff" stroked="false">
              <v:fill type="solid"/>
            </v:rect>
            <v:rect style="position:absolute;left:8038;top:3126;width:1491;height:226" filled="false" stroked="true" strokeweight=".657414pt" strokecolor="#000000">
              <v:stroke dashstyle="solid"/>
            </v:rect>
            <v:shape style="position:absolute;left:7581;top:239;width:101;height:125" type="#_x0000_t75" stroked="false">
              <v:imagedata r:id="rId113" o:title=""/>
            </v:shape>
            <v:shape style="position:absolute;left:5333;top:6207;width:101;height:124" type="#_x0000_t75" stroked="false">
              <v:imagedata r:id="rId114" o:title=""/>
            </v:shape>
            <v:shape style="position:absolute;left:9829;top:6207;width:101;height:124" type="#_x0000_t75" stroked="false">
              <v:imagedata r:id="rId115" o:title=""/>
            </v:shape>
            <v:shape style="position:absolute;left:6458;top:3223;width:101;height:124" type="#_x0000_t75" stroked="false">
              <v:imagedata r:id="rId116" o:title=""/>
            </v:shape>
            <v:shape style="position:absolute;left:8710;top:3229;width:89;height:112" coordorigin="8711,3229" coordsize="89,112" path="m8755,3229l8738,3234,8724,3246,8714,3263,8711,3285,8714,3307,8724,3325,8738,3337,8755,3341,8772,3337,8786,3325,8796,3307,8799,3285,8796,3263,8786,3246,8772,3234,8755,3229xe" filled="true" fillcolor="#b40000" stroked="false">
              <v:path arrowok="t"/>
              <v:fill type="solid"/>
            </v:shape>
            <v:shape style="position:absolute;left:8710;top:3229;width:89;height:112" coordorigin="8711,3229" coordsize="89,112" path="m8711,3285l8714,3307,8724,3325,8738,3337,8755,3341,8772,3337,8786,3325,8796,3307,8799,3285,8796,3263,8786,3246,8772,3234,8755,3229,8738,3234,8724,3246,8714,3263,8711,3285xe" filled="false" stroked="true" strokeweight=".453316pt" strokecolor="#000000">
              <v:path arrowok="t"/>
              <v:stroke dashstyle="solid"/>
            </v:shape>
            <v:shape style="position:absolute;left:7581;top:6207;width:101;height:124" type="#_x0000_t75" stroked="false">
              <v:imagedata r:id="rId117" o:title=""/>
            </v:shape>
            <v:shape style="position:absolute;left:7581;top:4219;width:101;height:124" type="#_x0000_t75" stroked="false">
              <v:imagedata r:id="rId118" o:title=""/>
            </v:shape>
            <v:shape style="position:absolute;left:7581;top:2229;width:101;height:124" type="#_x0000_t75" stroked="false">
              <v:imagedata r:id="rId119" o:title=""/>
            </v:shape>
            <v:shape style="position:absolute;left:8710;top:5219;width:89;height:113" coordorigin="8711,5219" coordsize="89,113" path="m8755,5219l8738,5223,8724,5236,8714,5253,8711,5275,8714,5297,8724,5315,8738,5327,8755,5332,8772,5327,8786,5315,8796,5297,8799,5275,8796,5253,8786,5236,8772,5223,8755,5219xe" filled="true" fillcolor="#b40000" stroked="false">
              <v:path arrowok="t"/>
              <v:fill type="solid"/>
            </v:shape>
            <v:shape style="position:absolute;left:8710;top:5219;width:89;height:113" coordorigin="8711,5219" coordsize="89,113" path="m8711,5275l8714,5297,8724,5315,8738,5327,8755,5332,8772,5327,8786,5315,8796,5297,8799,5275,8796,5253,8786,5236,8772,5223,8755,5219,8738,5223,8724,5236,8714,5253,8711,5275xe" filled="false" stroked="true" strokeweight=".452396pt" strokecolor="#000000">
              <v:path arrowok="t"/>
              <v:stroke dashstyle="solid"/>
            </v:shape>
            <v:rect style="position:absolute;left:6210;top:4542;width:1820;height:1480" filled="true" fillcolor="#ffffff" stroked="false">
              <v:fill type="solid"/>
            </v:rect>
            <v:shape style="position:absolute;left:6210;top:4542;width:1820;height:1734" coordorigin="6210,4543" coordsize="1820,1734" path="m6210,4543l8030,4543,8030,6022,6210,6022,6210,4543m6210,6022l6210,6276e" filled="false" stroked="true" strokeweight=".985886pt" strokecolor="#8080ff">
              <v:path arrowok="t"/>
              <v:stroke dashstyle="solid"/>
            </v:shape>
            <v:shape style="position:absolute;left:6194;top:6255;width:26;height:28" coordorigin="6194,6256" coordsize="26,28" path="m6214,6256l6200,6256,6194,6261,6194,6269,6194,6276,6200,6284,6214,6284,6219,6276,6219,6261,6214,6256xe" filled="true" fillcolor="#8080ff" stroked="false">
              <v:path arrowok="t"/>
              <v:fill type="solid"/>
            </v:shape>
            <v:shape style="position:absolute;left:6194;top:6255;width:26;height:28" coordorigin="6194,6256" coordsize="26,28" path="m6194,6269l6194,6276,6200,6284,6207,6284,6214,6284,6219,6276,6219,6269,6219,6261,6214,6256,6207,6256,6200,6256,6194,6261,6194,6269xe" filled="false" stroked="true" strokeweight=".948977pt" strokecolor="#8080ff">
              <v:path arrowok="t"/>
              <v:stroke dashstyle="solid"/>
            </v:shape>
            <w10:wrap type="none"/>
          </v:group>
        </w:pict>
      </w:r>
      <w:r>
        <w:rPr>
          <w:rFonts w:ascii="Arial MT"/>
          <w:color w:val="9F9F9F"/>
          <w:w w:val="60"/>
          <w:sz w:val="20"/>
        </w:rPr>
        <w:t>98</w:t>
      </w:r>
      <w:r>
        <w:rPr>
          <w:rFonts w:ascii="Arial MT"/>
          <w:w w:val="60"/>
          <w:position w:val="2"/>
          <w:sz w:val="21"/>
        </w:rPr>
        <w:t>2</w:t>
      </w:r>
      <w:r>
        <w:rPr>
          <w:rFonts w:ascii="Arial MT"/>
          <w:spacing w:val="32"/>
          <w:w w:val="60"/>
          <w:position w:val="2"/>
          <w:sz w:val="21"/>
        </w:rPr>
        <w:t> </w:t>
      </w:r>
      <w:r>
        <w:rPr>
          <w:rFonts w:ascii="Arial MT"/>
          <w:color w:val="9F9F9F"/>
          <w:w w:val="60"/>
          <w:position w:val="17"/>
          <w:sz w:val="20"/>
        </w:rPr>
        <w:t>1</w:t>
      </w:r>
    </w:p>
    <w:p>
      <w:pPr>
        <w:pStyle w:val="BodyText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</w: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30"/>
        </w:rPr>
      </w:pPr>
    </w:p>
    <w:p>
      <w:pPr>
        <w:spacing w:before="0"/>
        <w:ind w:left="243" w:right="0" w:firstLine="0"/>
        <w:jc w:val="left"/>
        <w:rPr>
          <w:rFonts w:ascii="Arial MT"/>
          <w:sz w:val="20"/>
        </w:rPr>
      </w:pPr>
      <w:r>
        <w:rPr>
          <w:rFonts w:ascii="Arial MT"/>
          <w:color w:val="9F9F9F"/>
          <w:w w:val="49"/>
          <w:sz w:val="20"/>
        </w:rPr>
        <w:t>3</w:t>
      </w: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spacing w:before="7"/>
        <w:rPr>
          <w:rFonts w:ascii="Arial MT"/>
          <w:sz w:val="21"/>
        </w:rPr>
      </w:pPr>
    </w:p>
    <w:p>
      <w:pPr>
        <w:spacing w:before="0"/>
        <w:ind w:left="44" w:right="0" w:firstLine="0"/>
        <w:jc w:val="left"/>
        <w:rPr>
          <w:rFonts w:ascii="Arial MT"/>
          <w:sz w:val="20"/>
        </w:rPr>
      </w:pPr>
      <w:r>
        <w:rPr/>
        <w:pict>
          <v:shape style="position:absolute;margin-left:438.93576pt;margin-top:7.04699pt;width:7.75pt;height:11.55pt;mso-position-horizontal-relative:page;mso-position-vertical-relative:paragraph;z-index:-20762624" type="#_x0000_t202" filled="false" stroked="false">
            <v:textbox inset="0,0,0,0">
              <w:txbxContent>
                <w:p>
                  <w:pPr>
                    <w:spacing w:line="229" w:lineRule="exact" w:before="0"/>
                    <w:ind w:left="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w w:val="45"/>
                      <w:sz w:val="20"/>
                    </w:rPr>
                    <w:t>eng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9F9F9F"/>
          <w:spacing w:val="-6"/>
          <w:w w:val="50"/>
          <w:position w:val="14"/>
          <w:sz w:val="20"/>
        </w:rPr>
        <w:t>5</w:t>
      </w:r>
      <w:r>
        <w:rPr>
          <w:rFonts w:ascii="Arial MT"/>
          <w:spacing w:val="-6"/>
          <w:w w:val="50"/>
          <w:sz w:val="20"/>
        </w:rPr>
        <w:t>StdErr(Tensile</w:t>
      </w:r>
      <w:r>
        <w:rPr>
          <w:rFonts w:ascii="Arial MT"/>
          <w:spacing w:val="-7"/>
          <w:w w:val="50"/>
          <w:sz w:val="20"/>
        </w:rPr>
        <w:t> </w:t>
      </w:r>
      <w:r>
        <w:rPr>
          <w:rFonts w:ascii="Arial MT"/>
          <w:spacing w:val="-5"/>
          <w:w w:val="50"/>
          <w:sz w:val="20"/>
        </w:rPr>
        <w:t>str</w:t>
      </w:r>
      <w:r>
        <w:rPr>
          <w:rFonts w:ascii="Arial MT"/>
          <w:spacing w:val="45"/>
          <w:sz w:val="20"/>
        </w:rPr>
        <w:t> </w:t>
      </w:r>
      <w:r>
        <w:rPr>
          <w:rFonts w:ascii="Arial MT"/>
          <w:spacing w:val="-5"/>
          <w:w w:val="50"/>
          <w:sz w:val="20"/>
        </w:rPr>
        <w:t>th):</w:t>
      </w:r>
      <w:r>
        <w:rPr>
          <w:rFonts w:ascii="Arial MT"/>
          <w:spacing w:val="1"/>
          <w:w w:val="50"/>
          <w:sz w:val="20"/>
        </w:rPr>
        <w:t> </w:t>
      </w:r>
      <w:r>
        <w:rPr>
          <w:rFonts w:ascii="Arial MT"/>
          <w:spacing w:val="-5"/>
          <w:w w:val="50"/>
          <w:sz w:val="20"/>
        </w:rPr>
        <w:t>0.0246581</w:t>
      </w:r>
    </w:p>
    <w:p>
      <w:pPr>
        <w:spacing w:after="0"/>
        <w:jc w:val="left"/>
        <w:rPr>
          <w:rFonts w:ascii="Arial MT"/>
          <w:sz w:val="20"/>
        </w:rPr>
        <w:sectPr>
          <w:pgSz w:w="11910" w:h="16840"/>
          <w:pgMar w:header="0" w:footer="987" w:top="1580" w:bottom="1260" w:left="1520" w:right="160"/>
          <w:cols w:num="4" w:equalWidth="0">
            <w:col w:w="1760" w:space="2364"/>
            <w:col w:w="1303" w:space="39"/>
            <w:col w:w="993" w:space="39"/>
            <w:col w:w="373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6"/>
        </w:rPr>
      </w:pPr>
    </w:p>
    <w:p>
      <w:pPr>
        <w:spacing w:after="0"/>
        <w:rPr>
          <w:rFonts w:ascii="Arial MT"/>
          <w:sz w:val="26"/>
        </w:rPr>
        <w:sectPr>
          <w:type w:val="continuous"/>
          <w:pgSz w:w="11910" w:h="16840"/>
          <w:pgMar w:top="1320" w:bottom="1260" w:left="1520" w:right="160"/>
        </w:sectPr>
      </w:pPr>
    </w:p>
    <w:p>
      <w:pPr>
        <w:pStyle w:val="BodyText"/>
        <w:spacing w:before="2"/>
        <w:rPr>
          <w:rFonts w:ascii="Arial MT"/>
          <w:sz w:val="23"/>
        </w:rPr>
      </w:pPr>
    </w:p>
    <w:p>
      <w:pPr>
        <w:spacing w:before="0"/>
        <w:ind w:left="0" w:right="0" w:firstLine="0"/>
        <w:jc w:val="right"/>
        <w:rPr>
          <w:rFonts w:ascii="Arial MT"/>
          <w:sz w:val="20"/>
        </w:rPr>
      </w:pPr>
      <w:r>
        <w:rPr>
          <w:rFonts w:ascii="Arial MT"/>
          <w:color w:val="9F9F9F"/>
          <w:w w:val="60"/>
          <w:sz w:val="20"/>
        </w:rPr>
        <w:t>92</w:t>
      </w: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spacing w:before="2"/>
        <w:rPr>
          <w:rFonts w:ascii="Arial MT"/>
          <w:sz w:val="19"/>
        </w:rPr>
      </w:pPr>
    </w:p>
    <w:p>
      <w:pPr>
        <w:spacing w:before="0"/>
        <w:ind w:left="0" w:right="493" w:firstLine="0"/>
        <w:jc w:val="right"/>
        <w:rPr>
          <w:rFonts w:ascii="Arial MT"/>
          <w:sz w:val="21"/>
        </w:rPr>
      </w:pPr>
      <w:r>
        <w:rPr>
          <w:rFonts w:ascii="Arial MT"/>
          <w:color w:val="9F9F9F"/>
          <w:w w:val="60"/>
          <w:sz w:val="20"/>
        </w:rPr>
        <w:t>90</w:t>
      </w:r>
      <w:r>
        <w:rPr>
          <w:rFonts w:ascii="Arial MT"/>
          <w:w w:val="60"/>
          <w:position w:val="2"/>
          <w:sz w:val="21"/>
        </w:rPr>
        <w:t>2</w:t>
      </w:r>
    </w:p>
    <w:p>
      <w:pPr>
        <w:spacing w:line="226" w:lineRule="exact" w:before="145"/>
        <w:ind w:left="0" w:right="309" w:firstLine="0"/>
        <w:jc w:val="right"/>
        <w:rPr>
          <w:rFonts w:ascii="Arial MT"/>
          <w:sz w:val="20"/>
        </w:rPr>
      </w:pPr>
      <w:r>
        <w:rPr>
          <w:rFonts w:ascii="Arial MT"/>
          <w:color w:val="9F9F9F"/>
          <w:w w:val="49"/>
          <w:sz w:val="20"/>
        </w:rPr>
        <w:t>9</w:t>
      </w:r>
    </w:p>
    <w:p>
      <w:pPr>
        <w:pStyle w:val="Heading2"/>
        <w:tabs>
          <w:tab w:pos="3578" w:val="right" w:leader="none"/>
        </w:tabs>
        <w:spacing w:line="360" w:lineRule="exact" w:before="100"/>
        <w:ind w:left="381"/>
        <w:rPr>
          <w:sz w:val="20"/>
        </w:rPr>
      </w:pPr>
      <w:r>
        <w:rPr/>
        <w:br w:type="column"/>
      </w:r>
      <w:r>
        <w:rPr>
          <w:w w:val="45"/>
        </w:rPr>
        <w:t>Tensile</w:t>
      </w:r>
      <w:r>
        <w:rPr>
          <w:spacing w:val="-2"/>
          <w:w w:val="45"/>
        </w:rPr>
        <w:t> </w:t>
      </w:r>
      <w:r>
        <w:rPr>
          <w:w w:val="45"/>
        </w:rPr>
        <w:t>strength:</w:t>
      </w:r>
      <w:r>
        <w:rPr>
          <w:spacing w:val="129"/>
        </w:rPr>
        <w:t> </w:t>
      </w:r>
      <w:r>
        <w:rPr>
          <w:w w:val="45"/>
        </w:rPr>
        <w:t>4.17703</w:t>
        <w:tab/>
      </w:r>
      <w:r>
        <w:rPr>
          <w:color w:val="9F9F9F"/>
          <w:w w:val="45"/>
          <w:position w:val="12"/>
          <w:sz w:val="20"/>
        </w:rPr>
        <w:t>7</w:t>
      </w:r>
    </w:p>
    <w:p>
      <w:pPr>
        <w:pStyle w:val="Heading2"/>
        <w:spacing w:line="286" w:lineRule="exact"/>
        <w:ind w:left="381"/>
      </w:pPr>
      <w:r>
        <w:rPr/>
        <w:pict>
          <v:shape style="position:absolute;margin-left:304.501221pt;margin-top:14.183067pt;width:5.4pt;height:10.7pt;mso-position-horizontal-relative:page;mso-position-vertical-relative:paragraph;z-index:15877120" type="#_x0000_t202" filled="true" fillcolor="#ffffff" stroked="false">
            <v:textbox inset="0,0,0,0">
              <w:txbxContent>
                <w:p>
                  <w:pPr>
                    <w:spacing w:line="211" w:lineRule="exact" w:before="2"/>
                    <w:ind w:left="18" w:right="-29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pacing w:val="-2"/>
                      <w:w w:val="50"/>
                      <w:sz w:val="20"/>
                    </w:rPr>
                    <w:t>Te</w:t>
                  </w:r>
                </w:p>
              </w:txbxContent>
            </v:textbox>
            <v:fill type="solid"/>
            <w10:wrap type="none"/>
          </v:shape>
        </w:pict>
      </w:r>
      <w:r>
        <w:rPr>
          <w:w w:val="45"/>
        </w:rPr>
        <w:t>Disintegration</w:t>
      </w:r>
      <w:r>
        <w:rPr>
          <w:spacing w:val="3"/>
          <w:w w:val="45"/>
        </w:rPr>
        <w:t> </w:t>
      </w:r>
      <w:r>
        <w:rPr>
          <w:w w:val="45"/>
        </w:rPr>
        <w:t>time</w:t>
      </w:r>
      <w:r>
        <w:rPr>
          <w:spacing w:val="29"/>
          <w:w w:val="45"/>
        </w:rPr>
        <w:t> </w:t>
      </w:r>
      <w:r>
        <w:rPr>
          <w:w w:val="45"/>
        </w:rPr>
        <w:t>2.50101</w:t>
      </w:r>
    </w:p>
    <w:p>
      <w:pPr>
        <w:pStyle w:val="Heading2"/>
        <w:tabs>
          <w:tab w:pos="1546" w:val="right" w:leader="none"/>
        </w:tabs>
        <w:spacing w:line="285" w:lineRule="exact"/>
        <w:ind w:left="381"/>
      </w:pPr>
      <w:r>
        <w:rPr/>
        <w:pict>
          <v:shape style="position:absolute;margin-left:310.410828pt;margin-top:.044694pt;width:90.5pt;height:28.2pt;mso-position-horizontal-relative:page;mso-position-vertical-relative:paragraph;z-index:-20765184" type="#_x0000_t202" filled="false" stroked="false">
            <v:textbox inset="0,0,0,0">
              <w:txbxContent>
                <w:p>
                  <w:pPr>
                    <w:spacing w:line="229" w:lineRule="exact" w:before="0"/>
                    <w:ind w:left="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pacing w:val="-4"/>
                      <w:w w:val="50"/>
                      <w:sz w:val="20"/>
                    </w:rPr>
                    <w:t>nsile</w:t>
                  </w:r>
                  <w:r>
                    <w:rPr>
                      <w:rFonts w:ascii="Arial MT"/>
                      <w:spacing w:val="-5"/>
                      <w:w w:val="50"/>
                      <w:sz w:val="20"/>
                    </w:rPr>
                    <w:t> </w:t>
                  </w:r>
                  <w:r>
                    <w:rPr>
                      <w:rFonts w:ascii="Arial MT"/>
                      <w:spacing w:val="-4"/>
                      <w:w w:val="50"/>
                      <w:sz w:val="20"/>
                    </w:rPr>
                    <w:t>strength:</w:t>
                  </w:r>
                  <w:r>
                    <w:rPr>
                      <w:rFonts w:ascii="Arial MT"/>
                      <w:spacing w:val="2"/>
                      <w:w w:val="50"/>
                      <w:sz w:val="20"/>
                    </w:rPr>
                    <w:t> </w:t>
                  </w:r>
                  <w:r>
                    <w:rPr>
                      <w:rFonts w:ascii="Arial MT"/>
                      <w:spacing w:val="-3"/>
                      <w:w w:val="50"/>
                      <w:sz w:val="20"/>
                    </w:rPr>
                    <w:t>2.34342</w:t>
                  </w:r>
                </w:p>
                <w:p>
                  <w:pPr>
                    <w:spacing w:before="103"/>
                    <w:ind w:left="606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pacing w:val="-5"/>
                      <w:w w:val="50"/>
                      <w:sz w:val="20"/>
                    </w:rPr>
                    <w:t>Disintegration</w:t>
                  </w:r>
                  <w:r>
                    <w:rPr>
                      <w:rFonts w:ascii="Arial MT"/>
                      <w:spacing w:val="-3"/>
                      <w:w w:val="50"/>
                      <w:sz w:val="20"/>
                    </w:rPr>
                    <w:t> </w:t>
                  </w:r>
                  <w:r>
                    <w:rPr>
                      <w:rFonts w:ascii="Arial MT"/>
                      <w:spacing w:val="-4"/>
                      <w:w w:val="50"/>
                      <w:sz w:val="20"/>
                    </w:rPr>
                    <w:t>time:</w:t>
                  </w:r>
                  <w:r>
                    <w:rPr>
                      <w:rFonts w:ascii="Arial MT"/>
                      <w:spacing w:val="5"/>
                      <w:w w:val="50"/>
                      <w:sz w:val="20"/>
                    </w:rPr>
                    <w:t> </w:t>
                  </w:r>
                  <w:r>
                    <w:rPr>
                      <w:rFonts w:ascii="Arial MT"/>
                      <w:spacing w:val="-4"/>
                      <w:w w:val="50"/>
                      <w:sz w:val="20"/>
                    </w:rPr>
                    <w:t>0.158086</w:t>
                  </w:r>
                </w:p>
              </w:txbxContent>
            </v:textbox>
            <w10:wrap type="none"/>
          </v:shape>
        </w:pict>
      </w:r>
      <w:r>
        <w:rPr>
          <w:w w:val="60"/>
        </w:rPr>
        <w:t>X1</w:t>
        <w:tab/>
        <w:t>90</w:t>
      </w:r>
    </w:p>
    <w:p>
      <w:pPr>
        <w:pStyle w:val="Heading2"/>
        <w:tabs>
          <w:tab w:pos="1840" w:val="right" w:leader="none"/>
        </w:tabs>
        <w:spacing w:line="286" w:lineRule="exact"/>
        <w:ind w:left="381"/>
      </w:pPr>
      <w:r>
        <w:rPr>
          <w:w w:val="60"/>
        </w:rPr>
        <w:t>X2</w:t>
        <w:tab/>
        <w:t>7.53527</w:t>
      </w:r>
    </w:p>
    <w:p>
      <w:pPr>
        <w:pStyle w:val="Heading2"/>
        <w:tabs>
          <w:tab w:pos="1840" w:val="right" w:leader="none"/>
        </w:tabs>
        <w:spacing w:line="279" w:lineRule="exact"/>
        <w:ind w:left="381"/>
      </w:pPr>
      <w:r>
        <w:rPr/>
        <w:pict>
          <v:shape style="position:absolute;margin-left:430.584412pt;margin-top:8.764032pt;width:62.15pt;height:11.35pt;mso-position-horizontal-relative:page;mso-position-vertical-relative:paragraph;z-index:-20763136" type="#_x0000_t202" filled="true" fillcolor="#ffffff" stroked="true" strokeweight=".662492pt" strokecolor="#000000">
            <v:textbox inset="0,0,0,0">
              <w:txbxContent>
                <w:p>
                  <w:pPr>
                    <w:spacing w:line="211" w:lineRule="exact" w:before="2"/>
                    <w:ind w:left="22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pacing w:val="-4"/>
                      <w:w w:val="50"/>
                      <w:sz w:val="20"/>
                    </w:rPr>
                    <w:t>Disintegration time:</w:t>
                  </w:r>
                  <w:r>
                    <w:rPr>
                      <w:rFonts w:ascii="Arial MT"/>
                      <w:spacing w:val="4"/>
                      <w:w w:val="50"/>
                      <w:sz w:val="20"/>
                    </w:rPr>
                    <w:t> </w:t>
                  </w:r>
                  <w:r>
                    <w:rPr>
                      <w:rFonts w:ascii="Arial MT"/>
                      <w:spacing w:val="-4"/>
                      <w:w w:val="50"/>
                      <w:sz w:val="20"/>
                    </w:rPr>
                    <w:t>0.158086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w w:val="60"/>
        </w:rPr>
        <w:t>X3</w:t>
        <w:tab/>
        <w:t>2.46473</w:t>
      </w:r>
    </w:p>
    <w:p>
      <w:pPr>
        <w:spacing w:line="218" w:lineRule="auto" w:before="0"/>
        <w:ind w:left="3900" w:right="0" w:firstLine="0"/>
        <w:jc w:val="left"/>
        <w:rPr>
          <w:rFonts w:ascii="Arial MT"/>
          <w:sz w:val="20"/>
        </w:rPr>
      </w:pPr>
      <w:r>
        <w:rPr>
          <w:rFonts w:ascii="Arial MT"/>
          <w:w w:val="60"/>
          <w:position w:val="-14"/>
          <w:sz w:val="21"/>
        </w:rPr>
        <w:t>2</w:t>
      </w:r>
      <w:r>
        <w:rPr>
          <w:rFonts w:ascii="Arial MT"/>
          <w:spacing w:val="44"/>
          <w:position w:val="-14"/>
          <w:sz w:val="21"/>
        </w:rPr>
        <w:t> </w:t>
      </w:r>
      <w:r>
        <w:rPr>
          <w:rFonts w:ascii="Arial MT"/>
          <w:color w:val="9F9F9F"/>
          <w:w w:val="60"/>
          <w:sz w:val="20"/>
        </w:rPr>
        <w:t>9</w:t>
      </w:r>
    </w:p>
    <w:p>
      <w:pPr>
        <w:tabs>
          <w:tab w:pos="1841" w:val="left" w:leader="none"/>
          <w:tab w:pos="2964" w:val="left" w:leader="none"/>
          <w:tab w:pos="4088" w:val="left" w:leader="none"/>
        </w:tabs>
        <w:spacing w:line="226" w:lineRule="exact" w:before="177"/>
        <w:ind w:left="717" w:right="0" w:firstLine="0"/>
        <w:jc w:val="left"/>
        <w:rPr>
          <w:rFonts w:ascii="Arial MT"/>
          <w:sz w:val="20"/>
        </w:rPr>
      </w:pPr>
      <w:r>
        <w:rPr>
          <w:rFonts w:ascii="Arial MT"/>
          <w:color w:val="9F9F9F"/>
          <w:w w:val="60"/>
          <w:sz w:val="20"/>
        </w:rPr>
        <w:t>7</w:t>
        <w:tab/>
        <w:t>5</w:t>
        <w:tab/>
        <w:t>3</w:t>
        <w:tab/>
        <w:t>1</w:t>
      </w:r>
    </w:p>
    <w:p>
      <w:pPr>
        <w:spacing w:after="0" w:line="226" w:lineRule="exact"/>
        <w:jc w:val="left"/>
        <w:rPr>
          <w:rFonts w:ascii="Arial MT"/>
          <w:sz w:val="20"/>
        </w:rPr>
        <w:sectPr>
          <w:type w:val="continuous"/>
          <w:pgSz w:w="11910" w:h="16840"/>
          <w:pgMar w:top="1320" w:bottom="1260" w:left="1520" w:right="160"/>
          <w:cols w:num="2" w:equalWidth="0">
            <w:col w:w="4302" w:space="40"/>
            <w:col w:w="5888"/>
          </w:cols>
        </w:sectPr>
      </w:pPr>
    </w:p>
    <w:p>
      <w:pPr>
        <w:pStyle w:val="Heading2"/>
        <w:tabs>
          <w:tab w:pos="5375" w:val="left" w:leader="none"/>
        </w:tabs>
        <w:spacing w:line="284" w:lineRule="exact"/>
        <w:ind w:left="2004"/>
        <w:jc w:val="center"/>
      </w:pPr>
      <w:r>
        <w:rPr>
          <w:w w:val="45"/>
        </w:rPr>
        <w:t>B:</w:t>
      </w:r>
      <w:r>
        <w:rPr>
          <w:spacing w:val="7"/>
          <w:w w:val="45"/>
        </w:rPr>
        <w:t> </w:t>
      </w:r>
      <w:r>
        <w:rPr>
          <w:w w:val="45"/>
        </w:rPr>
        <w:t>Gelatin</w:t>
      </w:r>
      <w:r>
        <w:rPr>
          <w:spacing w:val="2"/>
          <w:w w:val="45"/>
        </w:rPr>
        <w:t> </w:t>
      </w:r>
      <w:r>
        <w:rPr>
          <w:w w:val="45"/>
        </w:rPr>
        <w:t>(%)</w:t>
        <w:tab/>
        <w:t>C:</w:t>
      </w:r>
      <w:r>
        <w:rPr>
          <w:spacing w:val="12"/>
          <w:w w:val="45"/>
        </w:rPr>
        <w:t> </w:t>
      </w:r>
      <w:r>
        <w:rPr>
          <w:w w:val="45"/>
        </w:rPr>
        <w:t>Silicon</w:t>
      </w:r>
      <w:r>
        <w:rPr>
          <w:spacing w:val="6"/>
          <w:w w:val="45"/>
        </w:rPr>
        <w:t> </w:t>
      </w:r>
      <w:r>
        <w:rPr>
          <w:w w:val="45"/>
        </w:rPr>
        <w:t>dioxide</w:t>
      </w:r>
      <w:r>
        <w:rPr>
          <w:spacing w:val="7"/>
          <w:w w:val="45"/>
        </w:rPr>
        <w:t> </w:t>
      </w:r>
      <w:r>
        <w:rPr>
          <w:w w:val="45"/>
        </w:rPr>
        <w:t>(%)</w:t>
      </w:r>
    </w:p>
    <w:p>
      <w:pPr>
        <w:spacing w:before="49"/>
        <w:ind w:left="2014" w:right="36" w:firstLine="0"/>
        <w:jc w:val="center"/>
        <w:rPr>
          <w:rFonts w:ascii="Arial MT"/>
          <w:sz w:val="35"/>
        </w:rPr>
      </w:pPr>
      <w:r>
        <w:rPr>
          <w:rFonts w:ascii="Arial MT"/>
          <w:w w:val="45"/>
          <w:sz w:val="35"/>
        </w:rPr>
        <w:t>Overlay</w:t>
      </w:r>
      <w:r>
        <w:rPr>
          <w:rFonts w:ascii="Arial MT"/>
          <w:spacing w:val="21"/>
          <w:w w:val="45"/>
          <w:sz w:val="35"/>
        </w:rPr>
        <w:t> </w:t>
      </w:r>
      <w:r>
        <w:rPr>
          <w:rFonts w:ascii="Arial MT"/>
          <w:w w:val="45"/>
          <w:sz w:val="35"/>
        </w:rPr>
        <w:t>Plot</w:t>
      </w:r>
    </w:p>
    <w:p>
      <w:pPr>
        <w:pStyle w:val="Heading3"/>
        <w:spacing w:before="803"/>
        <w:ind w:left="465" w:right="1979"/>
      </w:pPr>
      <w:r>
        <w:rPr/>
        <w:t>Figure 4.5: Overlay contour plot for tensile strength and disintegration time</w:t>
      </w:r>
      <w:r>
        <w:rPr>
          <w:spacing w:val="-57"/>
        </w:rPr>
        <w:t> </w:t>
      </w:r>
      <w:r>
        <w:rPr/>
        <w:t>showing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factor</w:t>
      </w:r>
      <w:r>
        <w:rPr>
          <w:spacing w:val="-3"/>
        </w:rPr>
        <w:t> </w:t>
      </w:r>
      <w:r>
        <w:rPr/>
        <w:t>settings (excipients)</w:t>
      </w:r>
      <w:r>
        <w:rPr>
          <w:spacing w:val="-2"/>
        </w:rPr>
        <w:t> </w:t>
      </w:r>
      <w:r>
        <w:rPr/>
        <w:t>and the</w:t>
      </w:r>
      <w:r>
        <w:rPr>
          <w:spacing w:val="-2"/>
        </w:rPr>
        <w:t> </w:t>
      </w:r>
      <w:r>
        <w:rPr/>
        <w:t>expected responses</w:t>
      </w:r>
    </w:p>
    <w:p>
      <w:pPr>
        <w:spacing w:after="0"/>
        <w:sectPr>
          <w:type w:val="continuous"/>
          <w:pgSz w:w="11910" w:h="16840"/>
          <w:pgMar w:top="1320" w:bottom="1260" w:left="1520" w:right="160"/>
        </w:sectPr>
      </w:pPr>
    </w:p>
    <w:p>
      <w:pPr>
        <w:pStyle w:val="BodyText"/>
        <w:spacing w:line="480" w:lineRule="auto" w:before="72"/>
        <w:ind w:left="465" w:right="1254"/>
        <w:jc w:val="both"/>
      </w:pPr>
      <w:r>
        <w:rPr/>
        <w:t>Based on the prediction of the software, the first three solutions were selected on the</w:t>
      </w:r>
      <w:r>
        <w:rPr>
          <w:spacing w:val="1"/>
        </w:rPr>
        <w:t> </w:t>
      </w:r>
      <w:r>
        <w:rPr/>
        <w:t>basis of the desirability scale and prepared to formulate tablets. The results obtained</w:t>
      </w:r>
      <w:r>
        <w:rPr>
          <w:spacing w:val="1"/>
        </w:rPr>
        <w:t> </w:t>
      </w:r>
      <w:r>
        <w:rPr/>
        <w:t>from the evaluation of tablet responses are presented in Table 4.5. The values obtained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closely</w:t>
      </w:r>
      <w:r>
        <w:rPr>
          <w:spacing w:val="-5"/>
        </w:rPr>
        <w:t> </w:t>
      </w:r>
      <w:r>
        <w:rPr/>
        <w:t>related to the</w:t>
      </w:r>
      <w:r>
        <w:rPr>
          <w:spacing w:val="-1"/>
        </w:rPr>
        <w:t> </w:t>
      </w:r>
      <w:r>
        <w:rPr/>
        <w:t>prediction of the</w:t>
      </w:r>
      <w:r>
        <w:rPr>
          <w:spacing w:val="-1"/>
        </w:rPr>
        <w:t> </w:t>
      </w:r>
      <w:r>
        <w:rPr/>
        <w:t>software.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spacing w:line="242" w:lineRule="auto"/>
        <w:ind w:left="465" w:right="1372"/>
      </w:pPr>
      <w:r>
        <w:rPr/>
        <w:t>Table 4.5: Comparison between the predicted and observed responses of the three</w:t>
      </w:r>
      <w:r>
        <w:rPr>
          <w:spacing w:val="-57"/>
        </w:rPr>
        <w:t> </w:t>
      </w:r>
      <w:r>
        <w:rPr/>
        <w:t>selected optimized formulations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6"/>
        <w:gridCol w:w="1548"/>
        <w:gridCol w:w="1738"/>
        <w:gridCol w:w="1762"/>
        <w:gridCol w:w="2132"/>
      </w:tblGrid>
      <w:tr>
        <w:trPr>
          <w:trHeight w:val="469" w:hRule="atLeast"/>
        </w:trPr>
        <w:tc>
          <w:tcPr>
            <w:tcW w:w="8976" w:type="dxa"/>
            <w:gridSpan w:val="5"/>
            <w:tcBorders>
              <w:top w:val="single" w:sz="12" w:space="0" w:color="000000"/>
            </w:tcBorders>
          </w:tcPr>
          <w:p>
            <w:pPr>
              <w:pStyle w:val="TableParagraph"/>
              <w:spacing w:before="103"/>
              <w:ind w:left="4925" w:right="31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Response</w:t>
            </w:r>
          </w:p>
        </w:tc>
      </w:tr>
      <w:tr>
        <w:trPr>
          <w:trHeight w:val="474" w:hRule="atLeast"/>
        </w:trPr>
        <w:tc>
          <w:tcPr>
            <w:tcW w:w="17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86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104"/>
              <w:ind w:left="712"/>
              <w:rPr>
                <w:b/>
                <w:sz w:val="22"/>
              </w:rPr>
            </w:pPr>
            <w:r>
              <w:rPr>
                <w:b/>
                <w:sz w:val="22"/>
              </w:rPr>
              <w:t>Tensile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strength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(MPa)</w:t>
            </w:r>
          </w:p>
        </w:tc>
        <w:tc>
          <w:tcPr>
            <w:tcW w:w="3894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104"/>
              <w:ind w:left="905"/>
              <w:rPr>
                <w:b/>
                <w:sz w:val="22"/>
              </w:rPr>
            </w:pPr>
            <w:r>
              <w:rPr>
                <w:b/>
                <w:sz w:val="22"/>
              </w:rPr>
              <w:t>Disintegration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time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(min)</w:t>
            </w:r>
          </w:p>
        </w:tc>
      </w:tr>
      <w:tr>
        <w:trPr>
          <w:trHeight w:val="459" w:hRule="atLeast"/>
        </w:trPr>
        <w:tc>
          <w:tcPr>
            <w:tcW w:w="179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Solutions</w:t>
            </w:r>
          </w:p>
        </w:tc>
        <w:tc>
          <w:tcPr>
            <w:tcW w:w="1548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Predicted</w:t>
            </w:r>
          </w:p>
        </w:tc>
        <w:tc>
          <w:tcPr>
            <w:tcW w:w="1738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1"/>
              <w:ind w:left="354"/>
              <w:rPr>
                <w:b/>
                <w:sz w:val="22"/>
              </w:rPr>
            </w:pPr>
            <w:r>
              <w:rPr>
                <w:b/>
                <w:sz w:val="22"/>
              </w:rPr>
              <w:t>Observed</w:t>
            </w:r>
          </w:p>
        </w:tc>
        <w:tc>
          <w:tcPr>
            <w:tcW w:w="1762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1"/>
              <w:ind w:left="392" w:right="4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Predicted</w:t>
            </w:r>
          </w:p>
        </w:tc>
        <w:tc>
          <w:tcPr>
            <w:tcW w:w="2132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1"/>
              <w:ind w:left="443"/>
              <w:rPr>
                <w:b/>
                <w:sz w:val="22"/>
              </w:rPr>
            </w:pPr>
            <w:r>
              <w:rPr>
                <w:b/>
                <w:sz w:val="22"/>
              </w:rPr>
              <w:t>Observed</w:t>
            </w:r>
          </w:p>
        </w:tc>
      </w:tr>
      <w:tr>
        <w:trPr>
          <w:trHeight w:val="818" w:hRule="atLeast"/>
        </w:trPr>
        <w:tc>
          <w:tcPr>
            <w:tcW w:w="179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SGS-A</w:t>
            </w:r>
          </w:p>
        </w:tc>
        <w:tc>
          <w:tcPr>
            <w:tcW w:w="154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11"/>
              <w:ind w:left="107"/>
              <w:rPr>
                <w:sz w:val="22"/>
              </w:rPr>
            </w:pPr>
            <w:r>
              <w:rPr>
                <w:sz w:val="22"/>
              </w:rPr>
              <w:t>4.2 (0.025)*</w:t>
            </w:r>
          </w:p>
        </w:tc>
        <w:tc>
          <w:tcPr>
            <w:tcW w:w="173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11"/>
              <w:ind w:left="354"/>
              <w:rPr>
                <w:sz w:val="22"/>
              </w:rPr>
            </w:pPr>
            <w:r>
              <w:rPr>
                <w:sz w:val="22"/>
              </w:rPr>
              <w:t>4.4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(0.15)</w:t>
            </w:r>
          </w:p>
        </w:tc>
        <w:tc>
          <w:tcPr>
            <w:tcW w:w="17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11"/>
              <w:ind w:left="349" w:right="425"/>
              <w:jc w:val="center"/>
              <w:rPr>
                <w:sz w:val="22"/>
              </w:rPr>
            </w:pPr>
            <w:r>
              <w:rPr>
                <w:sz w:val="22"/>
              </w:rPr>
              <w:t>2.5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(0.04)</w:t>
            </w:r>
          </w:p>
        </w:tc>
        <w:tc>
          <w:tcPr>
            <w:tcW w:w="213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11"/>
              <w:ind w:left="443"/>
              <w:rPr>
                <w:sz w:val="22"/>
              </w:rPr>
            </w:pPr>
            <w:r>
              <w:rPr>
                <w:sz w:val="22"/>
              </w:rPr>
              <w:t>1.6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(0.04)</w:t>
            </w:r>
          </w:p>
        </w:tc>
      </w:tr>
      <w:tr>
        <w:trPr>
          <w:trHeight w:val="944" w:hRule="atLeast"/>
        </w:trPr>
        <w:tc>
          <w:tcPr>
            <w:tcW w:w="1796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SGS-B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4.0 (0.025)</w:t>
            </w:r>
          </w:p>
        </w:tc>
        <w:tc>
          <w:tcPr>
            <w:tcW w:w="1738" w:type="dxa"/>
          </w:tcPr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354"/>
              <w:rPr>
                <w:sz w:val="22"/>
              </w:rPr>
            </w:pPr>
            <w:r>
              <w:rPr>
                <w:sz w:val="22"/>
              </w:rPr>
              <w:t>4.0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(0.22)</w:t>
            </w:r>
          </w:p>
        </w:tc>
        <w:tc>
          <w:tcPr>
            <w:tcW w:w="1762" w:type="dxa"/>
          </w:tcPr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349" w:right="425"/>
              <w:jc w:val="center"/>
              <w:rPr>
                <w:sz w:val="22"/>
              </w:rPr>
            </w:pPr>
            <w:r>
              <w:rPr>
                <w:sz w:val="22"/>
              </w:rPr>
              <w:t>2.5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(0.04)</w:t>
            </w:r>
          </w:p>
        </w:tc>
        <w:tc>
          <w:tcPr>
            <w:tcW w:w="2132" w:type="dxa"/>
          </w:tcPr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443"/>
              <w:rPr>
                <w:sz w:val="22"/>
              </w:rPr>
            </w:pPr>
            <w:r>
              <w:rPr>
                <w:sz w:val="22"/>
              </w:rPr>
              <w:t>1.9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(0.08)</w:t>
            </w:r>
          </w:p>
        </w:tc>
      </w:tr>
      <w:tr>
        <w:trPr>
          <w:trHeight w:val="596" w:hRule="atLeast"/>
        </w:trPr>
        <w:tc>
          <w:tcPr>
            <w:tcW w:w="1796" w:type="dxa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SGS-C</w:t>
            </w:r>
          </w:p>
        </w:tc>
        <w:tc>
          <w:tcPr>
            <w:tcW w:w="1548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38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3.8 (0.025)</w:t>
            </w:r>
          </w:p>
        </w:tc>
        <w:tc>
          <w:tcPr>
            <w:tcW w:w="1738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38" w:lineRule="exact" w:before="1"/>
              <w:ind w:left="354"/>
              <w:rPr>
                <w:sz w:val="22"/>
              </w:rPr>
            </w:pPr>
            <w:r>
              <w:rPr>
                <w:sz w:val="22"/>
              </w:rPr>
              <w:t>3.9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(0.16)</w:t>
            </w:r>
          </w:p>
        </w:tc>
        <w:tc>
          <w:tcPr>
            <w:tcW w:w="1762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38" w:lineRule="exact" w:before="1"/>
              <w:ind w:left="349" w:right="425"/>
              <w:jc w:val="center"/>
              <w:rPr>
                <w:sz w:val="22"/>
              </w:rPr>
            </w:pPr>
            <w:r>
              <w:rPr>
                <w:sz w:val="22"/>
              </w:rPr>
              <w:t>1.8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(0.04)</w:t>
            </w:r>
          </w:p>
        </w:tc>
        <w:tc>
          <w:tcPr>
            <w:tcW w:w="2132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38" w:lineRule="exact" w:before="1"/>
              <w:ind w:left="443"/>
              <w:rPr>
                <w:sz w:val="22"/>
              </w:rPr>
            </w:pPr>
            <w:r>
              <w:rPr>
                <w:sz w:val="22"/>
              </w:rPr>
              <w:t>1.02 (0.07)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  <w:r>
        <w:rPr/>
        <w:pict>
          <v:shape style="position:absolute;margin-left:86.784004pt;margin-top:12.272905pt;width:449.5pt;height:1.45pt;mso-position-horizontal-relative:page;mso-position-vertical-relative:paragraph;z-index:-15578624;mso-wrap-distance-left:0;mso-wrap-distance-right:0" coordorigin="1736,245" coordsize="8990,29" path="m8944,245l8930,245,8916,245,7149,245,7134,245,7120,245,5355,245,5341,245,5327,245,3560,245,3546,245,3531,245,1736,245,1736,274,3531,274,3546,274,3560,274,5327,274,5341,274,5355,274,7120,274,7134,274,7149,274,8916,274,8930,274,8944,274,8944,245xm10726,245l8944,245,8944,274,10726,274,10726,24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2625" w:val="left" w:leader="none"/>
        </w:tabs>
        <w:spacing w:before="83"/>
        <w:ind w:left="465"/>
      </w:pPr>
      <w:r>
        <w:rPr>
          <w:b/>
        </w:rPr>
        <w:t>SGS-A</w:t>
      </w:r>
      <w:r>
        <w:rPr/>
        <w:t>:</w:t>
      </w:r>
      <w:r>
        <w:rPr>
          <w:spacing w:val="-1"/>
        </w:rPr>
        <w:t> </w:t>
      </w:r>
      <w:r>
        <w:rPr/>
        <w:t>90/7.5/2.5</w:t>
        <w:tab/>
        <w:t>*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parentheses</w:t>
      </w:r>
    </w:p>
    <w:p>
      <w:pPr>
        <w:spacing w:before="0"/>
        <w:ind w:left="465" w:right="0" w:firstLine="0"/>
        <w:jc w:val="left"/>
        <w:rPr>
          <w:sz w:val="24"/>
        </w:rPr>
      </w:pPr>
      <w:r>
        <w:rPr>
          <w:b/>
          <w:sz w:val="24"/>
        </w:rPr>
        <w:t>SGS-B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92.6/6.4/1.0</w:t>
      </w:r>
    </w:p>
    <w:p>
      <w:pPr>
        <w:spacing w:before="0"/>
        <w:ind w:left="465" w:right="0" w:firstLine="0"/>
        <w:jc w:val="left"/>
        <w:rPr>
          <w:sz w:val="24"/>
        </w:rPr>
      </w:pPr>
      <w:r>
        <w:rPr>
          <w:b/>
          <w:sz w:val="24"/>
        </w:rPr>
        <w:t>SGS-C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94/5.0/1.0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2"/>
        <w:jc w:val="both"/>
      </w:pPr>
      <w:r>
        <w:rPr/>
        <w:t>The results of the supporting studies carried out to select the best possible combination</w:t>
      </w:r>
      <w:r>
        <w:rPr>
          <w:spacing w:val="1"/>
        </w:rPr>
        <w:t> </w:t>
      </w:r>
      <w:r>
        <w:rPr/>
        <w:t>amongst the three selected is presented in Table4.6. Flow properties was assessed by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angle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repose,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tapped</w:t>
      </w:r>
      <w:r>
        <w:rPr>
          <w:spacing w:val="1"/>
        </w:rPr>
        <w:t> </w:t>
      </w:r>
      <w:r>
        <w:rPr/>
        <w:t>densities,</w:t>
      </w:r>
      <w:r>
        <w:rPr>
          <w:spacing w:val="1"/>
        </w:rPr>
        <w:t> </w:t>
      </w:r>
      <w:r>
        <w:rPr/>
        <w:t>Carr‟s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(CI)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Hausner‟s ratio (HR).The values obtained for angle of repose was less than 30 ° for the</w:t>
      </w:r>
      <w:r>
        <w:rPr>
          <w:spacing w:val="1"/>
        </w:rPr>
        <w:t> </w:t>
      </w:r>
      <w:r>
        <w:rPr/>
        <w:t>three</w:t>
      </w:r>
      <w:r>
        <w:rPr>
          <w:spacing w:val="26"/>
        </w:rPr>
        <w:t> </w:t>
      </w:r>
      <w:r>
        <w:rPr/>
        <w:t>formulations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co-processed</w:t>
      </w:r>
      <w:r>
        <w:rPr>
          <w:spacing w:val="27"/>
        </w:rPr>
        <w:t> </w:t>
      </w:r>
      <w:r>
        <w:rPr/>
        <w:t>excipient.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CI</w:t>
      </w:r>
      <w:r>
        <w:rPr>
          <w:spacing w:val="25"/>
        </w:rPr>
        <w:t> </w:t>
      </w:r>
      <w:r>
        <w:rPr/>
        <w:t>and</w:t>
      </w:r>
      <w:r>
        <w:rPr>
          <w:spacing w:val="29"/>
        </w:rPr>
        <w:t> </w:t>
      </w:r>
      <w:r>
        <w:rPr/>
        <w:t>HR</w:t>
      </w:r>
      <w:r>
        <w:rPr>
          <w:spacing w:val="28"/>
        </w:rPr>
        <w:t> </w:t>
      </w:r>
      <w:r>
        <w:rPr/>
        <w:t>ranged</w:t>
      </w:r>
      <w:r>
        <w:rPr>
          <w:spacing w:val="30"/>
        </w:rPr>
        <w:t> </w:t>
      </w:r>
      <w:r>
        <w:rPr/>
        <w:t>from</w:t>
      </w:r>
      <w:r>
        <w:rPr>
          <w:spacing w:val="29"/>
        </w:rPr>
        <w:t> </w:t>
      </w:r>
      <w:r>
        <w:rPr/>
        <w:t>14.7</w:t>
      </w:r>
      <w:r>
        <w:rPr>
          <w:spacing w:val="33"/>
        </w:rPr>
        <w:t> </w:t>
      </w:r>
      <w:r>
        <w:rPr/>
        <w:t>–</w:t>
      </w:r>
    </w:p>
    <w:p>
      <w:pPr>
        <w:pStyle w:val="BodyText"/>
        <w:spacing w:line="480" w:lineRule="auto"/>
        <w:ind w:left="465" w:right="1257"/>
        <w:jc w:val="both"/>
      </w:pPr>
      <w:r>
        <w:rPr/>
        <w:t>21.6 % and 1.17 – 1.27 respectively with SGS-A having the least values for both</w:t>
      </w:r>
      <w:r>
        <w:rPr>
          <w:spacing w:val="1"/>
        </w:rPr>
        <w:t> </w:t>
      </w:r>
      <w:r>
        <w:rPr/>
        <w:t>parameters. The lubricant sensitivity ratio (LSR) was ranked in the following order:</w:t>
      </w:r>
      <w:r>
        <w:rPr>
          <w:spacing w:val="1"/>
        </w:rPr>
        <w:t> </w:t>
      </w:r>
      <w:r>
        <w:rPr/>
        <w:t>SGS-C</w:t>
      </w:r>
      <w:r>
        <w:rPr>
          <w:spacing w:val="-1"/>
        </w:rPr>
        <w:t> </w:t>
      </w:r>
      <w:r>
        <w:rPr/>
        <w:t>&lt;</w:t>
      </w:r>
      <w:r>
        <w:rPr>
          <w:spacing w:val="-1"/>
        </w:rPr>
        <w:t> </w:t>
      </w:r>
      <w:r>
        <w:rPr/>
        <w:t>SGS-A &lt;</w:t>
      </w:r>
      <w:r>
        <w:rPr>
          <w:spacing w:val="-2"/>
        </w:rPr>
        <w:t> </w:t>
      </w:r>
      <w:r>
        <w:rPr/>
        <w:t>SGS-B.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ind w:left="465" w:right="1254"/>
      </w:pPr>
      <w:r>
        <w:rPr/>
        <w:t>Table 4.6:</w:t>
      </w:r>
      <w:r>
        <w:rPr>
          <w:spacing w:val="1"/>
        </w:rPr>
        <w:t> </w:t>
      </w:r>
      <w:r>
        <w:rPr/>
        <w:t>Flow indices and lubricant sensitivity ratio for the three optimized</w:t>
      </w:r>
      <w:r>
        <w:rPr>
          <w:spacing w:val="-58"/>
        </w:rPr>
        <w:t> </w:t>
      </w:r>
      <w:r>
        <w:rPr/>
        <w:t>formulations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co-processed excipient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2"/>
        <w:gridCol w:w="1321"/>
        <w:gridCol w:w="1097"/>
        <w:gridCol w:w="1272"/>
        <w:gridCol w:w="1243"/>
        <w:gridCol w:w="1546"/>
        <w:gridCol w:w="1307"/>
      </w:tblGrid>
      <w:tr>
        <w:trPr>
          <w:trHeight w:val="754" w:hRule="atLeast"/>
        </w:trPr>
        <w:tc>
          <w:tcPr>
            <w:tcW w:w="1242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Excipient</w:t>
            </w:r>
          </w:p>
        </w:tc>
        <w:tc>
          <w:tcPr>
            <w:tcW w:w="1321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(°)</w:t>
            </w:r>
          </w:p>
        </w:tc>
        <w:tc>
          <w:tcPr>
            <w:tcW w:w="1097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BD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(g/mL)</w:t>
            </w:r>
          </w:p>
        </w:tc>
        <w:tc>
          <w:tcPr>
            <w:tcW w:w="1272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9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TD</w:t>
            </w:r>
          </w:p>
          <w:p>
            <w:pPr>
              <w:pStyle w:val="TableParagraph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(g/mL)</w:t>
            </w:r>
          </w:p>
        </w:tc>
        <w:tc>
          <w:tcPr>
            <w:tcW w:w="1243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HR</w:t>
            </w:r>
          </w:p>
        </w:tc>
        <w:tc>
          <w:tcPr>
            <w:tcW w:w="1546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80"/>
              <w:rPr>
                <w:b/>
                <w:sz w:val="24"/>
              </w:rPr>
            </w:pPr>
            <w:r>
              <w:rPr>
                <w:b/>
                <w:sz w:val="24"/>
              </w:rPr>
              <w:t>CI (%)</w:t>
            </w:r>
          </w:p>
        </w:tc>
        <w:tc>
          <w:tcPr>
            <w:tcW w:w="1307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90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LSR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1017" w:hRule="atLeast"/>
        </w:trPr>
        <w:tc>
          <w:tcPr>
            <w:tcW w:w="12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SGS-A</w:t>
            </w:r>
          </w:p>
        </w:tc>
        <w:tc>
          <w:tcPr>
            <w:tcW w:w="132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95"/>
              <w:ind w:left="152" w:right="449"/>
              <w:rPr>
                <w:sz w:val="24"/>
              </w:rPr>
            </w:pPr>
            <w:r>
              <w:rPr>
                <w:sz w:val="24"/>
              </w:rPr>
              <w:t>29.5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(0.15)*</w:t>
            </w:r>
          </w:p>
        </w:tc>
        <w:tc>
          <w:tcPr>
            <w:tcW w:w="10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95"/>
              <w:ind w:left="108"/>
              <w:rPr>
                <w:sz w:val="24"/>
              </w:rPr>
            </w:pPr>
            <w:r>
              <w:rPr>
                <w:sz w:val="24"/>
              </w:rPr>
              <w:t>0.44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(0.01)</w:t>
            </w:r>
          </w:p>
        </w:tc>
        <w:tc>
          <w:tcPr>
            <w:tcW w:w="12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95"/>
              <w:ind w:left="284"/>
              <w:rPr>
                <w:sz w:val="24"/>
              </w:rPr>
            </w:pPr>
            <w:r>
              <w:rPr>
                <w:sz w:val="24"/>
              </w:rPr>
              <w:t>0.52</w:t>
            </w:r>
          </w:p>
          <w:p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(0.02)</w:t>
            </w:r>
          </w:p>
        </w:tc>
        <w:tc>
          <w:tcPr>
            <w:tcW w:w="12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5"/>
              <w:ind w:left="284"/>
              <w:rPr>
                <w:sz w:val="24"/>
              </w:rPr>
            </w:pPr>
            <w:r>
              <w:rPr>
                <w:sz w:val="24"/>
              </w:rPr>
              <w:t>1.17</w:t>
            </w:r>
          </w:p>
          <w:p>
            <w:pPr>
              <w:pStyle w:val="TableParagraph"/>
              <w:spacing w:before="120"/>
              <w:ind w:left="284"/>
              <w:rPr>
                <w:sz w:val="24"/>
              </w:rPr>
            </w:pPr>
            <w:r>
              <w:rPr>
                <w:sz w:val="24"/>
              </w:rPr>
              <w:t>(0.03)</w:t>
            </w:r>
          </w:p>
        </w:tc>
        <w:tc>
          <w:tcPr>
            <w:tcW w:w="15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380"/>
              <w:rPr>
                <w:sz w:val="24"/>
              </w:rPr>
            </w:pPr>
            <w:r>
              <w:rPr>
                <w:sz w:val="24"/>
              </w:rPr>
              <w:t>14.7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(2.36)</w:t>
            </w:r>
          </w:p>
        </w:tc>
        <w:tc>
          <w:tcPr>
            <w:tcW w:w="13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90" w:right="117"/>
              <w:jc w:val="center"/>
              <w:rPr>
                <w:sz w:val="24"/>
              </w:rPr>
            </w:pPr>
            <w:r>
              <w:rPr>
                <w:sz w:val="24"/>
              </w:rPr>
              <w:t>36.6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(0.43)</w:t>
            </w:r>
          </w:p>
        </w:tc>
      </w:tr>
      <w:tr>
        <w:trPr>
          <w:trHeight w:val="1081" w:hRule="atLeast"/>
        </w:trPr>
        <w:tc>
          <w:tcPr>
            <w:tcW w:w="1242" w:type="dxa"/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SGS-B</w:t>
            </w:r>
          </w:p>
        </w:tc>
        <w:tc>
          <w:tcPr>
            <w:tcW w:w="1321" w:type="dxa"/>
          </w:tcPr>
          <w:p>
            <w:pPr>
              <w:pStyle w:val="TableParagraph"/>
              <w:spacing w:before="5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152"/>
              <w:rPr>
                <w:sz w:val="24"/>
              </w:rPr>
            </w:pPr>
            <w:r>
              <w:rPr>
                <w:sz w:val="24"/>
              </w:rPr>
              <w:t>28.8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(0.31)</w:t>
            </w:r>
          </w:p>
        </w:tc>
        <w:tc>
          <w:tcPr>
            <w:tcW w:w="1097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0.41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(0.01)</w:t>
            </w:r>
          </w:p>
        </w:tc>
        <w:tc>
          <w:tcPr>
            <w:tcW w:w="1272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0.52</w:t>
            </w:r>
          </w:p>
          <w:p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(0.02)</w:t>
            </w:r>
          </w:p>
        </w:tc>
        <w:tc>
          <w:tcPr>
            <w:tcW w:w="1243" w:type="dxa"/>
          </w:tcPr>
          <w:p>
            <w:pPr>
              <w:pStyle w:val="TableParagraph"/>
              <w:spacing w:before="200"/>
              <w:ind w:left="284"/>
              <w:rPr>
                <w:sz w:val="24"/>
              </w:rPr>
            </w:pPr>
            <w:r>
              <w:rPr>
                <w:sz w:val="24"/>
              </w:rPr>
              <w:t>1.27</w:t>
            </w:r>
          </w:p>
          <w:p>
            <w:pPr>
              <w:pStyle w:val="TableParagraph"/>
              <w:spacing w:before="120"/>
              <w:ind w:left="284"/>
              <w:rPr>
                <w:sz w:val="24"/>
              </w:rPr>
            </w:pPr>
            <w:r>
              <w:rPr>
                <w:sz w:val="24"/>
              </w:rPr>
              <w:t>(0.03)</w:t>
            </w:r>
          </w:p>
        </w:tc>
        <w:tc>
          <w:tcPr>
            <w:tcW w:w="1546" w:type="dxa"/>
          </w:tcPr>
          <w:p>
            <w:pPr>
              <w:pStyle w:val="TableParagraph"/>
              <w:spacing w:before="5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380"/>
              <w:rPr>
                <w:sz w:val="24"/>
              </w:rPr>
            </w:pPr>
            <w:r>
              <w:rPr>
                <w:sz w:val="24"/>
              </w:rPr>
              <w:t>21.6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(2.11)</w:t>
            </w:r>
          </w:p>
        </w:tc>
        <w:tc>
          <w:tcPr>
            <w:tcW w:w="1307" w:type="dxa"/>
          </w:tcPr>
          <w:p>
            <w:pPr>
              <w:pStyle w:val="TableParagraph"/>
              <w:spacing w:before="5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90" w:right="117"/>
              <w:jc w:val="center"/>
              <w:rPr>
                <w:sz w:val="24"/>
              </w:rPr>
            </w:pPr>
            <w:r>
              <w:rPr>
                <w:sz w:val="24"/>
              </w:rPr>
              <w:t>41.1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(2.63)</w:t>
            </w:r>
          </w:p>
        </w:tc>
      </w:tr>
      <w:tr>
        <w:trPr>
          <w:trHeight w:val="1145" w:hRule="atLeast"/>
        </w:trPr>
        <w:tc>
          <w:tcPr>
            <w:tcW w:w="1242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SGS-C</w:t>
            </w:r>
          </w:p>
        </w:tc>
        <w:tc>
          <w:tcPr>
            <w:tcW w:w="132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4"/>
              </w:rPr>
            </w:pPr>
          </w:p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27.2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(0.03)</w:t>
            </w:r>
          </w:p>
        </w:tc>
        <w:tc>
          <w:tcPr>
            <w:tcW w:w="109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0.42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(0.01)</w:t>
            </w:r>
          </w:p>
        </w:tc>
        <w:tc>
          <w:tcPr>
            <w:tcW w:w="127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0.54</w:t>
            </w:r>
          </w:p>
          <w:p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(0.02)</w:t>
            </w:r>
          </w:p>
        </w:tc>
        <w:tc>
          <w:tcPr>
            <w:tcW w:w="124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99"/>
              <w:ind w:left="284"/>
              <w:rPr>
                <w:sz w:val="24"/>
              </w:rPr>
            </w:pPr>
            <w:r>
              <w:rPr>
                <w:sz w:val="24"/>
              </w:rPr>
              <w:t>1.27</w:t>
            </w:r>
          </w:p>
          <w:p>
            <w:pPr>
              <w:pStyle w:val="TableParagraph"/>
              <w:spacing w:before="120"/>
              <w:ind w:left="284"/>
              <w:rPr>
                <w:sz w:val="24"/>
              </w:rPr>
            </w:pPr>
            <w:r>
              <w:rPr>
                <w:sz w:val="24"/>
              </w:rPr>
              <w:t>(0.01)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4"/>
              </w:rPr>
            </w:pPr>
          </w:p>
          <w:p>
            <w:pPr>
              <w:pStyle w:val="TableParagraph"/>
              <w:ind w:left="380"/>
              <w:rPr>
                <w:sz w:val="24"/>
              </w:rPr>
            </w:pPr>
            <w:r>
              <w:rPr>
                <w:sz w:val="24"/>
              </w:rPr>
              <w:t>21.1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(0.52)</w:t>
            </w:r>
          </w:p>
        </w:tc>
        <w:tc>
          <w:tcPr>
            <w:tcW w:w="130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4"/>
              </w:rPr>
            </w:pPr>
          </w:p>
          <w:p>
            <w:pPr>
              <w:pStyle w:val="TableParagraph"/>
              <w:ind w:left="90" w:right="117"/>
              <w:jc w:val="center"/>
              <w:rPr>
                <w:sz w:val="24"/>
              </w:rPr>
            </w:pPr>
            <w:r>
              <w:rPr>
                <w:sz w:val="24"/>
              </w:rPr>
              <w:t>33.9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(5.88)</w:t>
            </w:r>
          </w:p>
        </w:tc>
      </w:tr>
    </w:tbl>
    <w:p>
      <w:pPr>
        <w:pStyle w:val="BodyText"/>
        <w:spacing w:before="3"/>
        <w:rPr>
          <w:b/>
          <w:sz w:val="23"/>
        </w:rPr>
      </w:pPr>
    </w:p>
    <w:p>
      <w:pPr>
        <w:pStyle w:val="BodyText"/>
        <w:tabs>
          <w:tab w:pos="3345" w:val="left" w:leader="none"/>
        </w:tabs>
        <w:ind w:left="465"/>
      </w:pPr>
      <w:r>
        <w:rPr>
          <w:b/>
        </w:rPr>
        <w:t>AR</w:t>
      </w:r>
      <w:r>
        <w:rPr/>
        <w:t>:</w:t>
      </w:r>
      <w:r>
        <w:rPr>
          <w:spacing w:val="-1"/>
        </w:rPr>
        <w:t> </w:t>
      </w:r>
      <w:r>
        <w:rPr/>
        <w:t>Angle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repose</w:t>
        <w:tab/>
      </w:r>
      <w:r>
        <w:rPr>
          <w:b/>
        </w:rPr>
        <w:t>CI</w:t>
      </w:r>
      <w:r>
        <w:rPr/>
        <w:t>:</w:t>
      </w:r>
      <w:r>
        <w:rPr>
          <w:spacing w:val="-9"/>
        </w:rPr>
        <w:t> </w:t>
      </w:r>
      <w:r>
        <w:rPr/>
        <w:t>Carr‟s</w:t>
      </w:r>
      <w:r>
        <w:rPr>
          <w:spacing w:val="-10"/>
        </w:rPr>
        <w:t> </w:t>
      </w:r>
      <w:r>
        <w:rPr/>
        <w:t>index</w:t>
      </w:r>
    </w:p>
    <w:p>
      <w:pPr>
        <w:pStyle w:val="BodyText"/>
        <w:tabs>
          <w:tab w:pos="3345" w:val="left" w:leader="none"/>
        </w:tabs>
        <w:ind w:left="465"/>
      </w:pPr>
      <w:r>
        <w:rPr>
          <w:b/>
        </w:rPr>
        <w:t>BD</w:t>
      </w:r>
      <w:r>
        <w:rPr/>
        <w:t>:</w:t>
      </w:r>
      <w:r>
        <w:rPr>
          <w:spacing w:val="-1"/>
        </w:rPr>
        <w:t> </w:t>
      </w:r>
      <w:r>
        <w:rPr/>
        <w:t>Bulk density</w:t>
        <w:tab/>
      </w:r>
      <w:r>
        <w:rPr>
          <w:b/>
        </w:rPr>
        <w:t>LSR</w:t>
      </w:r>
      <w:r>
        <w:rPr/>
        <w:t>:</w:t>
      </w:r>
      <w:r>
        <w:rPr>
          <w:spacing w:val="-1"/>
        </w:rPr>
        <w:t> </w:t>
      </w:r>
      <w:r>
        <w:rPr/>
        <w:t>Lubricant</w:t>
      </w:r>
      <w:r>
        <w:rPr>
          <w:spacing w:val="-2"/>
        </w:rPr>
        <w:t> </w:t>
      </w:r>
      <w:r>
        <w:rPr/>
        <w:t>sensitivity</w:t>
      </w:r>
      <w:r>
        <w:rPr>
          <w:spacing w:val="-4"/>
        </w:rPr>
        <w:t> </w:t>
      </w:r>
      <w:r>
        <w:rPr/>
        <w:t>ratio</w:t>
      </w:r>
    </w:p>
    <w:p>
      <w:pPr>
        <w:pStyle w:val="BodyText"/>
        <w:tabs>
          <w:tab w:pos="3345" w:val="left" w:leader="none"/>
        </w:tabs>
        <w:ind w:left="465"/>
      </w:pPr>
      <w:r>
        <w:rPr>
          <w:b/>
        </w:rPr>
        <w:t>TD</w:t>
      </w:r>
      <w:r>
        <w:rPr/>
        <w:t>:</w:t>
      </w:r>
      <w:r>
        <w:rPr>
          <w:spacing w:val="-1"/>
        </w:rPr>
        <w:t> </w:t>
      </w:r>
      <w:r>
        <w:rPr/>
        <w:t>Tapped density</w:t>
        <w:tab/>
        <w:t>*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parentheses</w:t>
      </w:r>
    </w:p>
    <w:p>
      <w:pPr>
        <w:pStyle w:val="BodyText"/>
        <w:ind w:left="465"/>
      </w:pPr>
      <w:r>
        <w:rPr>
          <w:b/>
        </w:rPr>
        <w:t>HR</w:t>
      </w:r>
      <w:r>
        <w:rPr/>
        <w:t>:</w:t>
      </w:r>
      <w:r>
        <w:rPr>
          <w:spacing w:val="-11"/>
        </w:rPr>
        <w:t> </w:t>
      </w:r>
      <w:r>
        <w:rPr/>
        <w:t>Hausner‟s</w:t>
      </w:r>
      <w:r>
        <w:rPr>
          <w:spacing w:val="-9"/>
        </w:rPr>
        <w:t> </w:t>
      </w:r>
      <w:r>
        <w:rPr/>
        <w:t>ratio</w:t>
      </w:r>
    </w:p>
    <w:p>
      <w:pPr>
        <w:spacing w:after="0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360" w:lineRule="auto" w:before="74"/>
        <w:ind w:left="465" w:right="1252"/>
        <w:jc w:val="both"/>
      </w:pPr>
      <w:r>
        <w:rPr/>
        <w:t>The result of the dilution potential studies is displayed as Figure 4.6. The dilution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plotshowed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marginal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optimized formulations.The compacts of SGS-A had higher tensile strength across the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ratios</w:t>
      </w:r>
      <w:r>
        <w:rPr>
          <w:spacing w:val="1"/>
        </w:rPr>
        <w:t> </w:t>
      </w:r>
      <w:r>
        <w:rPr/>
        <w:t>when</w:t>
      </w:r>
      <w:r>
        <w:rPr>
          <w:spacing w:val="2"/>
        </w:rPr>
        <w:t> </w:t>
      </w:r>
      <w:r>
        <w:rPr/>
        <w:t>compared to SGS-B and</w:t>
      </w:r>
      <w:r>
        <w:rPr>
          <w:spacing w:val="-1"/>
        </w:rPr>
        <w:t> </w:t>
      </w:r>
      <w:r>
        <w:rPr/>
        <w:t>SGS-C.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92"/>
        <w:ind w:left="1737"/>
        <w:rPr>
          <w:rFonts w:ascii="Arial MT"/>
        </w:rPr>
      </w:pPr>
      <w:r>
        <w:rPr/>
        <w:pict>
          <v:group style="position:absolute;margin-left:176.279999pt;margin-top:-2.024126pt;width:293.2pt;height:310.6pt;mso-position-horizontal-relative:page;mso-position-vertical-relative:paragraph;z-index:15879168" coordorigin="3526,-40" coordsize="5864,6212">
            <v:shape style="position:absolute;left:3525;top:235;width:5849;height:5936" coordorigin="3526,236" coordsize="5849,5936" path="m3598,6096l3598,236m3526,6096l3598,6096m3526,5120l3598,5120m3526,4143l3598,4143m3526,3166l3598,3166m3526,2189l3598,2189m3526,1212l3598,1212m3526,236l3598,236m3598,6096l9374,6096m3598,6096l3598,6171m4560,6096l4560,6171m5522,6096l5522,6171m6487,6096l6487,6171m7450,6096l7450,6171m8412,6096l8412,6171m9374,6096l9374,6171e" filled="false" stroked="true" strokeweight="1.44pt" strokecolor="#000000">
              <v:path arrowok="t"/>
              <v:stroke dashstyle="solid"/>
            </v:shape>
            <v:line style="position:absolute" from="4551,4430" to="4571,4430" stroked="true" strokeweight="3.71pt" strokecolor="#000000">
              <v:stroke dashstyle="solid"/>
            </v:line>
            <v:rect style="position:absolute;left:4516;top:4456;width:90;height:20" filled="true" fillcolor="#000000" stroked="false">
              <v:fill type="solid"/>
            </v:rect>
            <v:line style="position:absolute" from="4516,4393" to="4606,4393" stroked="true" strokeweight="1pt" strokecolor="#000000">
              <v:stroke dashstyle="solid"/>
            </v:line>
            <v:line style="position:absolute" from="5514,3320" to="5534,3320" stroked="true" strokeweight="3.91pt" strokecolor="#000000">
              <v:stroke dashstyle="solid"/>
            </v:line>
            <v:shape style="position:absolute;left:5478;top:3014;width:527;height:344" coordorigin="5479,3015" coordsize="527,344" path="m5479,3359l5569,3359m5479,3281l5569,3281m6005,3117l6005,3066,6005,3015e" filled="false" stroked="true" strokeweight="1pt" strokecolor="#000000">
              <v:path arrowok="t"/>
              <v:stroke dashstyle="solid"/>
            </v:shape>
            <v:rect style="position:absolute;left:5960;top:3106;width:90;height:20" filled="true" fillcolor="#000000" stroked="false">
              <v:fill type="solid"/>
            </v:rect>
            <v:line style="position:absolute" from="5960,3015" to="6050,3015" stroked="true" strokeweight="1pt" strokecolor="#000000">
              <v:stroke dashstyle="solid"/>
            </v:line>
            <v:rect style="position:absolute;left:6476;top:2924;width:20;height:102" filled="true" fillcolor="#000000" stroked="false">
              <v:fill type="solid"/>
            </v:rect>
            <v:shape style="position:absolute;left:6441;top:1105;width:2016;height:1820" coordorigin="6442,1106" coordsize="2016,1820" path="m6442,2925l6532,2925m7450,2741l7450,2921m7405,2921l7495,2921m8413,1231l8413,1168,8413,1106m8368,1231l8458,1231m8368,1106l8458,1106e" filled="false" stroked="true" strokeweight="1pt" strokecolor="#000000">
              <v:path arrowok="t"/>
              <v:stroke dashstyle="solid"/>
            </v:shape>
            <v:shape style="position:absolute;left:4551;top:4480;width:20;height:118" coordorigin="4551,4481" coordsize="20,118" path="m4551,4598l4571,4598m4551,4481l4571,4481e" filled="false" stroked="true" strokeweight=".92pt" strokecolor="#000000">
              <v:path arrowok="t"/>
              <v:stroke dashstyle="solid"/>
            </v:shape>
            <v:shape style="position:absolute;left:4516;top:4460;width:90;height:157" coordorigin="4516,4461" coordsize="90,157" path="m4606,4598l4516,4598,4516,4618,4606,4618,4606,4598xm4606,4461l4516,4461,4516,4481,4606,4481,4606,4461xe" filled="true" fillcolor="#000000" stroked="false">
              <v:path arrowok="t"/>
              <v:fill type="solid"/>
            </v:shape>
            <v:shape style="position:absolute;left:5513;top:3416;width:20;height:109" coordorigin="5514,3417" coordsize="20,109" path="m5514,3526l5534,3526m5514,3417l5534,3417e" filled="false" stroked="true" strokeweight=".48pt" strokecolor="#000000">
              <v:path arrowok="t"/>
              <v:stroke dashstyle="solid"/>
            </v:shape>
            <v:rect style="position:absolute;left:5478;top:3521;width:90;height:20" filled="true" fillcolor="#000000" stroked="false">
              <v:fill type="solid"/>
            </v:rect>
            <v:line style="position:absolute" from="5479,3412" to="5569,3412" stroked="true" strokeweight=".84pt" strokecolor="#000000">
              <v:stroke dashstyle="solid"/>
            </v:line>
            <v:shape style="position:absolute;left:5960;top:3100;width:90;height:223" coordorigin="5960,3101" coordsize="90,223" path="m6005,3262l6005,3324m6005,3101l6005,3164m5960,3324l6050,3324e" filled="false" stroked="true" strokeweight="1pt" strokecolor="#000000">
              <v:path arrowok="t"/>
              <v:stroke dashstyle="solid"/>
            </v:shape>
            <v:shape style="position:absolute;left:5960;top:2922;width:537;height:313" coordorigin="5960,2923" coordsize="537,313" path="m6050,3091l5960,3091,5960,3111,6050,3111,6050,3091xm6497,3128l6477,3128,6477,3236,6497,3236,6497,3128xm6497,2923l6477,2923,6477,3027,6497,3027,6497,2923xe" filled="true" fillcolor="#000000" stroked="false">
              <v:path arrowok="t"/>
              <v:fill type="solid"/>
            </v:shape>
            <v:shape style="position:absolute;left:6441;top:2579;width:1053;height:657" coordorigin="6442,2579" coordsize="1053,657" path="m6442,3236l6532,3236m6442,2923l6532,2923m7450,2741l7450,2806m7450,2579l7450,2640m7405,2806l7495,2806m7405,2579l7495,2579e" filled="false" stroked="true" strokeweight="1pt" strokecolor="#000000">
              <v:path arrowok="t"/>
              <v:stroke dashstyle="solid"/>
            </v:shape>
            <v:line style="position:absolute" from="4551,4137" to="4571,4137" stroked="true" strokeweight="2.74pt" strokecolor="#000000">
              <v:stroke dashstyle="solid"/>
            </v:line>
            <v:shape style="position:absolute;left:4516;top:3429;width:1535;height:735" coordorigin="4516,3429" coordsize="1535,735" path="m4516,4164l4606,4164m4516,4109l4606,4109m5524,3521l5524,3568m5479,3568l5569,3568m6005,3539l6005,3484,6005,3429m5960,3539l6050,3539m5960,3429l6050,3429e" filled="false" stroked="true" strokeweight="1pt" strokecolor="#000000">
              <v:path arrowok="t"/>
              <v:stroke dashstyle="solid"/>
            </v:shape>
            <v:rect style="position:absolute;left:6476;top:3127;width:20;height:120" filled="true" fillcolor="#000000" stroked="false">
              <v:fill type="solid"/>
            </v:rect>
            <v:shape style="position:absolute;left:6441;top:2528;width:1008;height:719" coordorigin="6442,2528" coordsize="1008,719" path="m6487,2993l6487,3027m6442,3247l6532,3247m6442,2993l6532,2993m7450,2528l7450,2640e" filled="false" stroked="true" strokeweight="1pt" strokecolor="#000000">
              <v:path arrowok="t"/>
              <v:stroke dashstyle="solid"/>
            </v:shape>
            <v:line style="position:absolute" from="7405,2741" to="7495,2741" stroked="true" strokeweight=".02pt" strokecolor="#000000">
              <v:stroke dashstyle="solid"/>
            </v:line>
            <v:shape style="position:absolute;left:7404;top:2205;width:1053;height:323" coordorigin="7405,2206" coordsize="1053,323" path="m7405,2528l7495,2528m8413,2347l8413,2276,8413,2206m8368,2347l8458,2347m8368,2206l8458,2206e" filled="false" stroked="true" strokeweight="1pt" strokecolor="#000000">
              <v:path arrowok="t"/>
              <v:stroke dashstyle="solid"/>
            </v:shape>
            <v:shape style="position:absolute;left:4560;top:1166;width:3852;height:3262" coordorigin="4560,1167" coordsize="3852,3262" path="m4560,4428l4614,4365,4670,4300,4726,4234,4784,4165,4841,4096,4899,4027,4957,3958,5015,3889,5073,3820,5129,3754,5185,3689,5239,3626,5292,3566,5343,3508,5392,3455,5439,3405,5483,3360,5525,3320,5607,3249,5683,3195,5755,3155,5823,3125,5887,3103,5947,3084,6005,3065,6080,3043,6148,3030,6216,3021,6291,3014,6379,3004,6487,2988m6487,2988l6541,2983,6599,2982,6662,2985,6727,2991,6795,2996,6866,3001,6938,3004,7012,3002,7086,2995,7161,2981,7235,2958,7308,2925,7380,2880,7450,2823,7490,2782,7530,2737,7570,2687,7610,2633,7650,2575,7690,2514,7730,2449,7770,2381,7811,2311,7851,2238,7891,2164,7931,2088,7971,2011,8011,1932,8051,1853,8091,1774,8131,1695,8171,1616,8211,1537,8252,1460,8292,1384,8332,1309,8372,1237,8412,1167e" filled="false" stroked="true" strokeweight="1.44pt" strokecolor="#006fc0">
              <v:path arrowok="t"/>
              <v:stroke dashstyle="solid"/>
            </v:shape>
            <v:shape style="position:absolute;left:4500;top:4368;width:120;height:120" type="#_x0000_t75" stroked="false">
              <v:imagedata r:id="rId120" o:title=""/>
            </v:shape>
            <v:shape style="position:absolute;left:5466;top:3260;width:118;height:118" type="#_x0000_t75" stroked="false">
              <v:imagedata r:id="rId121" o:title=""/>
            </v:shape>
            <v:shape style="position:absolute;left:5944;top:3006;width:120;height:118" type="#_x0000_t75" stroked="false">
              <v:imagedata r:id="rId122" o:title=""/>
            </v:shape>
            <v:shape style="position:absolute;left:6428;top:2928;width:118;height:120" type="#_x0000_t75" stroked="false">
              <v:imagedata r:id="rId123" o:title=""/>
            </v:shape>
            <v:shape style="position:absolute;left:7389;top:2763;width:120;height:118" type="#_x0000_t75" stroked="false">
              <v:imagedata r:id="rId124" o:title=""/>
            </v:shape>
            <v:shape style="position:absolute;left:8352;top:1106;width:120;height:120" type="#_x0000_t75" stroked="false">
              <v:imagedata r:id="rId120" o:title=""/>
            </v:shape>
            <v:shape style="position:absolute;left:4560;top:1658;width:3852;height:2880" coordorigin="4560,1659" coordsize="3852,2880" path="m4560,4539l4614,4478,4670,4416,4726,4351,4784,4286,4841,4220,4899,4153,4957,4086,5015,4020,5073,3954,5129,3890,5185,3827,5239,3767,5292,3709,5343,3654,5392,3602,5439,3554,5483,3510,5608,3401,5684,3348,5756,3308,5823,3278,5886,3254,5947,3233,6005,3212,6079,3185,6147,3167,6217,3152,6292,3136,6381,3112,6487,3077,6545,3057,6609,3038,6676,3018,6748,2998,6822,2976,6899,2953,6978,2927,7058,2898,7138,2865,7218,2829,7297,2788,7374,2742,7450,2691,7503,2649,7557,2604,7610,2556,7663,2505,7717,2451,7770,2394,7824,2336,7877,2276,7931,2215,7984,2153,8038,2090,8091,2027,8145,1963,8198,1900,8252,1838,8305,1777,8359,1717,8412,1659e" filled="false" stroked="true" strokeweight="1.44pt" strokecolor="#ff0000">
              <v:path arrowok="t"/>
              <v:stroke dashstyle="solid"/>
            </v:shape>
            <v:rect style="position:absolute;left:4509;top:4490;width:101;height:99" filled="true" fillcolor="#ff0000" stroked="false">
              <v:fill type="solid"/>
            </v:rect>
            <v:rect style="position:absolute;left:4509;top:4490;width:101;height:99" filled="false" stroked="true" strokeweight=".96pt" strokecolor="#ff0000">
              <v:stroke dashstyle="solid"/>
            </v:rect>
            <v:rect style="position:absolute;left:5476;top:3420;width:99;height:101" filled="true" fillcolor="#ff0000" stroked="false">
              <v:fill type="solid"/>
            </v:rect>
            <v:rect style="position:absolute;left:5476;top:3420;width:99;height:101" filled="false" stroked="true" strokeweight=".96pt" strokecolor="#ff0000">
              <v:stroke dashstyle="solid"/>
            </v:rect>
            <v:rect style="position:absolute;left:5954;top:3163;width:101;height:99" filled="true" fillcolor="#ff0000" stroked="false">
              <v:fill type="solid"/>
            </v:rect>
            <v:rect style="position:absolute;left:5954;top:3163;width:101;height:99" filled="false" stroked="true" strokeweight=".96pt" strokecolor="#ff0000">
              <v:stroke dashstyle="solid"/>
            </v:rect>
            <v:rect style="position:absolute;left:6439;top:3026;width:99;height:101" filled="true" fillcolor="#ff0000" stroked="false">
              <v:fill type="solid"/>
            </v:rect>
            <v:rect style="position:absolute;left:6439;top:3026;width:99;height:101" filled="false" stroked="true" strokeweight=".96pt" strokecolor="#ff0000">
              <v:stroke dashstyle="solid"/>
            </v:rect>
            <v:rect style="position:absolute;left:7399;top:2640;width:101;height:101" filled="true" fillcolor="#ff0000" stroked="false">
              <v:fill type="solid"/>
            </v:rect>
            <v:rect style="position:absolute;left:7399;top:2640;width:101;height:101" filled="false" stroked="true" strokeweight=".96pt" strokecolor="#ff0000">
              <v:stroke dashstyle="solid"/>
            </v:rect>
            <v:rect style="position:absolute;left:8361;top:1608;width:101;height:101" filled="true" fillcolor="#ff0000" stroked="false">
              <v:fill type="solid"/>
            </v:rect>
            <v:rect style="position:absolute;left:8361;top:1608;width:101;height:101" filled="false" stroked="true" strokeweight=".96pt" strokecolor="#ff0000">
              <v:stroke dashstyle="solid"/>
            </v:rect>
            <v:shape style="position:absolute;left:4560;top:2275;width:3852;height:1860" coordorigin="4560,2276" coordsize="3852,1860" path="m4560,4136l4630,4090,4702,4042,4775,3993,4850,3942,4924,3891,4999,3841,5073,3791,5145,3743,5216,3696,5284,3653,5350,3613,5412,3576,5471,3545,5525,3519m5525,3519l5613,3489,5690,3479,5760,3482,5824,3491,5884,3499,5944,3498,6005,3482m6005,3483l6062,3454,6114,3418,6165,3376,6216,3330,6271,3280,6333,3227,6404,3174,6487,3120,6541,3089,6599,3056,6662,3021,6727,2985,6795,2948,6866,2911,6938,2874,7012,2836,7086,2799,7161,2763,7235,2727,7308,2693,7380,2660,7450,2628,7524,2597,7598,2567,7672,2538,7746,2510,7820,2483,7894,2456,7968,2431,8042,2405,8116,2380,8190,2354,8264,2328,8338,2302,8412,2276e" filled="false" stroked="true" strokeweight="1.44pt" strokecolor="#00af50">
              <v:path arrowok="t"/>
              <v:stroke dashstyle="solid"/>
            </v:shape>
            <v:shape style="position:absolute;left:4500;top:4075;width:120;height:120" type="#_x0000_t75" stroked="false">
              <v:imagedata r:id="rId125" o:title=""/>
            </v:shape>
            <v:shape style="position:absolute;left:5466;top:3458;width:118;height:120" type="#_x0000_t75" stroked="false">
              <v:imagedata r:id="rId126" o:title=""/>
            </v:shape>
            <v:shape style="position:absolute;left:5944;top:3422;width:120;height:120" type="#_x0000_t75" stroked="false">
              <v:imagedata r:id="rId125" o:title=""/>
            </v:shape>
            <v:shape style="position:absolute;left:6428;top:3061;width:118;height:118" type="#_x0000_t75" stroked="false">
              <v:imagedata r:id="rId127" o:title=""/>
            </v:shape>
            <v:shape style="position:absolute;left:7389;top:2568;width:120;height:120" type="#_x0000_t75" stroked="false">
              <v:imagedata r:id="rId125" o:title=""/>
            </v:shape>
            <v:shape style="position:absolute;left:8352;top:2216;width:120;height:118" type="#_x0000_t75" stroked="false">
              <v:imagedata r:id="rId128" o:title=""/>
            </v:shape>
            <v:shape style="position:absolute;left:4874;top:240;width:384;height:120" type="#_x0000_t75" stroked="false">
              <v:imagedata r:id="rId129" o:title=""/>
            </v:shape>
            <v:line style="position:absolute" from="6238,300" to="6622,300" stroked="true" strokeweight="1.44pt" strokecolor="#ff0000">
              <v:stroke dashstyle="solid"/>
            </v:line>
            <v:rect style="position:absolute;left:6379;top:249;width:101;height:101" filled="true" fillcolor="#ff0000" stroked="false">
              <v:fill type="solid"/>
            </v:rect>
            <v:rect style="position:absolute;left:6379;top:249;width:101;height:101" filled="false" stroked="true" strokeweight=".96pt" strokecolor="#ff0000">
              <v:stroke dashstyle="solid"/>
            </v:rect>
            <v:shape style="position:absolute;left:7593;top:240;width:384;height:120" type="#_x0000_t75" stroked="false">
              <v:imagedata r:id="rId130" o:title=""/>
            </v:shape>
            <v:shape style="position:absolute;left:4413;top:-34;width:4472;height:670" type="#_x0000_t202" filled="false" stroked="true" strokeweight=".72pt" strokecolor="#000000">
              <v:textbox inset="0,0,0,0">
                <w:txbxContent>
                  <w:p>
                    <w:pPr>
                      <w:spacing w:line="240" w:lineRule="auto" w:before="10"/>
                      <w:rPr>
                        <w:b/>
                        <w:sz w:val="16"/>
                      </w:rPr>
                    </w:pPr>
                  </w:p>
                  <w:p>
                    <w:pPr>
                      <w:tabs>
                        <w:tab w:pos="2242" w:val="left" w:leader="none"/>
                        <w:tab w:pos="3599" w:val="left" w:leader="none"/>
                      </w:tabs>
                      <w:spacing w:before="1"/>
                      <w:ind w:left="87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SGS-A</w:t>
                      <w:tab/>
                      <w:t>SGS-B</w:t>
                      <w:tab/>
                      <w:t>SGS-C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 MT"/>
          <w:w w:val="99"/>
        </w:rPr>
        <w:t>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1"/>
        </w:rPr>
      </w:pPr>
    </w:p>
    <w:p>
      <w:pPr>
        <w:pStyle w:val="BodyText"/>
        <w:ind w:left="1536"/>
        <w:rPr>
          <w:rFonts w:ascii="Arial MT"/>
        </w:rPr>
      </w:pPr>
      <w:r>
        <w:rPr>
          <w:rFonts w:ascii="Arial MT"/>
        </w:rPr>
        <w:t>2.5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1"/>
        </w:rPr>
      </w:pPr>
    </w:p>
    <w:p>
      <w:pPr>
        <w:pStyle w:val="BodyText"/>
        <w:ind w:left="1737"/>
        <w:rPr>
          <w:rFonts w:ascii="Arial MT"/>
        </w:rPr>
      </w:pPr>
      <w:r>
        <w:rPr/>
        <w:pict>
          <v:shape style="position:absolute;margin-left:110.25499pt;margin-top:-18.423328pt;width:15.45pt;height:129.7pt;mso-position-horizontal-relative:page;mso-position-vertical-relative:paragraph;z-index:15879680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Tensile</w:t>
                  </w:r>
                  <w:r>
                    <w:rPr>
                      <w:rFonts w:ascii="Arial"/>
                      <w:b/>
                      <w:spacing w:val="-14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strength</w:t>
                  </w:r>
                  <w:r>
                    <w:rPr>
                      <w:rFonts w:ascii="Arial"/>
                      <w:b/>
                      <w:spacing w:val="-8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(MPa)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0"/>
        </w:rPr>
        <w:t>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0"/>
        </w:rPr>
      </w:pPr>
    </w:p>
    <w:p>
      <w:pPr>
        <w:pStyle w:val="BodyText"/>
        <w:ind w:left="1536"/>
        <w:rPr>
          <w:rFonts w:ascii="Arial MT"/>
        </w:rPr>
      </w:pPr>
      <w:r>
        <w:rPr>
          <w:rFonts w:ascii="Arial MT"/>
        </w:rPr>
        <w:t>1.5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1"/>
        </w:rPr>
      </w:pPr>
    </w:p>
    <w:p>
      <w:pPr>
        <w:pStyle w:val="BodyText"/>
        <w:ind w:left="1737"/>
        <w:rPr>
          <w:rFonts w:ascii="Arial MT"/>
        </w:rPr>
      </w:pPr>
      <w:r>
        <w:rPr>
          <w:rFonts w:ascii="Arial MT"/>
          <w:w w:val="99"/>
        </w:rPr>
        <w:t>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1"/>
        </w:rPr>
      </w:pPr>
    </w:p>
    <w:p>
      <w:pPr>
        <w:pStyle w:val="BodyText"/>
        <w:ind w:left="1536"/>
        <w:rPr>
          <w:rFonts w:ascii="Arial MT"/>
        </w:rPr>
      </w:pPr>
      <w:r>
        <w:rPr>
          <w:rFonts w:ascii="Arial MT"/>
        </w:rPr>
        <w:t>0.5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0"/>
        </w:rPr>
      </w:pPr>
    </w:p>
    <w:p>
      <w:pPr>
        <w:pStyle w:val="BodyText"/>
        <w:ind w:left="1737"/>
        <w:rPr>
          <w:rFonts w:ascii="Arial MT"/>
        </w:rPr>
      </w:pPr>
      <w:r>
        <w:rPr>
          <w:rFonts w:ascii="Arial MT"/>
          <w:w w:val="99"/>
        </w:rPr>
        <w:t>0</w:t>
      </w:r>
    </w:p>
    <w:p>
      <w:pPr>
        <w:pStyle w:val="BodyText"/>
        <w:tabs>
          <w:tab w:pos="2872" w:val="left" w:leader="none"/>
          <w:tab w:pos="3835" w:val="left" w:leader="none"/>
          <w:tab w:pos="4798" w:val="left" w:leader="none"/>
          <w:tab w:pos="5761" w:val="left" w:leader="none"/>
          <w:tab w:pos="6825" w:val="left" w:leader="none"/>
          <w:tab w:pos="7688" w:val="left" w:leader="none"/>
        </w:tabs>
        <w:spacing w:before="76"/>
        <w:ind w:left="2010"/>
        <w:rPr>
          <w:rFonts w:ascii="Arial MT"/>
        </w:rPr>
      </w:pPr>
      <w:r>
        <w:rPr>
          <w:rFonts w:ascii="Arial MT"/>
        </w:rPr>
        <w:t>0</w:t>
        <w:tab/>
        <w:t>0.2</w:t>
        <w:tab/>
        <w:t>0.4</w:t>
        <w:tab/>
        <w:t>0.6</w:t>
        <w:tab/>
        <w:t>0.8</w:t>
        <w:tab/>
        <w:t>1</w:t>
        <w:tab/>
        <w:t>1.2</w:t>
      </w:r>
    </w:p>
    <w:p>
      <w:pPr>
        <w:pStyle w:val="Heading3"/>
        <w:spacing w:before="150"/>
        <w:ind w:left="657" w:right="949"/>
        <w:jc w:val="center"/>
        <w:rPr>
          <w:rFonts w:ascii="Arial"/>
        </w:rPr>
      </w:pPr>
      <w:r>
        <w:rPr>
          <w:rFonts w:ascii="Arial"/>
        </w:rPr>
        <w:t>Mass</w:t>
      </w:r>
      <w:r>
        <w:rPr>
          <w:rFonts w:ascii="Arial"/>
          <w:spacing w:val="-4"/>
        </w:rPr>
        <w:t> </w:t>
      </w:r>
      <w:r>
        <w:rPr>
          <w:rFonts w:ascii="Arial"/>
        </w:rPr>
        <w:t>fraction</w:t>
      </w:r>
      <w:r>
        <w:rPr>
          <w:rFonts w:ascii="Arial"/>
          <w:spacing w:val="-3"/>
        </w:rPr>
        <w:t> </w:t>
      </w:r>
      <w:r>
        <w:rPr>
          <w:rFonts w:ascii="Arial"/>
        </w:rPr>
        <w:t>of</w:t>
      </w:r>
      <w:r>
        <w:rPr>
          <w:rFonts w:ascii="Arial"/>
          <w:spacing w:val="1"/>
        </w:rPr>
        <w:t> </w:t>
      </w:r>
      <w:r>
        <w:rPr>
          <w:rFonts w:ascii="Arial"/>
        </w:rPr>
        <w:t>excipient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29"/>
        <w:ind w:left="465" w:right="1884" w:firstLine="0"/>
        <w:jc w:val="left"/>
        <w:rPr>
          <w:b/>
          <w:sz w:val="24"/>
        </w:rPr>
      </w:pPr>
      <w:r>
        <w:rPr>
          <w:b/>
          <w:sz w:val="24"/>
        </w:rPr>
        <w:t>Figure 4.6: Dilution potential plot showing the relationship between the mass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fraction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excipient and tensile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strength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(MN/m</w:t>
      </w:r>
      <w:r>
        <w:rPr>
          <w:b/>
          <w:sz w:val="24"/>
          <w:vertAlign w:val="superscript"/>
        </w:rPr>
        <w:t>2</w:t>
      </w:r>
      <w:r>
        <w:rPr>
          <w:b/>
          <w:sz w:val="24"/>
          <w:vertAlign w:val="baseline"/>
        </w:rPr>
        <w:t>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580" w:bottom="1260" w:left="1520" w:right="160"/>
        </w:sectPr>
      </w:pPr>
    </w:p>
    <w:p>
      <w:pPr>
        <w:pStyle w:val="BodyText"/>
        <w:spacing w:line="480" w:lineRule="auto" w:before="72"/>
        <w:ind w:left="465" w:right="1255"/>
        <w:jc w:val="both"/>
      </w:pPr>
      <w:r>
        <w:rPr/>
        <w:t>The results of the dynamic vapour sorptiontest carried out to measure the amount of</w:t>
      </w:r>
      <w:r>
        <w:rPr>
          <w:spacing w:val="1"/>
        </w:rPr>
        <w:t> </w:t>
      </w:r>
      <w:r>
        <w:rPr/>
        <w:t>moisture sorbed by the three optimized formulations is presented in Figure 4.7. The %</w:t>
      </w:r>
      <w:r>
        <w:rPr>
          <w:spacing w:val="1"/>
        </w:rPr>
        <w:t> </w:t>
      </w:r>
      <w:r>
        <w:rPr/>
        <w:t>weight change recorded at 80 % RH was ranked in the following order: SGS-A &lt; SGS-</w:t>
      </w:r>
      <w:r>
        <w:rPr>
          <w:spacing w:val="1"/>
        </w:rPr>
        <w:t> </w:t>
      </w:r>
      <w:r>
        <w:rPr/>
        <w:t>B=</w:t>
      </w:r>
      <w:r>
        <w:rPr>
          <w:spacing w:val="-3"/>
        </w:rPr>
        <w:t> </w:t>
      </w:r>
      <w:r>
        <w:rPr/>
        <w:t>SGS-C.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spacing w:before="82"/>
        <w:ind w:left="981" w:right="0" w:firstLine="0"/>
        <w:jc w:val="left"/>
        <w:rPr>
          <w:rFonts w:ascii="Arial MT"/>
          <w:sz w:val="9"/>
        </w:rPr>
      </w:pPr>
      <w:r>
        <w:rPr/>
        <w:pict>
          <v:shape style="position:absolute;margin-left:300.91156pt;margin-top:15.71249pt;width:45.8pt;height:4.7pt;mso-position-horizontal-relative:page;mso-position-vertical-relative:paragraph;z-index:-2076057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w w:val="140"/>
                      <w:sz w:val="8"/>
                    </w:rPr>
                    <w:t>Sorption</w:t>
                  </w:r>
                  <w:r>
                    <w:rPr>
                      <w:rFonts w:ascii="Arial MT"/>
                      <w:spacing w:val="9"/>
                      <w:w w:val="140"/>
                      <w:sz w:val="8"/>
                    </w:rPr>
                    <w:t> </w:t>
                  </w:r>
                  <w:r>
                    <w:rPr>
                      <w:rFonts w:ascii="Arial MT"/>
                      <w:w w:val="140"/>
                      <w:sz w:val="8"/>
                    </w:rPr>
                    <w:t>Isotherm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91156pt;margin-top:15.71249pt;width:45.8pt;height:4.7pt;mso-position-horizontal-relative:page;mso-position-vertical-relative:paragraph;z-index:-2076006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w w:val="140"/>
                      <w:sz w:val="8"/>
                    </w:rPr>
                    <w:t>Sorption</w:t>
                  </w:r>
                  <w:r>
                    <w:rPr>
                      <w:rFonts w:ascii="Arial MT"/>
                      <w:spacing w:val="9"/>
                      <w:w w:val="140"/>
                      <w:sz w:val="8"/>
                    </w:rPr>
                    <w:t> </w:t>
                  </w:r>
                  <w:r>
                    <w:rPr>
                      <w:rFonts w:ascii="Arial MT"/>
                      <w:w w:val="140"/>
                      <w:sz w:val="8"/>
                    </w:rPr>
                    <w:t>Isotherm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33.806946pt;margin-top:5.237528pt;width:377.3pt;height:261.75pt;mso-position-horizontal-relative:page;mso-position-vertical-relative:paragraph;z-index:15881216" coordorigin="2676,105" coordsize="7546,5235">
            <v:shape style="position:absolute;left:2676;top:104;width:7546;height:5235" type="#_x0000_t75" stroked="false">
              <v:imagedata r:id="rId131" o:title=""/>
            </v:shape>
            <v:shape style="position:absolute;left:9410;top:779;width:114;height:266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8"/>
                        <w:sz w:val="9"/>
                      </w:rPr>
                      <w:t></w:t>
                    </w:r>
                  </w:p>
                  <w:p>
                    <w:pPr>
                      <w:spacing w:before="6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8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8674;top:1165;width:114;height:10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8674;top:1227;width:114;height:10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8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7926;top:1625;width:114;height:10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shadow/>
                        <w:color w:val="008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8674;top:1613;width:114;height:179" type="#_x0000_t202" filled="false" stroked="false">
              <v:textbox inset="0,0,0,0">
                <w:txbxContent>
                  <w:p>
                    <w:pPr>
                      <w:spacing w:line="87" w:lineRule="exact"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8"/>
                        <w:sz w:val="9"/>
                      </w:rPr>
                      <w:t></w:t>
                    </w:r>
                  </w:p>
                  <w:p>
                    <w:pPr>
                      <w:spacing w:line="87" w:lineRule="exact" w:before="0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8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9410;top:1625;width:114;height:10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8674;top:1911;width:114;height:10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7178;top:2023;width:114;height:10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8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7926;top:2210;width:114;height:216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shadow/>
                        <w:color w:val="008000"/>
                        <w:w w:val="138"/>
                        <w:sz w:val="9"/>
                      </w:rPr>
                      <w:t></w:t>
                    </w:r>
                  </w:p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6442;top:2421;width:114;height:10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shadow/>
                        <w:color w:val="008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8674;top:2397;width:114;height:10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7178;top:2620;width:114;height:203" type="#_x0000_t202" filled="false" stroked="false">
              <v:textbox inset="0,0,0,0">
                <w:txbxContent>
                  <w:p>
                    <w:pPr>
                      <w:spacing w:line="100" w:lineRule="exact"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shadow/>
                        <w:color w:val="008000"/>
                        <w:w w:val="138"/>
                        <w:sz w:val="9"/>
                      </w:rPr>
                      <w:t></w:t>
                    </w:r>
                  </w:p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5694;top:2807;width:114;height:10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shadow/>
                        <w:color w:val="008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6442;top:2981;width:114;height:22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shadow/>
                        <w:color w:val="008000"/>
                        <w:w w:val="138"/>
                        <w:sz w:val="9"/>
                      </w:rPr>
                      <w:t></w:t>
                    </w:r>
                  </w:p>
                  <w:p>
                    <w:pPr>
                      <w:spacing w:before="24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7926;top:2931;width:114;height:10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4945;top:3192;width:114;height:10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8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5694;top:3329;width:114;height:25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shadow/>
                        <w:color w:val="008000"/>
                        <w:w w:val="138"/>
                        <w:sz w:val="9"/>
                      </w:rPr>
                      <w:t>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7178;top:3317;width:114;height:10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4197;top:3640;width:114;height:10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8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4945;top:3690;width:114;height:27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shadow/>
                        <w:color w:val="008000"/>
                        <w:w w:val="138"/>
                        <w:sz w:val="9"/>
                      </w:rPr>
                      <w:t></w:t>
                    </w:r>
                  </w:p>
                  <w:p>
                    <w:pPr>
                      <w:spacing w:before="74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6442;top:3640;width:114;height:10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5694;top:3952;width:114;height:10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3461;top:4163;width:114;height:10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shadow/>
                        <w:color w:val="008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4197;top:4101;width:114;height:290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shadow/>
                        <w:color w:val="008000"/>
                        <w:w w:val="138"/>
                        <w:sz w:val="9"/>
                      </w:rPr>
                      <w:t></w:t>
                    </w:r>
                  </w:p>
                  <w:p>
                    <w:pPr>
                      <w:spacing w:before="86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4945;top:4275;width:114;height:10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3461;top:4611;width:114;height:10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3461;top:4673;width:114;height:241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8000"/>
                        <w:w w:val="138"/>
                        <w:sz w:val="9"/>
                      </w:rPr>
                      <w:t></w:t>
                    </w:r>
                  </w:p>
                  <w:p>
                    <w:pPr>
                      <w:spacing w:before="37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4197;top:4648;width:114;height:10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3461;top:5059;width:114;height:10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2713;top:5208;width:114;height:10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shadow/>
                        <w:color w:val="008000"/>
                        <w:w w:val="138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7664;top:241;width:1073;height:548" type="#_x0000_t202" filled="false" stroked="true" strokeweight="1.032148pt" strokecolor="#000000">
              <v:textbox inset="0,0,0,0">
                <w:txbxContent>
                  <w:p>
                    <w:pPr>
                      <w:spacing w:line="240" w:lineRule="auto" w:before="8"/>
                      <w:rPr>
                        <w:sz w:val="7"/>
                      </w:rPr>
                    </w:pPr>
                  </w:p>
                  <w:p>
                    <w:pPr>
                      <w:spacing w:before="0"/>
                      <w:ind w:left="64" w:right="0" w:firstLine="0"/>
                      <w:jc w:val="left"/>
                      <w:rPr>
                        <w:rFonts w:ascii="Arial MT" w:hAnsi="Arial MT"/>
                        <w:sz w:val="8"/>
                      </w:rPr>
                    </w:pPr>
                    <w:r>
                      <w:rPr>
                        <w:rFonts w:ascii="Arial MT" w:hAnsi="Arial MT"/>
                        <w:color w:val="FF0000"/>
                        <w:spacing w:val="-1"/>
                        <w:w w:val="140"/>
                        <w:sz w:val="8"/>
                      </w:rPr>
                      <w:t>–––––––</w:t>
                    </w:r>
                    <w:r>
                      <w:rPr>
                        <w:rFonts w:ascii="Arial MT" w:hAnsi="Arial MT"/>
                        <w:color w:val="FF0000"/>
                        <w:spacing w:val="31"/>
                        <w:w w:val="140"/>
                        <w:sz w:val="8"/>
                      </w:rPr>
                      <w:t> </w:t>
                    </w:r>
                    <w:r>
                      <w:rPr>
                        <w:rFonts w:ascii="Arial MT" w:hAnsi="Arial MT"/>
                        <w:color w:val="FF0000"/>
                        <w:spacing w:val="31"/>
                        <w:w w:val="140"/>
                        <w:sz w:val="8"/>
                      </w:rPr>
                      <w:t> </w:t>
                    </w:r>
                    <w:r>
                      <w:rPr>
                        <w:rFonts w:ascii="Arial MT" w:hAnsi="Arial MT"/>
                        <w:color w:val="FF0000"/>
                        <w:w w:val="140"/>
                        <w:sz w:val="8"/>
                      </w:rPr>
                      <w:t>SGS-A</w:t>
                    </w:r>
                  </w:p>
                  <w:p>
                    <w:pPr>
                      <w:spacing w:before="58"/>
                      <w:ind w:left="64" w:right="0" w:firstLine="0"/>
                      <w:jc w:val="left"/>
                      <w:rPr>
                        <w:rFonts w:ascii="Arial MT" w:hAnsi="Arial MT"/>
                        <w:sz w:val="8"/>
                      </w:rPr>
                    </w:pPr>
                    <w:r>
                      <w:rPr>
                        <w:rFonts w:ascii="Arial MT" w:hAnsi="Arial MT"/>
                        <w:color w:val="0000FF"/>
                        <w:spacing w:val="-1"/>
                        <w:w w:val="140"/>
                        <w:sz w:val="8"/>
                      </w:rPr>
                      <w:t>–––––––</w:t>
                    </w:r>
                    <w:r>
                      <w:rPr>
                        <w:rFonts w:ascii="Arial MT" w:hAnsi="Arial MT"/>
                        <w:color w:val="0000FF"/>
                        <w:spacing w:val="31"/>
                        <w:w w:val="140"/>
                        <w:sz w:val="8"/>
                      </w:rPr>
                      <w:t> </w:t>
                    </w:r>
                    <w:r>
                      <w:rPr>
                        <w:rFonts w:ascii="Arial MT" w:hAnsi="Arial MT"/>
                        <w:color w:val="0000FF"/>
                        <w:spacing w:val="31"/>
                        <w:w w:val="140"/>
                        <w:sz w:val="8"/>
                      </w:rPr>
                      <w:t> </w:t>
                    </w:r>
                    <w:r>
                      <w:rPr>
                        <w:rFonts w:ascii="Arial MT" w:hAnsi="Arial MT"/>
                        <w:color w:val="0000FF"/>
                        <w:w w:val="140"/>
                        <w:sz w:val="8"/>
                      </w:rPr>
                      <w:t>SGS-B</w:t>
                    </w:r>
                  </w:p>
                  <w:p>
                    <w:pPr>
                      <w:spacing w:before="57"/>
                      <w:ind w:left="64" w:right="0" w:firstLine="0"/>
                      <w:jc w:val="left"/>
                      <w:rPr>
                        <w:rFonts w:ascii="Arial MT" w:hAnsi="Arial MT"/>
                        <w:sz w:val="8"/>
                      </w:rPr>
                    </w:pPr>
                    <w:r>
                      <w:rPr>
                        <w:rFonts w:ascii="Arial MT" w:hAnsi="Arial MT"/>
                        <w:color w:val="008000"/>
                        <w:spacing w:val="-1"/>
                        <w:w w:val="140"/>
                        <w:sz w:val="8"/>
                      </w:rPr>
                      <w:t>–––––––</w:t>
                    </w:r>
                    <w:r>
                      <w:rPr>
                        <w:rFonts w:ascii="Arial MT" w:hAnsi="Arial MT"/>
                        <w:color w:val="008000"/>
                        <w:spacing w:val="31"/>
                        <w:w w:val="140"/>
                        <w:sz w:val="8"/>
                      </w:rPr>
                      <w:t> </w:t>
                    </w:r>
                    <w:r>
                      <w:rPr>
                        <w:rFonts w:ascii="Arial MT" w:hAnsi="Arial MT"/>
                        <w:color w:val="008000"/>
                        <w:spacing w:val="31"/>
                        <w:w w:val="140"/>
                        <w:sz w:val="8"/>
                      </w:rPr>
                      <w:t> </w:t>
                    </w:r>
                    <w:r>
                      <w:rPr>
                        <w:rFonts w:ascii="Arial MT" w:hAnsi="Arial MT"/>
                        <w:color w:val="008000"/>
                        <w:w w:val="140"/>
                        <w:sz w:val="8"/>
                      </w:rPr>
                      <w:t>SGS-C</w:t>
                    </w:r>
                  </w:p>
                </w:txbxContent>
              </v:textbox>
              <v:stroke dashstyle="solid"/>
              <w10:wrap type="none"/>
            </v:shape>
            <v:shape style="position:absolute;left:5955;top:216;width:1061;height:249" type="#_x0000_t202" filled="false" stroked="true" strokeweight=".960462pt" strokecolor="#000000">
              <v:textbox inset="0,0,0,0">
                <w:txbxContent>
                  <w:p>
                    <w:pPr>
                      <w:spacing w:line="240" w:lineRule="auto" w:before="8"/>
                      <w:rPr>
                        <w:sz w:val="7"/>
                      </w:rPr>
                    </w:pPr>
                  </w:p>
                  <w:p>
                    <w:pPr>
                      <w:spacing w:before="1"/>
                      <w:ind w:left="52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140"/>
                        <w:sz w:val="8"/>
                      </w:rPr>
                      <w:t>Sorption</w:t>
                    </w:r>
                    <w:r>
                      <w:rPr>
                        <w:rFonts w:ascii="Arial MT"/>
                        <w:spacing w:val="19"/>
                        <w:w w:val="140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140"/>
                        <w:sz w:val="8"/>
                      </w:rPr>
                      <w:t>Isotherm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 MT"/>
          <w:w w:val="140"/>
          <w:sz w:val="9"/>
        </w:rPr>
        <w:t>20</w:t>
      </w:r>
    </w:p>
    <w:p>
      <w:pPr>
        <w:pStyle w:val="BodyText"/>
        <w:spacing w:before="8"/>
        <w:rPr>
          <w:rFonts w:ascii="Arial MT"/>
          <w:sz w:val="26"/>
        </w:rPr>
      </w:pPr>
    </w:p>
    <w:p>
      <w:pPr>
        <w:pStyle w:val="BodyText"/>
        <w:spacing w:before="8"/>
        <w:rPr>
          <w:rFonts w:ascii="Arial MT"/>
          <w:sz w:val="8"/>
        </w:rPr>
      </w:pPr>
    </w:p>
    <w:p>
      <w:pPr>
        <w:spacing w:before="0"/>
        <w:ind w:left="981" w:right="0" w:firstLine="0"/>
        <w:jc w:val="left"/>
        <w:rPr>
          <w:rFonts w:ascii="Arial MT"/>
          <w:sz w:val="9"/>
        </w:rPr>
      </w:pPr>
      <w:r>
        <w:rPr>
          <w:rFonts w:ascii="Arial MT"/>
          <w:w w:val="140"/>
          <w:sz w:val="9"/>
        </w:rPr>
        <w:t>18</w:t>
      </w:r>
    </w:p>
    <w:p>
      <w:pPr>
        <w:pStyle w:val="BodyText"/>
        <w:spacing w:before="8"/>
        <w:rPr>
          <w:rFonts w:ascii="Arial MT"/>
          <w:sz w:val="27"/>
        </w:rPr>
      </w:pPr>
    </w:p>
    <w:p>
      <w:pPr>
        <w:pStyle w:val="BodyText"/>
        <w:spacing w:before="8"/>
        <w:rPr>
          <w:rFonts w:ascii="Arial MT"/>
          <w:sz w:val="8"/>
        </w:rPr>
      </w:pPr>
    </w:p>
    <w:p>
      <w:pPr>
        <w:spacing w:before="0"/>
        <w:ind w:left="981" w:right="0" w:firstLine="0"/>
        <w:jc w:val="left"/>
        <w:rPr>
          <w:rFonts w:ascii="Arial MT"/>
          <w:sz w:val="9"/>
        </w:rPr>
      </w:pPr>
      <w:r>
        <w:rPr>
          <w:rFonts w:ascii="Arial MT"/>
          <w:w w:val="140"/>
          <w:sz w:val="9"/>
        </w:rPr>
        <w:t>16</w:t>
      </w:r>
    </w:p>
    <w:p>
      <w:pPr>
        <w:pStyle w:val="BodyText"/>
        <w:spacing w:before="8"/>
        <w:rPr>
          <w:rFonts w:ascii="Arial MT"/>
          <w:sz w:val="26"/>
        </w:rPr>
      </w:pPr>
    </w:p>
    <w:p>
      <w:pPr>
        <w:pStyle w:val="BodyText"/>
        <w:spacing w:before="8"/>
        <w:rPr>
          <w:rFonts w:ascii="Arial MT"/>
          <w:sz w:val="8"/>
        </w:rPr>
      </w:pPr>
    </w:p>
    <w:p>
      <w:pPr>
        <w:spacing w:before="0"/>
        <w:ind w:left="981" w:right="0" w:firstLine="0"/>
        <w:jc w:val="left"/>
        <w:rPr>
          <w:rFonts w:ascii="Arial MT"/>
          <w:sz w:val="9"/>
        </w:rPr>
      </w:pPr>
      <w:r>
        <w:rPr>
          <w:rFonts w:ascii="Arial MT"/>
          <w:w w:val="140"/>
          <w:sz w:val="9"/>
        </w:rPr>
        <w:t>14</w:t>
      </w:r>
    </w:p>
    <w:p>
      <w:pPr>
        <w:pStyle w:val="BodyText"/>
        <w:spacing w:before="9"/>
        <w:rPr>
          <w:rFonts w:ascii="Arial MT"/>
          <w:sz w:val="27"/>
        </w:rPr>
      </w:pPr>
    </w:p>
    <w:p>
      <w:pPr>
        <w:pStyle w:val="BodyText"/>
        <w:spacing w:before="8"/>
        <w:rPr>
          <w:rFonts w:ascii="Arial MT"/>
          <w:sz w:val="8"/>
        </w:rPr>
      </w:pPr>
    </w:p>
    <w:p>
      <w:pPr>
        <w:spacing w:before="0"/>
        <w:ind w:left="981" w:right="0" w:firstLine="0"/>
        <w:jc w:val="left"/>
        <w:rPr>
          <w:rFonts w:ascii="Arial MT"/>
          <w:sz w:val="9"/>
        </w:rPr>
      </w:pPr>
      <w:r>
        <w:rPr>
          <w:rFonts w:ascii="Arial MT"/>
          <w:w w:val="140"/>
          <w:sz w:val="9"/>
        </w:rPr>
        <w:t>12</w:t>
      </w:r>
    </w:p>
    <w:p>
      <w:pPr>
        <w:pStyle w:val="BodyText"/>
        <w:spacing w:before="7"/>
        <w:rPr>
          <w:rFonts w:ascii="Arial MT"/>
          <w:sz w:val="26"/>
        </w:rPr>
      </w:pPr>
    </w:p>
    <w:p>
      <w:pPr>
        <w:pStyle w:val="BodyText"/>
        <w:spacing w:before="8"/>
        <w:rPr>
          <w:rFonts w:ascii="Arial MT"/>
          <w:sz w:val="8"/>
        </w:rPr>
      </w:pPr>
    </w:p>
    <w:p>
      <w:pPr>
        <w:spacing w:before="0"/>
        <w:ind w:left="981" w:right="0" w:firstLine="0"/>
        <w:jc w:val="left"/>
        <w:rPr>
          <w:rFonts w:ascii="Arial MT"/>
          <w:sz w:val="9"/>
        </w:rPr>
      </w:pPr>
      <w:r>
        <w:rPr/>
        <w:pict>
          <v:shape style="position:absolute;margin-left:106.673721pt;margin-top:-16.687029pt;width:10.4pt;height:55.5pt;mso-position-horizontal-relative:page;mso-position-vertical-relative:paragraph;z-index:15881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w w:val="75"/>
                      <w:sz w:val="15"/>
                    </w:rPr>
                    <w:t>W</w:t>
                  </w:r>
                  <w:r>
                    <w:rPr>
                      <w:rFonts w:ascii="Arial MT"/>
                      <w:spacing w:val="-12"/>
                      <w:w w:val="75"/>
                      <w:sz w:val="15"/>
                    </w:rPr>
                    <w:t> </w:t>
                  </w:r>
                  <w:r>
                    <w:rPr>
                      <w:rFonts w:ascii="Arial MT"/>
                      <w:w w:val="75"/>
                      <w:sz w:val="15"/>
                    </w:rPr>
                    <w:t>eight</w:t>
                  </w:r>
                  <w:r>
                    <w:rPr>
                      <w:rFonts w:ascii="Arial MT"/>
                      <w:spacing w:val="27"/>
                      <w:w w:val="75"/>
                      <w:sz w:val="15"/>
                    </w:rPr>
                    <w:t> </w:t>
                  </w:r>
                  <w:r>
                    <w:rPr>
                      <w:rFonts w:ascii="Arial MT"/>
                      <w:w w:val="75"/>
                      <w:sz w:val="15"/>
                    </w:rPr>
                    <w:t>Change</w:t>
                  </w:r>
                  <w:r>
                    <w:rPr>
                      <w:rFonts w:ascii="Arial MT"/>
                      <w:spacing w:val="22"/>
                      <w:w w:val="75"/>
                      <w:sz w:val="15"/>
                    </w:rPr>
                    <w:t> </w:t>
                  </w:r>
                  <w:r>
                    <w:rPr>
                      <w:rFonts w:ascii="Arial MT"/>
                      <w:w w:val="75"/>
                      <w:sz w:val="15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40"/>
          <w:sz w:val="9"/>
        </w:rPr>
        <w:t>10</w:t>
      </w:r>
    </w:p>
    <w:p>
      <w:pPr>
        <w:pStyle w:val="BodyText"/>
        <w:spacing w:before="9"/>
        <w:rPr>
          <w:rFonts w:ascii="Arial MT"/>
          <w:sz w:val="27"/>
        </w:rPr>
      </w:pPr>
    </w:p>
    <w:p>
      <w:pPr>
        <w:pStyle w:val="BodyText"/>
        <w:spacing w:before="8"/>
        <w:rPr>
          <w:rFonts w:ascii="Arial MT"/>
          <w:sz w:val="8"/>
        </w:rPr>
      </w:pPr>
    </w:p>
    <w:p>
      <w:pPr>
        <w:spacing w:before="0"/>
        <w:ind w:left="1055" w:right="0" w:firstLine="0"/>
        <w:jc w:val="left"/>
        <w:rPr>
          <w:rFonts w:ascii="Arial MT"/>
          <w:sz w:val="9"/>
        </w:rPr>
      </w:pPr>
      <w:r>
        <w:rPr>
          <w:rFonts w:ascii="Arial MT"/>
          <w:w w:val="138"/>
          <w:sz w:val="9"/>
        </w:rPr>
        <w:t>8</w:t>
      </w:r>
    </w:p>
    <w:p>
      <w:pPr>
        <w:pStyle w:val="BodyText"/>
        <w:spacing w:before="7"/>
        <w:rPr>
          <w:rFonts w:ascii="Arial MT"/>
          <w:sz w:val="26"/>
        </w:rPr>
      </w:pPr>
    </w:p>
    <w:p>
      <w:pPr>
        <w:pStyle w:val="BodyText"/>
        <w:spacing w:before="8"/>
        <w:rPr>
          <w:rFonts w:ascii="Arial MT"/>
          <w:sz w:val="8"/>
        </w:rPr>
      </w:pPr>
    </w:p>
    <w:p>
      <w:pPr>
        <w:spacing w:before="1"/>
        <w:ind w:left="1055" w:right="0" w:firstLine="0"/>
        <w:jc w:val="left"/>
        <w:rPr>
          <w:rFonts w:ascii="Arial MT"/>
          <w:sz w:val="9"/>
        </w:rPr>
      </w:pPr>
      <w:r>
        <w:rPr>
          <w:rFonts w:ascii="Arial MT"/>
          <w:w w:val="138"/>
          <w:sz w:val="9"/>
        </w:rPr>
        <w:t>6</w:t>
      </w:r>
    </w:p>
    <w:p>
      <w:pPr>
        <w:pStyle w:val="BodyText"/>
        <w:spacing w:before="7"/>
        <w:rPr>
          <w:rFonts w:ascii="Arial MT"/>
          <w:sz w:val="26"/>
        </w:rPr>
      </w:pPr>
    </w:p>
    <w:p>
      <w:pPr>
        <w:pStyle w:val="BodyText"/>
        <w:spacing w:before="8"/>
        <w:rPr>
          <w:rFonts w:ascii="Arial MT"/>
          <w:sz w:val="8"/>
        </w:rPr>
      </w:pPr>
    </w:p>
    <w:p>
      <w:pPr>
        <w:spacing w:before="0"/>
        <w:ind w:left="1055" w:right="0" w:firstLine="0"/>
        <w:jc w:val="left"/>
        <w:rPr>
          <w:rFonts w:ascii="Arial MT"/>
          <w:sz w:val="9"/>
        </w:rPr>
      </w:pPr>
      <w:r>
        <w:rPr>
          <w:rFonts w:ascii="Arial MT"/>
          <w:w w:val="138"/>
          <w:sz w:val="9"/>
        </w:rPr>
        <w:t>4</w:t>
      </w:r>
    </w:p>
    <w:p>
      <w:pPr>
        <w:pStyle w:val="BodyText"/>
        <w:spacing w:before="9"/>
        <w:rPr>
          <w:rFonts w:ascii="Arial MT"/>
          <w:sz w:val="27"/>
        </w:rPr>
      </w:pPr>
    </w:p>
    <w:p>
      <w:pPr>
        <w:pStyle w:val="BodyText"/>
        <w:spacing w:before="8"/>
        <w:rPr>
          <w:rFonts w:ascii="Arial MT"/>
          <w:sz w:val="8"/>
        </w:rPr>
      </w:pPr>
    </w:p>
    <w:p>
      <w:pPr>
        <w:spacing w:before="0"/>
        <w:ind w:left="1055" w:right="0" w:firstLine="0"/>
        <w:jc w:val="left"/>
        <w:rPr>
          <w:rFonts w:ascii="Arial MT"/>
          <w:sz w:val="9"/>
        </w:rPr>
      </w:pPr>
      <w:r>
        <w:rPr>
          <w:rFonts w:ascii="Arial MT"/>
          <w:w w:val="138"/>
          <w:sz w:val="9"/>
        </w:rPr>
        <w:t>2</w:t>
      </w:r>
    </w:p>
    <w:p>
      <w:pPr>
        <w:pStyle w:val="BodyText"/>
        <w:spacing w:before="7"/>
        <w:rPr>
          <w:rFonts w:ascii="Arial MT"/>
          <w:sz w:val="26"/>
        </w:rPr>
      </w:pPr>
    </w:p>
    <w:p>
      <w:pPr>
        <w:pStyle w:val="BodyText"/>
        <w:spacing w:before="8"/>
        <w:rPr>
          <w:rFonts w:ascii="Arial MT"/>
          <w:sz w:val="8"/>
        </w:rPr>
      </w:pPr>
    </w:p>
    <w:p>
      <w:pPr>
        <w:spacing w:before="1"/>
        <w:ind w:left="1055" w:right="0" w:firstLine="0"/>
        <w:jc w:val="left"/>
        <w:rPr>
          <w:rFonts w:ascii="Arial MT"/>
          <w:sz w:val="9"/>
        </w:rPr>
      </w:pPr>
      <w:r>
        <w:rPr>
          <w:rFonts w:ascii="Arial MT"/>
          <w:w w:val="138"/>
          <w:sz w:val="9"/>
        </w:rPr>
        <w:t>0</w:t>
      </w:r>
    </w:p>
    <w:p>
      <w:pPr>
        <w:tabs>
          <w:tab w:pos="2652" w:val="left" w:leader="none"/>
          <w:tab w:pos="4136" w:val="left" w:leader="none"/>
          <w:tab w:pos="5633" w:val="left" w:leader="none"/>
          <w:tab w:pos="7117" w:val="left" w:leader="none"/>
          <w:tab w:pos="8577" w:val="left" w:leader="none"/>
        </w:tabs>
        <w:spacing w:before="46"/>
        <w:ind w:left="1193" w:right="0" w:firstLine="0"/>
        <w:jc w:val="left"/>
        <w:rPr>
          <w:rFonts w:ascii="Arial MT"/>
          <w:sz w:val="9"/>
        </w:rPr>
      </w:pPr>
      <w:r>
        <w:rPr>
          <w:rFonts w:ascii="Arial MT"/>
          <w:w w:val="140"/>
          <w:sz w:val="9"/>
        </w:rPr>
        <w:t>0</w:t>
        <w:tab/>
        <w:t>20</w:t>
        <w:tab/>
        <w:t>40</w:t>
        <w:tab/>
        <w:t>60</w:t>
        <w:tab/>
        <w:t>80</w:t>
        <w:tab/>
        <w:t>100</w:t>
      </w:r>
    </w:p>
    <w:p>
      <w:pPr>
        <w:spacing w:after="0"/>
        <w:jc w:val="left"/>
        <w:rPr>
          <w:rFonts w:ascii="Arial MT"/>
          <w:sz w:val="9"/>
        </w:rPr>
        <w:sectPr>
          <w:pgSz w:w="11910" w:h="16840"/>
          <w:pgMar w:header="0" w:footer="987" w:top="1360" w:bottom="1260" w:left="1520" w:right="160"/>
        </w:sectPr>
      </w:pPr>
    </w:p>
    <w:p>
      <w:pPr>
        <w:pStyle w:val="BodyText"/>
        <w:spacing w:before="11"/>
        <w:rPr>
          <w:rFonts w:ascii="Arial MT"/>
          <w:sz w:val="10"/>
        </w:rPr>
      </w:pPr>
    </w:p>
    <w:p>
      <w:pPr>
        <w:spacing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Relative</w:t>
      </w:r>
      <w:r>
        <w:rPr>
          <w:rFonts w:ascii="Arial MT"/>
          <w:spacing w:val="14"/>
          <w:w w:val="135"/>
          <w:sz w:val="11"/>
        </w:rPr>
        <w:t> </w:t>
      </w:r>
      <w:r>
        <w:rPr>
          <w:rFonts w:ascii="Arial MT"/>
          <w:w w:val="135"/>
          <w:sz w:val="11"/>
        </w:rPr>
        <w:t>Humidity</w:t>
      </w:r>
      <w:r>
        <w:rPr>
          <w:rFonts w:ascii="Arial MT"/>
          <w:spacing w:val="-7"/>
          <w:w w:val="135"/>
          <w:sz w:val="11"/>
        </w:rPr>
        <w:t> </w:t>
      </w:r>
      <w:r>
        <w:rPr>
          <w:rFonts w:ascii="Arial MT"/>
          <w:w w:val="135"/>
          <w:sz w:val="11"/>
        </w:rPr>
        <w:t>(%)</w:t>
      </w:r>
    </w:p>
    <w:p>
      <w:pPr>
        <w:pStyle w:val="BodyText"/>
        <w:rPr>
          <w:rFonts w:ascii="Arial MT"/>
          <w:sz w:val="11"/>
        </w:rPr>
      </w:pPr>
      <w:r>
        <w:rPr/>
        <w:br w:type="column"/>
      </w:r>
      <w:r>
        <w:rPr>
          <w:rFonts w:ascii="Arial MT"/>
          <w:sz w:val="11"/>
        </w:rPr>
      </w:r>
    </w:p>
    <w:p>
      <w:pPr>
        <w:spacing w:before="0"/>
        <w:ind w:left="2432" w:right="0" w:firstLine="0"/>
        <w:jc w:val="left"/>
        <w:rPr>
          <w:rFonts w:ascii="Arial MT"/>
          <w:sz w:val="7"/>
        </w:rPr>
      </w:pPr>
      <w:r>
        <w:rPr>
          <w:rFonts w:ascii="Arial MT"/>
          <w:spacing w:val="-3"/>
          <w:w w:val="140"/>
          <w:sz w:val="7"/>
        </w:rPr>
        <w:t>Universal</w:t>
      </w:r>
      <w:r>
        <w:rPr>
          <w:rFonts w:ascii="Arial MT"/>
          <w:spacing w:val="1"/>
          <w:w w:val="140"/>
          <w:sz w:val="7"/>
        </w:rPr>
        <w:t> </w:t>
      </w:r>
      <w:r>
        <w:rPr>
          <w:rFonts w:ascii="Arial MT"/>
          <w:spacing w:val="-2"/>
          <w:w w:val="140"/>
          <w:sz w:val="7"/>
        </w:rPr>
        <w:t>V4.5A</w:t>
      </w:r>
      <w:r>
        <w:rPr>
          <w:rFonts w:ascii="Arial MT"/>
          <w:spacing w:val="-5"/>
          <w:w w:val="140"/>
          <w:sz w:val="7"/>
        </w:rPr>
        <w:t> </w:t>
      </w:r>
      <w:r>
        <w:rPr>
          <w:rFonts w:ascii="Arial MT"/>
          <w:spacing w:val="-2"/>
          <w:w w:val="140"/>
          <w:sz w:val="7"/>
        </w:rPr>
        <w:t>TA</w:t>
      </w:r>
      <w:r>
        <w:rPr>
          <w:rFonts w:ascii="Arial MT"/>
          <w:spacing w:val="-5"/>
          <w:w w:val="140"/>
          <w:sz w:val="7"/>
        </w:rPr>
        <w:t> </w:t>
      </w:r>
      <w:r>
        <w:rPr>
          <w:rFonts w:ascii="Arial MT"/>
          <w:spacing w:val="-2"/>
          <w:w w:val="140"/>
          <w:sz w:val="7"/>
        </w:rPr>
        <w:t>Instruments</w:t>
      </w:r>
    </w:p>
    <w:p>
      <w:pPr>
        <w:spacing w:after="0"/>
        <w:jc w:val="left"/>
        <w:rPr>
          <w:rFonts w:ascii="Arial MT"/>
          <w:sz w:val="7"/>
        </w:rPr>
        <w:sectPr>
          <w:type w:val="continuous"/>
          <w:pgSz w:w="11910" w:h="16840"/>
          <w:pgMar w:top="1320" w:bottom="1260" w:left="1520" w:right="160"/>
          <w:cols w:num="2" w:equalWidth="0">
            <w:col w:w="5693" w:space="40"/>
            <w:col w:w="449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5"/>
        </w:rPr>
      </w:pPr>
    </w:p>
    <w:p>
      <w:pPr>
        <w:pStyle w:val="Heading3"/>
        <w:spacing w:before="90"/>
        <w:ind w:left="465" w:right="1285"/>
      </w:pPr>
      <w:r>
        <w:rPr/>
        <w:t>Figure 4.7: Moisture sorption/desorption isotherms of SGS-A, SGS-B and SGS-C</w:t>
      </w:r>
      <w:r>
        <w:rPr>
          <w:spacing w:val="1"/>
        </w:rPr>
        <w:t> </w:t>
      </w:r>
      <w:r>
        <w:rPr/>
        <w:t>showing the relationship between the relative humidity (% RH) and weight change</w:t>
      </w:r>
      <w:r>
        <w:rPr>
          <w:spacing w:val="-57"/>
        </w:rPr>
        <w:t> </w:t>
      </w:r>
      <w:r>
        <w:rPr/>
        <w:t>(%)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</w:rPr>
      </w:pPr>
    </w:p>
    <w:p>
      <w:pPr>
        <w:pStyle w:val="BodyText"/>
        <w:spacing w:line="480" w:lineRule="auto"/>
        <w:ind w:left="465" w:right="1258"/>
        <w:jc w:val="both"/>
      </w:pPr>
      <w:r>
        <w:rPr/>
        <w:t>Based on the findings and observations of the experimental design and other supporting</w:t>
      </w:r>
      <w:r>
        <w:rPr>
          <w:spacing w:val="1"/>
        </w:rPr>
        <w:t> </w:t>
      </w:r>
      <w:r>
        <w:rPr/>
        <w:t>studies, SGS-A was selected as the optimized composition of the co-processed excipient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was carried</w:t>
      </w:r>
      <w:r>
        <w:rPr>
          <w:spacing w:val="1"/>
        </w:rPr>
        <w:t> </w:t>
      </w:r>
      <w:r>
        <w:rPr/>
        <w:t>forward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 studies.</w:t>
      </w:r>
    </w:p>
    <w:p>
      <w:pPr>
        <w:spacing w:after="0" w:line="480" w:lineRule="auto"/>
        <w:jc w:val="both"/>
        <w:sectPr>
          <w:type w:val="continuous"/>
          <w:pgSz w:w="11910" w:h="16840"/>
          <w:pgMar w:top="1320" w:bottom="1260" w:left="1520" w:right="160"/>
        </w:sectPr>
      </w:pPr>
    </w:p>
    <w:p>
      <w:pPr>
        <w:pStyle w:val="Heading3"/>
        <w:numPr>
          <w:ilvl w:val="1"/>
          <w:numId w:val="20"/>
        </w:numPr>
        <w:tabs>
          <w:tab w:pos="1185" w:val="left" w:leader="none"/>
          <w:tab w:pos="1186" w:val="left" w:leader="none"/>
        </w:tabs>
        <w:spacing w:line="240" w:lineRule="auto" w:before="76" w:after="0"/>
        <w:ind w:left="1185" w:right="0" w:hanging="721"/>
        <w:jc w:val="left"/>
      </w:pPr>
      <w:bookmarkStart w:name="_TOC_250036" w:id="70"/>
      <w:r>
        <w:rPr/>
        <w:t>Solid-state</w:t>
      </w:r>
      <w:r>
        <w:rPr>
          <w:spacing w:val="-4"/>
        </w:rPr>
        <w:t> </w:t>
      </w:r>
      <w:bookmarkEnd w:id="70"/>
      <w:r>
        <w:rPr/>
        <w:t>Characterization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2"/>
          <w:numId w:val="20"/>
        </w:numPr>
        <w:tabs>
          <w:tab w:pos="1185" w:val="left" w:leader="none"/>
          <w:tab w:pos="1186" w:val="left" w:leader="none"/>
        </w:tabs>
        <w:spacing w:line="240" w:lineRule="auto" w:before="218" w:after="0"/>
        <w:ind w:left="1185" w:right="0" w:hanging="721"/>
        <w:jc w:val="left"/>
      </w:pPr>
      <w:bookmarkStart w:name="_TOC_250035" w:id="71"/>
      <w:r>
        <w:rPr/>
        <w:t>Optical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polarized</w:t>
      </w:r>
      <w:r>
        <w:rPr>
          <w:spacing w:val="-2"/>
        </w:rPr>
        <w:t> </w:t>
      </w:r>
      <w:bookmarkEnd w:id="71"/>
      <w:r>
        <w:rPr/>
        <w:t>microscopy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5" w:right="1255"/>
        <w:jc w:val="both"/>
      </w:pPr>
      <w:r>
        <w:rPr/>
        <w:t>The images captured under the microscope for cassava starch (CS) and </w:t>
      </w:r>
      <w:r>
        <w:rPr>
          <w:i/>
        </w:rPr>
        <w:t>StarGelaSil</w:t>
      </w:r>
      <w:r>
        <w:rPr>
          <w:i/>
          <w:spacing w:val="1"/>
        </w:rPr>
        <w:t> </w:t>
      </w:r>
      <w:r>
        <w:rPr/>
        <w:t>(SGS) are displayed as Plates</w:t>
      </w:r>
      <w:r>
        <w:rPr>
          <w:spacing w:val="1"/>
        </w:rPr>
        <w:t> </w:t>
      </w:r>
      <w:r>
        <w:rPr/>
        <w:t>I and</w:t>
      </w:r>
      <w:r>
        <w:rPr>
          <w:spacing w:val="60"/>
        </w:rPr>
        <w:t> </w:t>
      </w:r>
      <w:r>
        <w:rPr/>
        <w:t>II respectively. The optical images revealed that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are spherical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shape. The polarized images showed birefringence in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materials.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ind w:left="1308"/>
        <w:rPr>
          <w:sz w:val="20"/>
        </w:rPr>
      </w:pPr>
      <w:r>
        <w:rPr>
          <w:sz w:val="20"/>
        </w:rPr>
        <w:drawing>
          <wp:inline distT="0" distB="0" distL="0" distR="0">
            <wp:extent cx="4328794" cy="1682496"/>
            <wp:effectExtent l="0" t="0" r="0" b="0"/>
            <wp:docPr id="127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25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794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6"/>
        </w:rPr>
      </w:pPr>
    </w:p>
    <w:p>
      <w:pPr>
        <w:pStyle w:val="Heading3"/>
        <w:spacing w:before="90"/>
        <w:ind w:left="2181"/>
      </w:pPr>
      <w:r>
        <w:rPr/>
        <w:t>Plate</w:t>
      </w:r>
      <w:r>
        <w:rPr>
          <w:spacing w:val="-3"/>
        </w:rPr>
        <w:t> </w:t>
      </w:r>
      <w:r>
        <w:rPr/>
        <w:t>I:</w:t>
      </w:r>
      <w:r>
        <w:rPr>
          <w:spacing w:val="-1"/>
        </w:rPr>
        <w:t> </w:t>
      </w:r>
      <w:r>
        <w:rPr/>
        <w:t>Optical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polarized</w:t>
      </w:r>
      <w:r>
        <w:rPr>
          <w:spacing w:val="-1"/>
        </w:rPr>
        <w:t> </w:t>
      </w:r>
      <w:r>
        <w:rPr/>
        <w:t>images</w:t>
      </w:r>
      <w:r>
        <w:rPr>
          <w:spacing w:val="-1"/>
        </w:rPr>
        <w:t> </w:t>
      </w:r>
      <w:r>
        <w:rPr/>
        <w:t>of CS</w:t>
      </w:r>
      <w:r>
        <w:rPr>
          <w:spacing w:val="1"/>
        </w:rPr>
        <w:t> </w:t>
      </w:r>
      <w:r>
        <w:rPr/>
        <w:t>(x</w:t>
      </w:r>
      <w:r>
        <w:rPr>
          <w:spacing w:val="-1"/>
        </w:rPr>
        <w:t> </w:t>
      </w:r>
      <w:r>
        <w:rPr/>
        <w:t>50)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300">
            <wp:simplePos x="0" y="0"/>
            <wp:positionH relativeFrom="page">
              <wp:posOffset>1788795</wp:posOffset>
            </wp:positionH>
            <wp:positionV relativeFrom="paragraph">
              <wp:posOffset>213161</wp:posOffset>
            </wp:positionV>
            <wp:extent cx="4325995" cy="1673352"/>
            <wp:effectExtent l="0" t="0" r="0" b="0"/>
            <wp:wrapTopAndBottom/>
            <wp:docPr id="129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26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995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32"/>
        </w:rPr>
      </w:pPr>
    </w:p>
    <w:p>
      <w:pPr>
        <w:spacing w:before="1"/>
        <w:ind w:left="2061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Optical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polarized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images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SGS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(x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50)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400" w:bottom="1260" w:left="1520" w:right="160"/>
        </w:sectPr>
      </w:pPr>
    </w:p>
    <w:p>
      <w:pPr>
        <w:pStyle w:val="BodyText"/>
        <w:spacing w:line="480" w:lineRule="auto" w:before="72"/>
        <w:ind w:left="465" w:right="1254"/>
        <w:jc w:val="both"/>
      </w:pPr>
      <w:r>
        <w:rPr/>
        <w:t>Particle size analysis of CS and SGS is presented in Table 4.7. There was an increase in</w:t>
      </w:r>
      <w:r>
        <w:rPr>
          <w:spacing w:val="1"/>
        </w:rPr>
        <w:t> </w:t>
      </w:r>
      <w:r>
        <w:rPr/>
        <w:t>the particle size of SGS as a result of co-processing. The polydispersity index (PDI) of</w:t>
      </w:r>
      <w:r>
        <w:rPr>
          <w:spacing w:val="1"/>
        </w:rPr>
        <w:t> </w:t>
      </w:r>
      <w:r>
        <w:rPr/>
        <w:t>SGS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greater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CS</w:t>
      </w:r>
      <w:r>
        <w:rPr>
          <w:spacing w:val="1"/>
        </w:rPr>
        <w:t> </w:t>
      </w:r>
      <w:r>
        <w:rPr/>
        <w:t>indicating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wider</w:t>
      </w:r>
      <w:r>
        <w:rPr>
          <w:spacing w:val="-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particle</w:t>
      </w:r>
      <w:r>
        <w:rPr>
          <w:spacing w:val="-1"/>
        </w:rPr>
        <w:t> </w:t>
      </w:r>
      <w:r>
        <w:rPr/>
        <w:t>size</w:t>
      </w:r>
      <w:r>
        <w:rPr>
          <w:spacing w:val="1"/>
        </w:rPr>
        <w:t> </w:t>
      </w:r>
      <w:r>
        <w:rPr/>
        <w:t>distribution.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ind w:left="465"/>
      </w:pPr>
      <w:r>
        <w:rPr/>
        <w:t>Table</w:t>
      </w:r>
      <w:r>
        <w:rPr>
          <w:spacing w:val="-2"/>
        </w:rPr>
        <w:t> </w:t>
      </w:r>
      <w:r>
        <w:rPr/>
        <w:t>4.7:</w:t>
      </w:r>
      <w:r>
        <w:rPr>
          <w:spacing w:val="-1"/>
        </w:rPr>
        <w:t> </w:t>
      </w:r>
      <w:r>
        <w:rPr/>
        <w:t>Particle</w:t>
      </w:r>
      <w:r>
        <w:rPr>
          <w:spacing w:val="-2"/>
        </w:rPr>
        <w:t> </w:t>
      </w:r>
      <w:r>
        <w:rPr/>
        <w:t>size analysis of cassava</w:t>
      </w:r>
      <w:r>
        <w:rPr>
          <w:spacing w:val="-2"/>
        </w:rPr>
        <w:t> </w:t>
      </w:r>
      <w:r>
        <w:rPr/>
        <w:t>starch</w:t>
      </w:r>
      <w:r>
        <w:rPr>
          <w:spacing w:val="-1"/>
        </w:rPr>
        <w:t> </w:t>
      </w:r>
      <w:r>
        <w:rPr/>
        <w:t>(CS)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StarGelaSil</w:t>
      </w:r>
      <w:r>
        <w:rPr>
          <w:i/>
          <w:spacing w:val="-2"/>
        </w:rPr>
        <w:t> </w:t>
      </w:r>
      <w:r>
        <w:rPr/>
        <w:t>(SGS)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3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236"/>
        <w:gridCol w:w="1424"/>
        <w:gridCol w:w="1424"/>
        <w:gridCol w:w="1529"/>
        <w:gridCol w:w="1797"/>
      </w:tblGrid>
      <w:tr>
        <w:trPr>
          <w:trHeight w:val="627" w:hRule="atLeast"/>
        </w:trPr>
        <w:tc>
          <w:tcPr>
            <w:tcW w:w="8831" w:type="dxa"/>
            <w:gridSpan w:val="6"/>
            <w:tcBorders>
              <w:top w:val="single" w:sz="12" w:space="0" w:color="000000"/>
            </w:tcBorders>
          </w:tcPr>
          <w:p>
            <w:pPr>
              <w:pStyle w:val="TableParagraph"/>
              <w:spacing w:before="173"/>
              <w:ind w:left="3869"/>
              <w:rPr>
                <w:b/>
                <w:sz w:val="24"/>
              </w:rPr>
            </w:pPr>
            <w:r>
              <w:rPr>
                <w:b/>
                <w:sz w:val="24"/>
              </w:rPr>
              <w:t>Particle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size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distribution</w:t>
            </w:r>
          </w:p>
        </w:tc>
      </w:tr>
      <w:tr>
        <w:trPr>
          <w:trHeight w:val="1225" w:hRule="atLeast"/>
        </w:trPr>
        <w:tc>
          <w:tcPr>
            <w:tcW w:w="1421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</w:p>
        </w:tc>
        <w:tc>
          <w:tcPr>
            <w:tcW w:w="1236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41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z w:val="24"/>
                <w:vertAlign w:val="subscript"/>
              </w:rPr>
              <w:t>10</w:t>
            </w:r>
            <w:r>
              <w:rPr>
                <w:b/>
                <w:sz w:val="24"/>
                <w:vertAlign w:val="baseline"/>
              </w:rPr>
              <w:t>(µm)</w:t>
            </w:r>
          </w:p>
        </w:tc>
        <w:tc>
          <w:tcPr>
            <w:tcW w:w="1424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41"/>
              </w:rPr>
            </w:pPr>
          </w:p>
          <w:p>
            <w:pPr>
              <w:pStyle w:val="TableParagraph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z w:val="24"/>
                <w:vertAlign w:val="subscript"/>
              </w:rPr>
              <w:t>50</w:t>
            </w:r>
            <w:r>
              <w:rPr>
                <w:b/>
                <w:sz w:val="24"/>
                <w:vertAlign w:val="baseline"/>
              </w:rPr>
              <w:t>(µm)</w:t>
            </w:r>
          </w:p>
        </w:tc>
        <w:tc>
          <w:tcPr>
            <w:tcW w:w="1424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41"/>
              </w:rPr>
            </w:pPr>
          </w:p>
          <w:p>
            <w:pPr>
              <w:pStyle w:val="TableParagraph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z w:val="24"/>
                <w:vertAlign w:val="subscript"/>
              </w:rPr>
              <w:t>90</w:t>
            </w:r>
            <w:r>
              <w:rPr>
                <w:b/>
                <w:sz w:val="24"/>
                <w:vertAlign w:val="baseline"/>
              </w:rPr>
              <w:t>(µm)</w:t>
            </w:r>
          </w:p>
        </w:tc>
        <w:tc>
          <w:tcPr>
            <w:tcW w:w="1529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294" w:right="561"/>
              <w:rPr>
                <w:b/>
                <w:sz w:val="24"/>
              </w:rPr>
            </w:pPr>
            <w:r>
              <w:rPr>
                <w:b/>
                <w:sz w:val="24"/>
              </w:rPr>
              <w:t>Range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797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189" w:right="1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Polydispersity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index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(PI)</w:t>
            </w:r>
          </w:p>
        </w:tc>
      </w:tr>
      <w:tr>
        <w:trPr>
          <w:trHeight w:val="1076" w:hRule="atLeast"/>
        </w:trPr>
        <w:tc>
          <w:tcPr>
            <w:tcW w:w="142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SGS</w:t>
            </w:r>
          </w:p>
        </w:tc>
        <w:tc>
          <w:tcPr>
            <w:tcW w:w="123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15.5</w:t>
            </w:r>
          </w:p>
        </w:tc>
        <w:tc>
          <w:tcPr>
            <w:tcW w:w="142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2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57.8</w:t>
            </w:r>
          </w:p>
        </w:tc>
        <w:tc>
          <w:tcPr>
            <w:tcW w:w="152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294"/>
              <w:rPr>
                <w:sz w:val="24"/>
              </w:rPr>
            </w:pPr>
            <w:r>
              <w:rPr>
                <w:sz w:val="24"/>
              </w:rPr>
              <w:t>6.3 -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110.9</w:t>
            </w:r>
          </w:p>
        </w:tc>
        <w:tc>
          <w:tcPr>
            <w:tcW w:w="179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189"/>
              <w:rPr>
                <w:sz w:val="24"/>
              </w:rPr>
            </w:pPr>
            <w:r>
              <w:rPr>
                <w:sz w:val="24"/>
              </w:rPr>
              <w:t>1.46</w:t>
            </w:r>
          </w:p>
        </w:tc>
      </w:tr>
      <w:tr>
        <w:trPr>
          <w:trHeight w:val="736" w:hRule="atLeast"/>
        </w:trPr>
        <w:tc>
          <w:tcPr>
            <w:tcW w:w="142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162"/>
              <w:ind w:left="107"/>
              <w:rPr>
                <w:sz w:val="24"/>
              </w:rPr>
            </w:pPr>
            <w:r>
              <w:rPr>
                <w:sz w:val="24"/>
              </w:rPr>
              <w:t>CS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162"/>
              <w:ind w:left="108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4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162"/>
              <w:ind w:left="295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14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162"/>
              <w:ind w:left="295"/>
              <w:rPr>
                <w:sz w:val="24"/>
              </w:rPr>
            </w:pPr>
            <w:r>
              <w:rPr>
                <w:sz w:val="24"/>
              </w:rPr>
              <w:t>16.8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162"/>
              <w:ind w:left="294"/>
              <w:rPr>
                <w:sz w:val="24"/>
              </w:rPr>
            </w:pPr>
            <w:r>
              <w:rPr>
                <w:sz w:val="24"/>
              </w:rPr>
              <w:t>5.6 -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</w:p>
        </w:tc>
        <w:tc>
          <w:tcPr>
            <w:tcW w:w="179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162"/>
              <w:ind w:left="189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  <w:r>
        <w:rPr/>
        <w:pict>
          <v:rect style="position:absolute;margin-left:90.504005pt;margin-top:18.77356pt;width:442.060021pt;height:1.44pt;mso-position-horizontal-relative:page;mso-position-vertical-relative:paragraph;z-index:-15574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9"/>
        </w:rPr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7"/>
      </w:pPr>
      <w:r>
        <w:rPr/>
        <w:t>The</w:t>
      </w:r>
      <w:r>
        <w:rPr>
          <w:spacing w:val="18"/>
        </w:rPr>
        <w:t> </w:t>
      </w:r>
      <w:r>
        <w:rPr/>
        <w:t>particle</w:t>
      </w:r>
      <w:r>
        <w:rPr>
          <w:spacing w:val="19"/>
        </w:rPr>
        <w:t> </w:t>
      </w:r>
      <w:r>
        <w:rPr/>
        <w:t>size</w:t>
      </w:r>
      <w:r>
        <w:rPr>
          <w:spacing w:val="19"/>
        </w:rPr>
        <w:t> </w:t>
      </w:r>
      <w:r>
        <w:rPr/>
        <w:t>distribution</w:t>
      </w:r>
      <w:r>
        <w:rPr>
          <w:spacing w:val="20"/>
        </w:rPr>
        <w:t> </w:t>
      </w:r>
      <w:r>
        <w:rPr/>
        <w:t>curves</w:t>
      </w:r>
      <w:r>
        <w:rPr>
          <w:spacing w:val="20"/>
        </w:rPr>
        <w:t> </w:t>
      </w:r>
      <w:r>
        <w:rPr/>
        <w:t>displayed</w:t>
      </w:r>
      <w:r>
        <w:rPr>
          <w:spacing w:val="22"/>
        </w:rPr>
        <w:t> </w:t>
      </w:r>
      <w:r>
        <w:rPr/>
        <w:t>as</w:t>
      </w:r>
      <w:r>
        <w:rPr>
          <w:spacing w:val="19"/>
        </w:rPr>
        <w:t> </w:t>
      </w:r>
      <w:r>
        <w:rPr/>
        <w:t>Figures</w:t>
      </w:r>
      <w:r>
        <w:rPr>
          <w:spacing w:val="20"/>
        </w:rPr>
        <w:t> </w:t>
      </w:r>
      <w:r>
        <w:rPr/>
        <w:t>4.8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4.9</w:t>
      </w:r>
      <w:r>
        <w:rPr>
          <w:spacing w:val="20"/>
        </w:rPr>
        <w:t> </w:t>
      </w:r>
      <w:r>
        <w:rPr/>
        <w:t>reveal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uniform</w:t>
      </w:r>
      <w:r>
        <w:rPr>
          <w:spacing w:val="-57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CS and a less uniform distribution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SGS.</w:t>
      </w:r>
    </w:p>
    <w:p>
      <w:pPr>
        <w:spacing w:after="0" w:line="480" w:lineRule="auto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90"/>
        <w:ind w:left="1748"/>
      </w:pPr>
      <w:r>
        <w:rPr/>
        <w:pict>
          <v:group style="position:absolute;margin-left:184.919998pt;margin-top:11.743095pt;width:259.2pt;height:263.650pt;mso-position-horizontal-relative:page;mso-position-vertical-relative:paragraph;z-index:15883264" coordorigin="3698,235" coordsize="5184,5273">
            <v:shape style="position:absolute;left:3770;top:5288;width:401;height:205" type="#_x0000_t75" stroked="false">
              <v:imagedata r:id="rId134" o:title=""/>
            </v:shape>
            <v:shape style="position:absolute;left:3801;top:5277;width:332;height:216" type="#_x0000_t75" stroked="false">
              <v:imagedata r:id="rId135" o:title=""/>
            </v:shape>
            <v:line style="position:absolute" from="3713,5493" to="3713,235" stroked="true" strokeweight="1.44pt" strokecolor="#000000">
              <v:stroke dashstyle="solid"/>
            </v:line>
            <v:shape style="position:absolute;left:4286;top:3676;width:401;height:1818" type="#_x0000_t75" stroked="false">
              <v:imagedata r:id="rId136" o:title=""/>
            </v:shape>
            <v:shape style="position:absolute;left:4320;top:3671;width:332;height:1822" type="#_x0000_t75" stroked="false">
              <v:imagedata r:id="rId137" o:title=""/>
            </v:shape>
            <v:shape style="position:absolute;left:4804;top:1655;width:401;height:3838" type="#_x0000_t75" stroked="false">
              <v:imagedata r:id="rId138" o:title=""/>
            </v:shape>
            <v:shape style="position:absolute;left:4838;top:1648;width:332;height:3845" type="#_x0000_t75" stroked="false">
              <v:imagedata r:id="rId139" o:title=""/>
            </v:shape>
            <v:shape style="position:absolute;left:5320;top:880;width:401;height:4614" type="#_x0000_t75" stroked="false">
              <v:imagedata r:id="rId140" o:title=""/>
            </v:shape>
            <v:shape style="position:absolute;left:5349;top:878;width:324;height:4616" type="#_x0000_t75" stroked="false">
              <v:imagedata r:id="rId141" o:title=""/>
            </v:shape>
            <v:shape style="position:absolute;left:5836;top:2430;width:401;height:3063" type="#_x0000_t75" stroked="false">
              <v:imagedata r:id="rId142" o:title=""/>
            </v:shape>
            <v:shape style="position:absolute;left:5868;top:2426;width:332;height:3068" type="#_x0000_t75" stroked="false">
              <v:imagedata r:id="rId143" o:title=""/>
            </v:shape>
            <v:shape style="position:absolute;left:6355;top:3066;width:401;height:2427" type="#_x0000_t75" stroked="false">
              <v:imagedata r:id="rId144" o:title=""/>
            </v:shape>
            <v:shape style="position:absolute;left:6386;top:3059;width:332;height:2434" type="#_x0000_t75" stroked="false">
              <v:imagedata r:id="rId145" o:title=""/>
            </v:shape>
            <v:shape style="position:absolute;left:6871;top:4396;width:401;height:1098" type="#_x0000_t75" stroked="false">
              <v:imagedata r:id="rId146" o:title=""/>
            </v:shape>
            <v:shape style="position:absolute;left:6904;top:4391;width:324;height:1102" type="#_x0000_t75" stroked="false">
              <v:imagedata r:id="rId147" o:title=""/>
            </v:shape>
            <v:shape style="position:absolute;left:7387;top:5034;width:404;height:459" type="#_x0000_t75" stroked="false">
              <v:imagedata r:id="rId148" o:title=""/>
            </v:shape>
            <v:shape style="position:absolute;left:7416;top:5032;width:339;height:461" type="#_x0000_t75" stroked="false">
              <v:imagedata r:id="rId149" o:title=""/>
            </v:shape>
            <v:shape style="position:absolute;left:7905;top:5394;width:401;height:100" type="#_x0000_t75" stroked="false">
              <v:imagedata r:id="rId150" o:title=""/>
            </v:shape>
            <v:shape style="position:absolute;left:7934;top:5392;width:332;height:101" type="#_x0000_t75" stroked="false">
              <v:imagedata r:id="rId151" o:title=""/>
            </v:shape>
            <v:shape style="position:absolute;left:8407;top:5435;width:430;height:58" type="#_x0000_t75" stroked="false">
              <v:imagedata r:id="rId152" o:title=""/>
            </v:shape>
            <v:line style="position:absolute" from="3713,5493" to="8882,5493" stroked="true" strokeweight="1.44pt" strokecolor="#000000">
              <v:stroke dashstyle="solid"/>
            </v:line>
            <w10:wrap type="none"/>
          </v:group>
        </w:pict>
      </w:r>
      <w:r>
        <w:rPr/>
        <w:t>30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90"/>
        <w:ind w:left="1748"/>
      </w:pPr>
      <w:r>
        <w:rPr/>
        <w:t>25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90"/>
        <w:ind w:left="1748"/>
      </w:pPr>
      <w:r>
        <w:rPr/>
        <w:t>20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before="90"/>
        <w:ind w:left="1748"/>
      </w:pPr>
      <w:r>
        <w:rPr/>
        <w:pict>
          <v:shape style="position:absolute;margin-left:141.566635pt;margin-top:-23.744291pt;width:15.3pt;height:71.1pt;mso-position-horizontal-relative:page;mso-position-vertical-relative:paragraph;z-index:1588377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%</w:t>
                  </w:r>
                  <w:r>
                    <w:rPr>
                      <w:b/>
                      <w:spacing w:val="-1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Frequency</w:t>
                  </w:r>
                </w:p>
              </w:txbxContent>
            </v:textbox>
            <w10:wrap type="none"/>
          </v:shape>
        </w:pict>
      </w:r>
      <w:r>
        <w:rPr/>
        <w:t>15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90"/>
        <w:ind w:left="1748"/>
      </w:pPr>
      <w:r>
        <w:rPr/>
        <w:t>10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before="90"/>
        <w:ind w:left="1868"/>
      </w:pPr>
      <w:r>
        <w:rPr/>
        <w:t>5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after="0"/>
        <w:sectPr>
          <w:pgSz w:w="11910" w:h="16840"/>
          <w:pgMar w:header="0" w:footer="987" w:top="1580" w:bottom="1260" w:left="1520" w:right="160"/>
        </w:sectPr>
      </w:pPr>
    </w:p>
    <w:p>
      <w:pPr>
        <w:pStyle w:val="BodyText"/>
        <w:spacing w:before="90"/>
        <w:ind w:left="670"/>
        <w:jc w:val="center"/>
      </w:pPr>
      <w:r>
        <w:rPr/>
        <w:t>0</w:t>
      </w:r>
    </w:p>
    <w:p>
      <w:pPr>
        <w:pStyle w:val="BodyText"/>
        <w:spacing w:before="73"/>
        <w:ind w:left="2231"/>
        <w:jc w:val="center"/>
      </w:pPr>
      <w:r>
        <w:rPr/>
        <w:t>7.0</w:t>
      </w:r>
      <w:r>
        <w:rPr>
          <w:spacing w:val="-8"/>
        </w:rPr>
        <w:t> </w:t>
      </w:r>
      <w:r>
        <w:rPr/>
        <w:t>-</w:t>
      </w:r>
      <w:r>
        <w:rPr>
          <w:spacing w:val="12"/>
        </w:rPr>
        <w:t> </w:t>
      </w:r>
      <w:r>
        <w:rPr/>
        <w:t>9.0</w:t>
      </w:r>
      <w:r>
        <w:rPr>
          <w:spacing w:val="-7"/>
        </w:rPr>
        <w:t> </w:t>
      </w:r>
      <w:r>
        <w:rPr/>
        <w:t>-</w:t>
      </w:r>
    </w:p>
    <w:p>
      <w:pPr>
        <w:pStyle w:val="BodyText"/>
        <w:spacing w:before="2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ind w:left="75"/>
      </w:pPr>
      <w:r>
        <w:rPr>
          <w:spacing w:val="-8"/>
        </w:rPr>
        <w:t>11</w:t>
      </w:r>
      <w:r>
        <w:rPr>
          <w:spacing w:val="-7"/>
        </w:rPr>
        <w:t> </w:t>
      </w:r>
      <w:r>
        <w:rPr>
          <w:spacing w:val="-8"/>
        </w:rPr>
        <w:t>-</w:t>
      </w:r>
    </w:p>
    <w:p>
      <w:pPr>
        <w:pStyle w:val="BodyText"/>
        <w:spacing w:before="2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ind w:left="104"/>
      </w:pPr>
      <w:r>
        <w:rPr>
          <w:spacing w:val="-2"/>
        </w:rPr>
        <w:t>13</w:t>
      </w:r>
      <w:r>
        <w:rPr>
          <w:spacing w:val="-13"/>
        </w:rPr>
        <w:t> </w:t>
      </w:r>
      <w:r>
        <w:rPr>
          <w:spacing w:val="-2"/>
        </w:rPr>
        <w:t>-</w:t>
      </w:r>
    </w:p>
    <w:p>
      <w:pPr>
        <w:pStyle w:val="BodyText"/>
        <w:spacing w:before="2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ind w:left="99"/>
      </w:pPr>
      <w:r>
        <w:rPr>
          <w:spacing w:val="-2"/>
        </w:rPr>
        <w:t>15</w:t>
      </w:r>
      <w:r>
        <w:rPr>
          <w:spacing w:val="-13"/>
        </w:rPr>
        <w:t> </w:t>
      </w:r>
      <w:r>
        <w:rPr>
          <w:spacing w:val="-2"/>
        </w:rPr>
        <w:t>-</w:t>
      </w:r>
    </w:p>
    <w:p>
      <w:pPr>
        <w:pStyle w:val="BodyText"/>
        <w:spacing w:before="2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ind w:left="99"/>
      </w:pPr>
      <w:r>
        <w:rPr>
          <w:spacing w:val="-2"/>
        </w:rPr>
        <w:t>17</w:t>
      </w:r>
      <w:r>
        <w:rPr>
          <w:spacing w:val="-13"/>
        </w:rPr>
        <w:t> </w:t>
      </w:r>
      <w:r>
        <w:rPr>
          <w:spacing w:val="-1"/>
        </w:rPr>
        <w:t>-</w:t>
      </w:r>
    </w:p>
    <w:p>
      <w:pPr>
        <w:pStyle w:val="BodyText"/>
        <w:spacing w:before="2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ind w:left="99"/>
      </w:pPr>
      <w:r>
        <w:rPr>
          <w:spacing w:val="-2"/>
        </w:rPr>
        <w:t>19</w:t>
      </w:r>
      <w:r>
        <w:rPr>
          <w:spacing w:val="-13"/>
        </w:rPr>
        <w:t> </w:t>
      </w:r>
      <w:r>
        <w:rPr>
          <w:spacing w:val="-2"/>
        </w:rPr>
        <w:t>-</w:t>
      </w:r>
    </w:p>
    <w:p>
      <w:pPr>
        <w:pStyle w:val="BodyText"/>
        <w:spacing w:before="2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ind w:left="99"/>
      </w:pPr>
      <w:r>
        <w:rPr>
          <w:spacing w:val="-2"/>
        </w:rPr>
        <w:t>21</w:t>
      </w:r>
      <w:r>
        <w:rPr>
          <w:spacing w:val="-13"/>
        </w:rPr>
        <w:t> </w:t>
      </w:r>
      <w:r>
        <w:rPr>
          <w:spacing w:val="-2"/>
        </w:rPr>
        <w:t>-</w:t>
      </w:r>
    </w:p>
    <w:p>
      <w:pPr>
        <w:pStyle w:val="BodyText"/>
        <w:spacing w:before="2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tabs>
          <w:tab w:pos="683" w:val="left" w:leader="none"/>
        </w:tabs>
        <w:ind w:left="99"/>
      </w:pPr>
      <w:r>
        <w:rPr/>
        <w:t>23</w:t>
      </w:r>
      <w:r>
        <w:rPr>
          <w:spacing w:val="-3"/>
        </w:rPr>
        <w:t> </w:t>
      </w:r>
      <w:r>
        <w:rPr/>
        <w:t>-</w:t>
        <w:tab/>
        <w:t>25</w:t>
      </w:r>
    </w:p>
    <w:p>
      <w:pPr>
        <w:spacing w:after="0"/>
        <w:sectPr>
          <w:type w:val="continuous"/>
          <w:pgSz w:w="11910" w:h="16840"/>
          <w:pgMar w:top="1320" w:bottom="1260" w:left="1520" w:right="160"/>
          <w:cols w:num="8" w:equalWidth="0">
            <w:col w:w="3187" w:space="40"/>
            <w:col w:w="444" w:space="39"/>
            <w:col w:w="482" w:space="39"/>
            <w:col w:w="478" w:space="40"/>
            <w:col w:w="478" w:space="39"/>
            <w:col w:w="477" w:space="39"/>
            <w:col w:w="477" w:space="40"/>
            <w:col w:w="3931"/>
          </w:cols>
        </w:sectPr>
      </w:pPr>
    </w:p>
    <w:p>
      <w:pPr>
        <w:pStyle w:val="BodyText"/>
        <w:ind w:left="2301"/>
      </w:pPr>
      <w:r>
        <w:rPr/>
        <w:t>8.9</w:t>
      </w:r>
      <w:r>
        <w:rPr>
          <w:spacing w:val="38"/>
        </w:rPr>
        <w:t> </w:t>
      </w:r>
      <w:r>
        <w:rPr/>
        <w:t>10.9</w:t>
      </w:r>
      <w:r>
        <w:rPr>
          <w:spacing w:val="37"/>
        </w:rPr>
        <w:t> </w:t>
      </w:r>
      <w:r>
        <w:rPr/>
        <w:t>12.9</w:t>
      </w:r>
      <w:r>
        <w:rPr>
          <w:spacing w:val="37"/>
        </w:rPr>
        <w:t> </w:t>
      </w:r>
      <w:r>
        <w:rPr/>
        <w:t>14.9</w:t>
      </w:r>
      <w:r>
        <w:rPr>
          <w:spacing w:val="37"/>
        </w:rPr>
        <w:t> </w:t>
      </w:r>
      <w:r>
        <w:rPr/>
        <w:t>16.9</w:t>
      </w:r>
      <w:r>
        <w:rPr>
          <w:spacing w:val="36"/>
        </w:rPr>
        <w:t> </w:t>
      </w:r>
      <w:r>
        <w:rPr/>
        <w:t>18.9</w:t>
      </w:r>
      <w:r>
        <w:rPr>
          <w:spacing w:val="37"/>
        </w:rPr>
        <w:t> </w:t>
      </w:r>
      <w:r>
        <w:rPr/>
        <w:t>20.9</w:t>
      </w:r>
      <w:r>
        <w:rPr>
          <w:spacing w:val="36"/>
        </w:rPr>
        <w:t> </w:t>
      </w:r>
      <w:r>
        <w:rPr/>
        <w:t>22.9</w:t>
      </w:r>
      <w:r>
        <w:rPr>
          <w:spacing w:val="37"/>
        </w:rPr>
        <w:t> </w:t>
      </w:r>
      <w:r>
        <w:rPr/>
        <w:t>24.9</w:t>
      </w:r>
    </w:p>
    <w:p>
      <w:pPr>
        <w:pStyle w:val="Heading3"/>
        <w:spacing w:before="150"/>
        <w:ind w:left="657" w:right="1329"/>
        <w:jc w:val="center"/>
      </w:pPr>
      <w:r>
        <w:rPr/>
        <w:t>Particle</w:t>
      </w:r>
      <w:r>
        <w:rPr>
          <w:spacing w:val="-2"/>
        </w:rPr>
        <w:t> </w:t>
      </w:r>
      <w:r>
        <w:rPr/>
        <w:t>size</w:t>
      </w:r>
      <w:r>
        <w:rPr>
          <w:spacing w:val="-3"/>
        </w:rPr>
        <w:t> </w:t>
      </w:r>
      <w:r>
        <w:rPr/>
        <w:t>range</w:t>
      </w:r>
      <w:r>
        <w:rPr>
          <w:spacing w:val="-4"/>
        </w:rPr>
        <w:t> </w:t>
      </w:r>
      <w:r>
        <w:rPr/>
        <w:t>(µm)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spacing w:before="90"/>
        <w:ind w:left="465" w:right="1372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4.8: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Particle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relationship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particle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range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(μm)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 %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frequency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CS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20" w:bottom="1260" w:left="152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1488"/>
      </w:pPr>
      <w:r>
        <w:rPr/>
        <w:pict>
          <v:group style="position:absolute;margin-left:168.960007pt;margin-top:6.593101pt;width:297pt;height:265.45pt;mso-position-horizontal-relative:page;mso-position-vertical-relative:paragraph;z-index:15884288" coordorigin="3379,132" coordsize="5940,5309">
            <v:shape style="position:absolute;left:3691;top:3436;width:497;height:1932" type="#_x0000_t75" stroked="false">
              <v:imagedata r:id="rId153" o:title=""/>
            </v:shape>
            <v:shape style="position:absolute;left:3722;top:3431;width:425;height:1937" type="#_x0000_t75" stroked="false">
              <v:imagedata r:id="rId154" o:title=""/>
            </v:shape>
            <v:shape style="position:absolute;left:4668;top:863;width:497;height:4505" type="#_x0000_t75" stroked="false">
              <v:imagedata r:id="rId155" o:title=""/>
            </v:shape>
            <v:shape style="position:absolute;left:4701;top:861;width:418;height:4508" type="#_x0000_t75" stroked="false">
              <v:imagedata r:id="rId156" o:title=""/>
            </v:shape>
            <v:shape style="position:absolute;left:5642;top:3856;width:497;height:1512" type="#_x0000_t75" stroked="false">
              <v:imagedata r:id="rId157" o:title=""/>
            </v:shape>
            <v:shape style="position:absolute;left:5673;top:3849;width:418;height:1520" type="#_x0000_t75" stroked="false">
              <v:imagedata r:id="rId158" o:title=""/>
            </v:shape>
            <v:shape style="position:absolute;left:6619;top:4797;width:495;height:571" type="#_x0000_t75" stroked="false">
              <v:imagedata r:id="rId159" o:title=""/>
            </v:shape>
            <v:shape style="position:absolute;left:6652;top:4792;width:425;height:576" type="#_x0000_t75" stroked="false">
              <v:imagedata r:id="rId160" o:title=""/>
            </v:shape>
            <v:shape style="position:absolute;left:7593;top:5150;width:497;height:218" type="#_x0000_t75" stroked="false">
              <v:imagedata r:id="rId161" o:title=""/>
            </v:shape>
            <v:shape style="position:absolute;left:7624;top:5145;width:425;height:224" type="#_x0000_t75" stroked="false">
              <v:imagedata r:id="rId162" o:title=""/>
            </v:shape>
            <v:shape style="position:absolute;left:8556;top:5287;width:524;height:82" type="#_x0000_t75" stroked="false">
              <v:imagedata r:id="rId163" o:title=""/>
            </v:shape>
            <v:shape style="position:absolute;left:3379;top:146;width:5926;height:5295" coordorigin="3379,146" coordsize="5926,5295" path="m3451,5369l3451,146m3379,5369l3451,5369m3379,4497l3451,4497m3379,3629l3451,3629m3379,2757l3451,2757m3379,1886l3451,1886m3379,1017l3451,1017m3379,146l3451,146m3451,5369l9305,5369m3451,5369l3451,5441m4426,5369l4426,5441m5402,5369l5402,5441m6379,5369l6379,5441m7354,5369l7354,5441m8330,5369l8330,5441m9305,5369l9305,5441e" filled="false" stroked="true" strokeweight="1.44pt" strokecolor="#000000">
              <v:path arrowok="t"/>
              <v:stroke dashstyle="solid"/>
            </v:shape>
            <w10:wrap type="none"/>
          </v:group>
        </w:pict>
      </w:r>
      <w:r>
        <w:rPr/>
        <w:t>60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1488"/>
      </w:pPr>
      <w:r>
        <w:rPr/>
        <w:t>50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90"/>
        <w:ind w:left="1488"/>
      </w:pPr>
      <w:r>
        <w:rPr/>
        <w:t>40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1488"/>
      </w:pPr>
      <w:r>
        <w:rPr/>
        <w:pict>
          <v:shape style="position:absolute;margin-left:132.086639pt;margin-top:-23.744272pt;width:15.3pt;height:71.1pt;mso-position-horizontal-relative:page;mso-position-vertical-relative:paragraph;z-index:15884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%</w:t>
                  </w:r>
                  <w:r>
                    <w:rPr>
                      <w:b/>
                      <w:spacing w:val="-1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Frequency</w:t>
                  </w:r>
                </w:p>
              </w:txbxContent>
            </v:textbox>
            <w10:wrap type="none"/>
          </v:shape>
        </w:pict>
      </w:r>
      <w:r>
        <w:rPr/>
        <w:t>30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1488"/>
      </w:pPr>
      <w:r>
        <w:rPr/>
        <w:t>20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90"/>
        <w:ind w:left="1488"/>
      </w:pPr>
      <w:r>
        <w:rPr/>
        <w:t>10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91"/>
        <w:ind w:left="1608"/>
      </w:pPr>
      <w:r>
        <w:rPr>
          <w:w w:val="100"/>
        </w:rPr>
        <w:t>0</w:t>
      </w:r>
    </w:p>
    <w:p>
      <w:pPr>
        <w:pStyle w:val="BodyText"/>
        <w:tabs>
          <w:tab w:pos="4972" w:val="left" w:leader="none"/>
        </w:tabs>
        <w:spacing w:before="72"/>
        <w:ind w:right="599"/>
        <w:jc w:val="center"/>
      </w:pPr>
      <w:r>
        <w:rPr/>
        <w:t>0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19.9</w:t>
      </w:r>
      <w:r>
        <w:rPr>
          <w:spacing w:val="119"/>
        </w:rPr>
        <w:t> </w:t>
      </w:r>
      <w:r>
        <w:rPr/>
        <w:t>20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39.9</w:t>
      </w:r>
      <w:r>
        <w:rPr>
          <w:spacing w:val="58"/>
        </w:rPr>
        <w:t> </w:t>
      </w:r>
      <w:r>
        <w:rPr/>
        <w:t>40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59.9</w:t>
      </w:r>
      <w:r>
        <w:rPr>
          <w:spacing w:val="58"/>
        </w:rPr>
        <w:t> </w:t>
      </w:r>
      <w:r>
        <w:rPr/>
        <w:t>60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79.9</w:t>
      </w:r>
      <w:r>
        <w:rPr>
          <w:spacing w:val="59"/>
        </w:rPr>
        <w:t> </w:t>
      </w:r>
      <w:r>
        <w:rPr/>
        <w:t>80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99.9</w:t>
        <w:tab/>
        <w:t>≥</w:t>
      </w:r>
      <w:r>
        <w:rPr>
          <w:spacing w:val="-3"/>
        </w:rPr>
        <w:t> </w:t>
      </w:r>
      <w:r>
        <w:rPr/>
        <w:t>100</w:t>
      </w:r>
    </w:p>
    <w:p>
      <w:pPr>
        <w:pStyle w:val="Heading3"/>
        <w:spacing w:before="151"/>
        <w:ind w:left="657" w:right="1163"/>
        <w:jc w:val="center"/>
      </w:pPr>
      <w:r>
        <w:rPr/>
        <w:t>Particle</w:t>
      </w:r>
      <w:r>
        <w:rPr>
          <w:spacing w:val="-2"/>
        </w:rPr>
        <w:t> </w:t>
      </w:r>
      <w:r>
        <w:rPr/>
        <w:t>size</w:t>
      </w:r>
      <w:r>
        <w:rPr>
          <w:spacing w:val="-3"/>
        </w:rPr>
        <w:t> </w:t>
      </w:r>
      <w:r>
        <w:rPr/>
        <w:t>range</w:t>
      </w:r>
      <w:r>
        <w:rPr>
          <w:spacing w:val="-4"/>
        </w:rPr>
        <w:t> </w:t>
      </w:r>
      <w:r>
        <w:rPr/>
        <w:t>(µm)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spacing w:before="90"/>
        <w:ind w:left="465" w:right="1312" w:firstLine="0"/>
        <w:jc w:val="left"/>
        <w:rPr>
          <w:b/>
          <w:sz w:val="24"/>
        </w:rPr>
      </w:pPr>
      <w:r>
        <w:rPr>
          <w:b/>
          <w:sz w:val="24"/>
        </w:rPr>
        <w:t>Figure 4.9: Particle size distribution showing the relationship between particle size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range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(μm) and %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frequency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SGS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580" w:bottom="1260" w:left="1520" w:right="160"/>
        </w:sectPr>
      </w:pPr>
    </w:p>
    <w:p>
      <w:pPr>
        <w:pStyle w:val="Heading3"/>
        <w:numPr>
          <w:ilvl w:val="2"/>
          <w:numId w:val="20"/>
        </w:numPr>
        <w:tabs>
          <w:tab w:pos="1185" w:val="left" w:leader="none"/>
          <w:tab w:pos="1186" w:val="left" w:leader="none"/>
        </w:tabs>
        <w:spacing w:line="240" w:lineRule="auto" w:before="76" w:after="0"/>
        <w:ind w:left="1185" w:right="0" w:hanging="721"/>
        <w:jc w:val="left"/>
      </w:pPr>
      <w:bookmarkStart w:name="_TOC_250034" w:id="72"/>
      <w:r>
        <w:rPr/>
        <w:t>Hot</w:t>
      </w:r>
      <w:r>
        <w:rPr>
          <w:spacing w:val="-1"/>
        </w:rPr>
        <w:t> </w:t>
      </w:r>
      <w:r>
        <w:rPr/>
        <w:t>stage microscopy</w:t>
      </w:r>
      <w:r>
        <w:rPr>
          <w:spacing w:val="-1"/>
        </w:rPr>
        <w:t> </w:t>
      </w:r>
      <w:bookmarkEnd w:id="72"/>
      <w:r>
        <w:rPr/>
        <w:t>(HSM)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5"/>
        <w:jc w:val="both"/>
      </w:pPr>
      <w:r>
        <w:rPr/>
        <w:t>The images for HSM studies are presented as Plate III. The results reveal that there were</w:t>
      </w:r>
      <w:r>
        <w:rPr>
          <w:spacing w:val="-57"/>
        </w:rPr>
        <w:t> </w:t>
      </w:r>
      <w:r>
        <w:rPr/>
        <w:t>no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temperatures</w:t>
      </w:r>
      <w:r>
        <w:rPr>
          <w:spacing w:val="-1"/>
        </w:rPr>
        <w:t> </w:t>
      </w:r>
      <w:r>
        <w:rPr/>
        <w:t>above</w:t>
      </w:r>
      <w:r>
        <w:rPr>
          <w:spacing w:val="-1"/>
        </w:rPr>
        <w:t> </w:t>
      </w:r>
      <w:r>
        <w:rPr/>
        <w:t>240 °</w:t>
      </w:r>
      <w:r>
        <w:rPr>
          <w:spacing w:val="1"/>
        </w:rPr>
        <w:t> </w:t>
      </w:r>
      <w:r>
        <w:rPr/>
        <w:t>C. No melting</w:t>
      </w:r>
      <w:r>
        <w:rPr>
          <w:spacing w:val="-2"/>
        </w:rPr>
        <w:t> </w:t>
      </w:r>
      <w:r>
        <w:rPr/>
        <w:t>event</w:t>
      </w:r>
      <w:r>
        <w:rPr>
          <w:spacing w:val="-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during</w:t>
      </w:r>
      <w:r>
        <w:rPr>
          <w:spacing w:val="-3"/>
        </w:rPr>
        <w:t> </w:t>
      </w:r>
      <w:r>
        <w:rPr/>
        <w:t>heating.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ind w:left="465"/>
        <w:rPr>
          <w:sz w:val="20"/>
        </w:rPr>
      </w:pPr>
      <w:r>
        <w:rPr>
          <w:sz w:val="20"/>
        </w:rPr>
        <w:drawing>
          <wp:inline distT="0" distB="0" distL="0" distR="0">
            <wp:extent cx="5710242" cy="3371850"/>
            <wp:effectExtent l="0" t="0" r="0" b="0"/>
            <wp:docPr id="131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57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242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spacing w:before="90"/>
        <w:ind w:left="3173"/>
      </w:pPr>
      <w:r>
        <w:rPr/>
        <w:t>Plate</w:t>
      </w:r>
      <w:r>
        <w:rPr>
          <w:spacing w:val="-3"/>
        </w:rPr>
        <w:t> </w:t>
      </w:r>
      <w:r>
        <w:rPr/>
        <w:t>III:</w:t>
      </w:r>
      <w:r>
        <w:rPr>
          <w:spacing w:val="-1"/>
        </w:rPr>
        <w:t> </w:t>
      </w:r>
      <w:r>
        <w:rPr/>
        <w:t>HSM</w:t>
      </w:r>
      <w:r>
        <w:rPr>
          <w:spacing w:val="-1"/>
        </w:rPr>
        <w:t> </w:t>
      </w:r>
      <w:r>
        <w:rPr/>
        <w:t>images</w:t>
      </w:r>
      <w:r>
        <w:rPr>
          <w:spacing w:val="1"/>
        </w:rPr>
        <w:t> </w:t>
      </w:r>
      <w:r>
        <w:rPr/>
        <w:t>of SGS</w:t>
      </w:r>
    </w:p>
    <w:p>
      <w:pPr>
        <w:spacing w:after="0"/>
        <w:sectPr>
          <w:pgSz w:w="11910" w:h="16840"/>
          <w:pgMar w:header="0" w:footer="987" w:top="1400" w:bottom="1260" w:left="1520" w:right="160"/>
        </w:sectPr>
      </w:pPr>
    </w:p>
    <w:p>
      <w:pPr>
        <w:pStyle w:val="Heading3"/>
        <w:numPr>
          <w:ilvl w:val="2"/>
          <w:numId w:val="20"/>
        </w:numPr>
        <w:tabs>
          <w:tab w:pos="1185" w:val="left" w:leader="none"/>
          <w:tab w:pos="1186" w:val="left" w:leader="none"/>
        </w:tabs>
        <w:spacing w:line="240" w:lineRule="auto" w:before="76" w:after="0"/>
        <w:ind w:left="1185" w:right="0" w:hanging="721"/>
        <w:jc w:val="left"/>
      </w:pPr>
      <w:bookmarkStart w:name="_TOC_250033" w:id="73"/>
      <w:r>
        <w:rPr/>
        <w:t>Scanning</w:t>
      </w:r>
      <w:r>
        <w:rPr>
          <w:spacing w:val="-5"/>
        </w:rPr>
        <w:t> </w:t>
      </w:r>
      <w:r>
        <w:rPr/>
        <w:t>Electron</w:t>
      </w:r>
      <w:r>
        <w:rPr>
          <w:spacing w:val="-1"/>
        </w:rPr>
        <w:t> </w:t>
      </w:r>
      <w:r>
        <w:rPr/>
        <w:t>Microscopy</w:t>
      </w:r>
      <w:r>
        <w:rPr>
          <w:spacing w:val="-2"/>
        </w:rPr>
        <w:t> </w:t>
      </w:r>
      <w:bookmarkEnd w:id="73"/>
      <w:r>
        <w:rPr/>
        <w:t>(SEM)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9"/>
        <w:jc w:val="both"/>
      </w:pPr>
      <w:r>
        <w:rPr/>
        <w:t>The SEM images for CS, GEL, CSD, SGS-PM and SGS is given below as Plate IV. CS</w:t>
      </w:r>
      <w:r>
        <w:rPr>
          <w:spacing w:val="1"/>
        </w:rPr>
        <w:t> </w:t>
      </w:r>
      <w:r>
        <w:rPr/>
        <w:t>particles appeared spherical with smooth surfaces compared to SGS which was equally</w:t>
      </w:r>
      <w:r>
        <w:rPr>
          <w:spacing w:val="1"/>
        </w:rPr>
        <w:t> </w:t>
      </w:r>
      <w:r>
        <w:rPr/>
        <w:t>spherical</w:t>
      </w:r>
      <w:r>
        <w:rPr>
          <w:spacing w:val="-1"/>
        </w:rPr>
        <w:t> </w:t>
      </w:r>
      <w:r>
        <w:rPr/>
        <w:t>with rough surface and some</w:t>
      </w:r>
      <w:r>
        <w:rPr>
          <w:spacing w:val="-1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irregularity.</w:t>
      </w:r>
    </w:p>
    <w:p>
      <w:pPr>
        <w:pStyle w:val="BodyText"/>
        <w:spacing w:line="480" w:lineRule="auto" w:before="120"/>
        <w:ind w:left="465" w:right="1252"/>
        <w:jc w:val="both"/>
      </w:pPr>
      <w:r>
        <w:rPr/>
        <w:t>The SGS-PM image showed the various particles</w:t>
      </w:r>
      <w:r>
        <w:rPr>
          <w:spacing w:val="60"/>
        </w:rPr>
        <w:t> </w:t>
      </w:r>
      <w:r>
        <w:rPr/>
        <w:t>of the three excipients occurring</w:t>
      </w:r>
      <w:r>
        <w:rPr>
          <w:spacing w:val="1"/>
        </w:rPr>
        <w:t> </w:t>
      </w:r>
      <w:r>
        <w:rPr/>
        <w:t>singly in the mixtureas against the composite particles observed with SGS. Images of</w:t>
      </w:r>
      <w:r>
        <w:rPr>
          <w:spacing w:val="1"/>
        </w:rPr>
        <w:t> </w:t>
      </w:r>
      <w:r>
        <w:rPr/>
        <w:t>GEL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CSD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spherical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GEL</w:t>
      </w:r>
      <w:r>
        <w:rPr>
          <w:spacing w:val="1"/>
        </w:rPr>
        <w:t> </w:t>
      </w:r>
      <w:r>
        <w:rPr/>
        <w:t>particles</w:t>
      </w:r>
      <w:r>
        <w:rPr>
          <w:spacing w:val="-57"/>
        </w:rPr>
        <w:t> </w:t>
      </w:r>
      <w:r>
        <w:rPr/>
        <w:t>appearing</w:t>
      </w:r>
      <w:r>
        <w:rPr>
          <w:spacing w:val="-2"/>
        </w:rPr>
        <w:t> </w:t>
      </w:r>
      <w:r>
        <w:rPr/>
        <w:t>elongated and</w:t>
      </w:r>
      <w:r>
        <w:rPr>
          <w:spacing w:val="3"/>
        </w:rPr>
        <w:t> </w:t>
      </w:r>
      <w:r>
        <w:rPr/>
        <w:t>CSD occurring</w:t>
      </w:r>
      <w:r>
        <w:rPr>
          <w:spacing w:val="-3"/>
        </w:rPr>
        <w:t> </w:t>
      </w:r>
      <w:r>
        <w:rPr/>
        <w:t>as flakes.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ind w:left="534"/>
        <w:rPr>
          <w:sz w:val="20"/>
        </w:rPr>
      </w:pPr>
      <w:r>
        <w:rPr>
          <w:sz w:val="20"/>
        </w:rPr>
        <w:pict>
          <v:group style="width:421.75pt;height:473.5pt;mso-position-horizontal-relative:char;mso-position-vertical-relative:line" coordorigin="0,0" coordsize="8435,9470">
            <v:shape style="position:absolute;left:0;top:0;width:4218;height:3158" type="#_x0000_t75" stroked="false">
              <v:imagedata r:id="rId165" o:title=""/>
            </v:shape>
            <v:shape style="position:absolute;left:1878;top:2571;width:927;height:461" type="#_x0000_t75" stroked="false">
              <v:imagedata r:id="rId166" o:title=""/>
            </v:shape>
            <v:shape style="position:absolute;left:2109;top:2685;width:633;height:176" coordorigin="2110,2685" coordsize="633,176" path="m2261,2685l2252,2691,2110,2773,2261,2861,2272,2858,2278,2849,2283,2840,2280,2828,2271,2823,2217,2792,2147,2792,2147,2754,2217,2754,2271,2723,2280,2718,2283,2706,2278,2697,2272,2688,2261,2685xm2217,2754l2147,2754,2147,2792,2217,2792,2213,2790,2157,2790,2157,2757,2213,2757,2217,2754xm2742,2754l2217,2754,2185,2773,2217,2792,2742,2792,2742,2754xm2157,2757l2157,2790,2185,2773,2157,2757xm2185,2773l2157,2790,2213,2790,2185,2773xm2213,2757l2157,2757,2185,2773,2213,2757xe" filled="true" fillcolor="#000000" stroked="false">
              <v:path arrowok="t"/>
              <v:fill type="solid"/>
            </v:shape>
            <v:shape style="position:absolute;left:3012;top:2240;width:927;height:461" type="#_x0000_t75" stroked="false">
              <v:imagedata r:id="rId166" o:title=""/>
            </v:shape>
            <v:shape style="position:absolute;left:3243;top:2353;width:633;height:176" coordorigin="3243,2354" coordsize="633,176" path="m3394,2354l3385,2359,3243,2442,3394,2529,3406,2526,3411,2517,3416,2508,3413,2497,3404,2491,3351,2460,3281,2460,3281,2423,3351,2423,3404,2392,3413,2386,3416,2375,3411,2366,3406,2357,3394,2354xm3351,2423l3281,2423,3281,2460,3351,2460,3347,2458,3290,2458,3290,2425,3347,2425,3351,2423xm3876,2423l3351,2423,3319,2442,3351,2460,3876,2460,3876,2423xm3290,2425l3290,2458,3319,2442,3290,2425xm3319,2442l3290,2458,3347,2458,3319,2442xm3347,2425l3290,2425,3319,2442,3347,2425xe" filled="true" fillcolor="#000000" stroked="false">
              <v:path arrowok="t"/>
              <v:fill type="solid"/>
            </v:shape>
            <v:shape style="position:absolute;left:218;top:2620;width:927;height:461" type="#_x0000_t75" stroked="false">
              <v:imagedata r:id="rId166" o:title=""/>
            </v:shape>
            <v:shape style="position:absolute;left:449;top:2734;width:633;height:176" coordorigin="450,2734" coordsize="633,176" path="m600,2734l591,2740,450,2822,600,2910,612,2907,617,2898,623,2889,620,2877,557,2841,487,2841,487,2803,557,2803,620,2767,623,2755,617,2746,612,2737,600,2734xm557,2803l487,2803,487,2841,557,2841,553,2839,497,2839,497,2806,553,2806,557,2803xm1082,2803l557,2803,525,2822,557,2841,1082,2841,1082,2803xm497,2806l497,2839,525,2822,497,2806xm525,2822l497,2839,553,2839,525,2822xm553,2806l497,2806,525,2822,553,2806xe" filled="true" fillcolor="#000000" stroked="false">
              <v:path arrowok="t"/>
              <v:fill type="solid"/>
            </v:shape>
            <v:shape style="position:absolute;left:4217;top:0;width:4218;height:6313" type="#_x0000_t75" stroked="false">
              <v:imagedata r:id="rId167" o:title=""/>
            </v:shape>
            <v:shape style="position:absolute;left:0;top:3157;width:4218;height:3156" type="#_x0000_t75" stroked="false">
              <v:imagedata r:id="rId168" o:title=""/>
            </v:shape>
            <v:shape style="position:absolute;left:2108;top:6312;width:4218;height:3158" type="#_x0000_t75" stroked="false">
              <v:imagedata r:id="rId169" o:title=""/>
            </v:shape>
            <v:shape style="position:absolute;left:133;top:74;width:485;height:370" type="#_x0000_t202" filled="false" stroked="false">
              <v:textbox inset="0,0,0,0">
                <w:txbxContent>
                  <w:p>
                    <w:pPr>
                      <w:spacing w:line="369" w:lineRule="exact" w:before="0"/>
                      <w:ind w:left="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0000"/>
                        <w:sz w:val="33"/>
                      </w:rPr>
                      <w:t>(A)</w:t>
                    </w:r>
                  </w:p>
                </w:txbxContent>
              </v:textbox>
              <w10:wrap type="none"/>
            </v:shape>
            <v:shape style="position:absolute;left:4352;top:92;width:467;height:371" type="#_x0000_t202" filled="false" stroked="false">
              <v:textbox inset="0,0,0,0">
                <w:txbxContent>
                  <w:p>
                    <w:pPr>
                      <w:spacing w:line="369" w:lineRule="exact" w:before="0"/>
                      <w:ind w:left="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0000"/>
                        <w:sz w:val="33"/>
                      </w:rPr>
                      <w:t>(B)</w:t>
                    </w:r>
                  </w:p>
                </w:txbxContent>
              </v:textbox>
              <w10:wrap type="none"/>
            </v:shape>
            <v:shape style="position:absolute;left:3372;top:2185;width:454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0000"/>
                        <w:sz w:val="22"/>
                      </w:rPr>
                      <w:t>GEL</w:t>
                    </w:r>
                  </w:p>
                </w:txbxContent>
              </v:textbox>
              <w10:wrap type="none"/>
            </v:shape>
            <v:shape style="position:absolute;left:663;top:2512;width:295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0000"/>
                        <w:sz w:val="22"/>
                      </w:rPr>
                      <w:t>CS</w:t>
                    </w:r>
                  </w:p>
                </w:txbxContent>
              </v:textbox>
              <w10:wrap type="none"/>
            </v:shape>
            <v:shape style="position:absolute;left:2243;top:2512;width:456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0000"/>
                        <w:sz w:val="22"/>
                      </w:rPr>
                      <w:t>CSD</w:t>
                    </w:r>
                  </w:p>
                </w:txbxContent>
              </v:textbox>
              <w10:wrap type="none"/>
            </v:shape>
            <v:shape style="position:absolute;left:133;top:3249;width:485;height:371" type="#_x0000_t202" filled="false" stroked="false">
              <v:textbox inset="0,0,0,0">
                <w:txbxContent>
                  <w:p>
                    <w:pPr>
                      <w:spacing w:line="369" w:lineRule="exact" w:before="0"/>
                      <w:ind w:left="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0000"/>
                        <w:sz w:val="33"/>
                      </w:rPr>
                      <w:t>(C)</w:t>
                    </w:r>
                  </w:p>
                </w:txbxContent>
              </v:textbox>
              <w10:wrap type="none"/>
            </v:shape>
            <v:shape style="position:absolute;left:4340;top:3249;width:485;height:371" type="#_x0000_t202" filled="false" stroked="false">
              <v:textbox inset="0,0,0,0">
                <w:txbxContent>
                  <w:p>
                    <w:pPr>
                      <w:spacing w:line="369" w:lineRule="exact" w:before="0"/>
                      <w:ind w:left="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0000"/>
                        <w:sz w:val="33"/>
                      </w:rPr>
                      <w:t>(D)</w:t>
                    </w:r>
                  </w:p>
                </w:txbxContent>
              </v:textbox>
              <w10:wrap type="none"/>
            </v:shape>
            <v:shape style="position:absolute;left:2243;top:6406;width:467;height:370" type="#_x0000_t202" filled="false" stroked="false">
              <v:textbox inset="0,0,0,0">
                <w:txbxContent>
                  <w:p>
                    <w:pPr>
                      <w:spacing w:line="369" w:lineRule="exact" w:before="0"/>
                      <w:ind w:left="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0000"/>
                        <w:sz w:val="33"/>
                      </w:rPr>
                      <w:t>(E)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22"/>
        </w:rPr>
      </w:pPr>
    </w:p>
    <w:p>
      <w:pPr>
        <w:pStyle w:val="Heading3"/>
        <w:spacing w:before="90"/>
        <w:ind w:left="465"/>
      </w:pPr>
      <w:r>
        <w:rPr/>
        <w:t>Plate</w:t>
      </w:r>
      <w:r>
        <w:rPr>
          <w:spacing w:val="-2"/>
        </w:rPr>
        <w:t> </w:t>
      </w:r>
      <w:r>
        <w:rPr/>
        <w:t>IV:</w:t>
      </w:r>
      <w:r>
        <w:rPr>
          <w:spacing w:val="-1"/>
        </w:rPr>
        <w:t> </w:t>
      </w:r>
      <w:r>
        <w:rPr/>
        <w:t>SEM</w:t>
      </w:r>
      <w:r>
        <w:rPr>
          <w:spacing w:val="-2"/>
        </w:rPr>
        <w:t> </w:t>
      </w:r>
      <w:r>
        <w:rPr/>
        <w:t>images</w:t>
      </w:r>
      <w:r>
        <w:rPr>
          <w:spacing w:val="-1"/>
        </w:rPr>
        <w:t> </w:t>
      </w:r>
      <w:r>
        <w:rPr/>
        <w:t>of (A)</w:t>
      </w:r>
      <w:r>
        <w:rPr>
          <w:spacing w:val="-3"/>
        </w:rPr>
        <w:t> </w:t>
      </w:r>
      <w:r>
        <w:rPr/>
        <w:t>SGS-PM,</w:t>
      </w:r>
      <w:r>
        <w:rPr>
          <w:spacing w:val="-1"/>
        </w:rPr>
        <w:t> </w:t>
      </w:r>
      <w:r>
        <w:rPr/>
        <w:t>(B)</w:t>
      </w:r>
      <w:r>
        <w:rPr>
          <w:spacing w:val="-1"/>
        </w:rPr>
        <w:t> </w:t>
      </w:r>
      <w:r>
        <w:rPr/>
        <w:t>SGS,</w:t>
      </w:r>
      <w:r>
        <w:rPr>
          <w:spacing w:val="-1"/>
        </w:rPr>
        <w:t> </w:t>
      </w:r>
      <w:r>
        <w:rPr/>
        <w:t>(C)</w:t>
      </w:r>
      <w:r>
        <w:rPr>
          <w:spacing w:val="-2"/>
        </w:rPr>
        <w:t> </w:t>
      </w:r>
      <w:r>
        <w:rPr/>
        <w:t>CS,</w:t>
      </w:r>
      <w:r>
        <w:rPr>
          <w:spacing w:val="-1"/>
        </w:rPr>
        <w:t> </w:t>
      </w:r>
      <w:r>
        <w:rPr/>
        <w:t>(D)</w:t>
      </w:r>
      <w:r>
        <w:rPr>
          <w:spacing w:val="-1"/>
        </w:rPr>
        <w:t> </w:t>
      </w:r>
      <w:r>
        <w:rPr/>
        <w:t>GEL,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(E)</w:t>
      </w:r>
      <w:r>
        <w:rPr>
          <w:spacing w:val="-1"/>
        </w:rPr>
        <w:t> </w:t>
      </w:r>
      <w:r>
        <w:rPr/>
        <w:t>CSD</w:t>
      </w:r>
    </w:p>
    <w:p>
      <w:pPr>
        <w:spacing w:after="0"/>
        <w:sectPr>
          <w:pgSz w:w="11910" w:h="16840"/>
          <w:pgMar w:header="0" w:footer="987" w:top="1460" w:bottom="1260" w:left="1520" w:right="160"/>
        </w:sectPr>
      </w:pPr>
    </w:p>
    <w:p>
      <w:pPr>
        <w:pStyle w:val="Heading3"/>
        <w:numPr>
          <w:ilvl w:val="2"/>
          <w:numId w:val="20"/>
        </w:numPr>
        <w:tabs>
          <w:tab w:pos="1185" w:val="left" w:leader="none"/>
          <w:tab w:pos="1186" w:val="left" w:leader="none"/>
        </w:tabs>
        <w:spacing w:line="240" w:lineRule="auto" w:before="76" w:after="0"/>
        <w:ind w:left="1185" w:right="0" w:hanging="721"/>
        <w:jc w:val="left"/>
      </w:pPr>
      <w:bookmarkStart w:name="_TOC_250032" w:id="74"/>
      <w:r>
        <w:rPr/>
        <w:t>Confocal</w:t>
      </w:r>
      <w:r>
        <w:rPr>
          <w:spacing w:val="-2"/>
        </w:rPr>
        <w:t> </w:t>
      </w:r>
      <w:r>
        <w:rPr/>
        <w:t>laser</w:t>
      </w:r>
      <w:r>
        <w:rPr>
          <w:spacing w:val="-3"/>
        </w:rPr>
        <w:t> </w:t>
      </w:r>
      <w:r>
        <w:rPr/>
        <w:t>scanning</w:t>
      </w:r>
      <w:r>
        <w:rPr>
          <w:spacing w:val="-3"/>
        </w:rPr>
        <w:t> </w:t>
      </w:r>
      <w:r>
        <w:rPr/>
        <w:t>microscopy</w:t>
      </w:r>
      <w:r>
        <w:rPr>
          <w:spacing w:val="-2"/>
        </w:rPr>
        <w:t> </w:t>
      </w:r>
      <w:bookmarkEnd w:id="74"/>
      <w:r>
        <w:rPr/>
        <w:t>(CLSM)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351"/>
      </w:pPr>
      <w:r>
        <w:rPr/>
        <w:t>The</w:t>
      </w:r>
      <w:r>
        <w:rPr>
          <w:spacing w:val="28"/>
        </w:rPr>
        <w:t> </w:t>
      </w:r>
      <w:r>
        <w:rPr/>
        <w:t>CLSM</w:t>
      </w:r>
      <w:r>
        <w:rPr>
          <w:spacing w:val="31"/>
        </w:rPr>
        <w:t> </w:t>
      </w:r>
      <w:r>
        <w:rPr/>
        <w:t>image</w:t>
      </w:r>
      <w:r>
        <w:rPr>
          <w:spacing w:val="31"/>
        </w:rPr>
        <w:t> </w:t>
      </w:r>
      <w:r>
        <w:rPr/>
        <w:t>displayed</w:t>
      </w:r>
      <w:r>
        <w:rPr>
          <w:spacing w:val="30"/>
        </w:rPr>
        <w:t> </w:t>
      </w:r>
      <w:r>
        <w:rPr/>
        <w:t>as</w:t>
      </w:r>
      <w:r>
        <w:rPr>
          <w:spacing w:val="31"/>
        </w:rPr>
        <w:t> </w:t>
      </w:r>
      <w:r>
        <w:rPr/>
        <w:t>Plate</w:t>
      </w:r>
      <w:r>
        <w:rPr>
          <w:spacing w:val="31"/>
        </w:rPr>
        <w:t> </w:t>
      </w:r>
      <w:r>
        <w:rPr/>
        <w:t>V</w:t>
      </w:r>
      <w:r>
        <w:rPr>
          <w:spacing w:val="30"/>
        </w:rPr>
        <w:t> </w:t>
      </w:r>
      <w:r>
        <w:rPr/>
        <w:t>shows</w:t>
      </w:r>
      <w:r>
        <w:rPr>
          <w:spacing w:val="33"/>
        </w:rPr>
        <w:t> </w:t>
      </w:r>
      <w:r>
        <w:rPr/>
        <w:t>a</w:t>
      </w:r>
      <w:r>
        <w:rPr>
          <w:spacing w:val="29"/>
        </w:rPr>
        <w:t> </w:t>
      </w:r>
      <w:r>
        <w:rPr/>
        <w:t>uniform</w:t>
      </w:r>
      <w:r>
        <w:rPr>
          <w:spacing w:val="31"/>
        </w:rPr>
        <w:t> </w:t>
      </w:r>
      <w:r>
        <w:rPr/>
        <w:t>spread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gelatin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co-</w:t>
      </w:r>
      <w:r>
        <w:rPr>
          <w:spacing w:val="-57"/>
        </w:rPr>
        <w:t> </w:t>
      </w:r>
      <w:r>
        <w:rPr/>
        <w:t>processed matrix.</w:t>
      </w:r>
    </w:p>
    <w:p>
      <w:pPr>
        <w:spacing w:after="0" w:line="480" w:lineRule="auto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465"/>
        <w:rPr>
          <w:sz w:val="20"/>
        </w:rPr>
      </w:pPr>
      <w:r>
        <w:rPr>
          <w:sz w:val="20"/>
        </w:rPr>
        <w:drawing>
          <wp:inline distT="0" distB="0" distL="0" distR="0">
            <wp:extent cx="5434766" cy="2411729"/>
            <wp:effectExtent l="0" t="0" r="0" b="0"/>
            <wp:docPr id="133" name="image1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63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766" cy="241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</w:pPr>
    </w:p>
    <w:p>
      <w:pPr>
        <w:pStyle w:val="Heading3"/>
        <w:spacing w:before="90"/>
        <w:ind w:left="465" w:right="1417"/>
      </w:pPr>
      <w:r>
        <w:rPr/>
        <w:t>Plate V: CLSM image of SGS prepared with FITC-GEL showing the distribution</w:t>
      </w:r>
      <w:r>
        <w:rPr>
          <w:spacing w:val="-57"/>
        </w:rPr>
        <w:t> </w:t>
      </w:r>
      <w:r>
        <w:rPr/>
        <w:t>of gelatin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co-processed excipient</w:t>
      </w:r>
    </w:p>
    <w:p>
      <w:pPr>
        <w:spacing w:after="0"/>
        <w:sectPr>
          <w:pgSz w:w="11910" w:h="16840"/>
          <w:pgMar w:header="0" w:footer="987" w:top="1580" w:bottom="1260" w:left="1520" w:right="160"/>
        </w:sectPr>
      </w:pPr>
    </w:p>
    <w:p>
      <w:pPr>
        <w:pStyle w:val="Heading3"/>
        <w:numPr>
          <w:ilvl w:val="2"/>
          <w:numId w:val="20"/>
        </w:numPr>
        <w:tabs>
          <w:tab w:pos="1185" w:val="left" w:leader="none"/>
          <w:tab w:pos="1186" w:val="left" w:leader="none"/>
        </w:tabs>
        <w:spacing w:line="240" w:lineRule="auto" w:before="76" w:after="0"/>
        <w:ind w:left="1185" w:right="0" w:hanging="721"/>
        <w:jc w:val="left"/>
      </w:pPr>
      <w:bookmarkStart w:name="_TOC_250031" w:id="75"/>
      <w:r>
        <w:rPr/>
        <w:t>Differential</w:t>
      </w:r>
      <w:r>
        <w:rPr>
          <w:spacing w:val="-3"/>
        </w:rPr>
        <w:t> </w:t>
      </w:r>
      <w:r>
        <w:rPr/>
        <w:t>Scanning</w:t>
      </w:r>
      <w:r>
        <w:rPr>
          <w:spacing w:val="-3"/>
        </w:rPr>
        <w:t> </w:t>
      </w:r>
      <w:r>
        <w:rPr/>
        <w:t>Calorimetry</w:t>
      </w:r>
      <w:r>
        <w:rPr>
          <w:spacing w:val="-1"/>
        </w:rPr>
        <w:t> </w:t>
      </w:r>
      <w:bookmarkEnd w:id="75"/>
      <w:r>
        <w:rPr/>
        <w:t>(DSC)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2"/>
        <w:jc w:val="both"/>
      </w:pPr>
      <w:r>
        <w:rPr/>
        <w:t>Overlay plots of the DSC thermograms of CS, SGS-PM, and SGS and IBU and IBU +</w:t>
      </w:r>
      <w:r>
        <w:rPr>
          <w:spacing w:val="1"/>
        </w:rPr>
        <w:t> </w:t>
      </w:r>
      <w:r>
        <w:rPr/>
        <w:t>SGS are presented as Figures 4.10 and 4.11. The DSC thermogram of CS did not reveal</w:t>
      </w:r>
      <w:r>
        <w:rPr>
          <w:spacing w:val="1"/>
        </w:rPr>
        <w:t> </w:t>
      </w:r>
      <w:r>
        <w:rPr/>
        <w:t>any melting endotherm but a glass transition event that occurred at 256.93°C. Glass</w:t>
      </w:r>
      <w:r>
        <w:rPr>
          <w:spacing w:val="1"/>
        </w:rPr>
        <w:t> </w:t>
      </w:r>
      <w:r>
        <w:rPr/>
        <w:t>transition events also occurred for SGS-PM and SGS respectively at 255.89°C and</w:t>
      </w:r>
      <w:r>
        <w:rPr>
          <w:spacing w:val="1"/>
        </w:rPr>
        <w:t> </w:t>
      </w:r>
      <w:r>
        <w:rPr/>
        <w:t>254.42°C. The DSC scan confirmed that the glass transition event took place prior to</w:t>
      </w:r>
      <w:r>
        <w:rPr>
          <w:spacing w:val="1"/>
        </w:rPr>
        <w:t> </w:t>
      </w:r>
      <w:r>
        <w:rPr/>
        <w:t>degradation</w:t>
      </w:r>
      <w:r>
        <w:rPr>
          <w:spacing w:val="-1"/>
        </w:rPr>
        <w:t> </w:t>
      </w:r>
      <w:r>
        <w:rPr/>
        <w:t>which</w:t>
      </w:r>
      <w:r>
        <w:rPr>
          <w:spacing w:val="2"/>
        </w:rPr>
        <w:t> </w:t>
      </w:r>
      <w:r>
        <w:rPr/>
        <w:t>was observed during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HSM</w:t>
      </w:r>
      <w:r>
        <w:rPr>
          <w:spacing w:val="-1"/>
        </w:rPr>
        <w:t> </w:t>
      </w:r>
      <w:r>
        <w:rPr/>
        <w:t>studies.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spacing w:before="78"/>
        <w:ind w:left="0" w:right="38" w:firstLine="0"/>
        <w:jc w:val="right"/>
        <w:rPr>
          <w:rFonts w:ascii="Arial MT"/>
          <w:sz w:val="10"/>
        </w:rPr>
      </w:pPr>
      <w:r>
        <w:rPr/>
        <w:drawing>
          <wp:anchor distT="0" distB="0" distL="0" distR="0" allowOverlap="1" layoutInCell="1" locked="0" behindDoc="1" simplePos="0" relativeHeight="482561536">
            <wp:simplePos x="0" y="0"/>
            <wp:positionH relativeFrom="page">
              <wp:posOffset>1741124</wp:posOffset>
            </wp:positionH>
            <wp:positionV relativeFrom="paragraph">
              <wp:posOffset>65555</wp:posOffset>
            </wp:positionV>
            <wp:extent cx="4946162" cy="3718763"/>
            <wp:effectExtent l="0" t="0" r="0" b="0"/>
            <wp:wrapNone/>
            <wp:docPr id="135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64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162" cy="3718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130"/>
          <w:sz w:val="10"/>
        </w:rPr>
        <w:t>0.08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9"/>
        <w:rPr>
          <w:rFonts w:ascii="Arial MT"/>
          <w:sz w:val="9"/>
        </w:rPr>
      </w:pPr>
    </w:p>
    <w:p>
      <w:pPr>
        <w:spacing w:before="0"/>
        <w:ind w:left="0" w:right="0" w:firstLine="0"/>
        <w:jc w:val="right"/>
        <w:rPr>
          <w:rFonts w:ascii="Arial MT" w:hAnsi="Arial MT"/>
          <w:sz w:val="9"/>
        </w:rPr>
      </w:pPr>
      <w:r>
        <w:rPr>
          <w:rFonts w:ascii="Arial MT" w:hAnsi="Arial MT"/>
          <w:color w:val="FF0000"/>
          <w:w w:val="130"/>
          <w:sz w:val="9"/>
        </w:rPr>
        <w:t>–––––––</w:t>
      </w:r>
    </w:p>
    <w:p>
      <w:pPr>
        <w:spacing w:before="65"/>
        <w:ind w:left="0" w:right="0" w:firstLine="0"/>
        <w:jc w:val="right"/>
        <w:rPr>
          <w:rFonts w:ascii="Arial MT" w:hAnsi="Arial MT"/>
          <w:sz w:val="9"/>
        </w:rPr>
      </w:pPr>
      <w:r>
        <w:rPr>
          <w:rFonts w:ascii="Arial MT" w:hAnsi="Arial MT"/>
          <w:color w:val="0000FF"/>
          <w:w w:val="130"/>
          <w:sz w:val="9"/>
        </w:rPr>
        <w:t>–––––––</w:t>
      </w:r>
    </w:p>
    <w:p>
      <w:pPr>
        <w:spacing w:before="65"/>
        <w:ind w:left="0" w:right="0" w:firstLine="0"/>
        <w:jc w:val="right"/>
        <w:rPr>
          <w:rFonts w:ascii="Arial MT" w:hAnsi="Arial MT"/>
          <w:sz w:val="9"/>
        </w:rPr>
      </w:pPr>
      <w:r>
        <w:rPr>
          <w:rFonts w:ascii="Arial MT" w:hAnsi="Arial MT"/>
          <w:color w:val="008000"/>
          <w:w w:val="130"/>
          <w:sz w:val="9"/>
        </w:rPr>
        <w:t>–––––––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9"/>
        <w:rPr>
          <w:rFonts w:ascii="Arial MT"/>
          <w:sz w:val="9"/>
        </w:rPr>
      </w:pPr>
    </w:p>
    <w:p>
      <w:pPr>
        <w:spacing w:line="391" w:lineRule="auto" w:before="0"/>
        <w:ind w:left="87" w:right="1297" w:firstLine="0"/>
        <w:jc w:val="left"/>
        <w:rPr>
          <w:rFonts w:ascii="Arial MT"/>
          <w:sz w:val="9"/>
        </w:rPr>
      </w:pPr>
      <w:r>
        <w:rPr>
          <w:rFonts w:ascii="Arial MT"/>
          <w:color w:val="FF0000"/>
          <w:w w:val="130"/>
          <w:sz w:val="9"/>
        </w:rPr>
        <w:t>SGS</w:t>
      </w:r>
      <w:r>
        <w:rPr>
          <w:rFonts w:ascii="Arial MT"/>
          <w:color w:val="FF0000"/>
          <w:spacing w:val="1"/>
          <w:w w:val="130"/>
          <w:sz w:val="9"/>
        </w:rPr>
        <w:t> </w:t>
      </w:r>
      <w:r>
        <w:rPr>
          <w:rFonts w:ascii="Arial MT"/>
          <w:color w:val="0000FF"/>
          <w:spacing w:val="-1"/>
          <w:w w:val="130"/>
          <w:sz w:val="9"/>
        </w:rPr>
        <w:t>SGS-PM</w:t>
      </w:r>
      <w:r>
        <w:rPr>
          <w:rFonts w:ascii="Arial MT"/>
          <w:color w:val="0000FF"/>
          <w:spacing w:val="-30"/>
          <w:w w:val="130"/>
          <w:sz w:val="9"/>
        </w:rPr>
        <w:t> </w:t>
      </w:r>
      <w:r>
        <w:rPr>
          <w:rFonts w:ascii="Arial MT"/>
          <w:color w:val="008000"/>
          <w:w w:val="130"/>
          <w:sz w:val="9"/>
        </w:rPr>
        <w:t>CS</w:t>
      </w:r>
    </w:p>
    <w:p>
      <w:pPr>
        <w:spacing w:after="0" w:line="391" w:lineRule="auto"/>
        <w:jc w:val="left"/>
        <w:rPr>
          <w:rFonts w:ascii="Arial MT"/>
          <w:sz w:val="9"/>
        </w:rPr>
        <w:sectPr>
          <w:pgSz w:w="11910" w:h="16840"/>
          <w:pgMar w:header="0" w:footer="987" w:top="1400" w:bottom="1260" w:left="1520" w:right="160"/>
          <w:cols w:num="3" w:equalWidth="0">
            <w:col w:w="1283" w:space="5636"/>
            <w:col w:w="1428" w:space="39"/>
            <w:col w:w="1844"/>
          </w:cols>
        </w:sectPr>
      </w:pPr>
    </w:p>
    <w:p>
      <w:pPr>
        <w:pStyle w:val="BodyText"/>
        <w:spacing w:before="10"/>
        <w:rPr>
          <w:rFonts w:ascii="Arial MT"/>
          <w:sz w:val="14"/>
        </w:rPr>
      </w:pPr>
    </w:p>
    <w:p>
      <w:pPr>
        <w:spacing w:before="0"/>
        <w:ind w:left="979" w:right="0" w:firstLine="0"/>
        <w:jc w:val="left"/>
        <w:rPr>
          <w:rFonts w:ascii="Arial MT"/>
          <w:sz w:val="10"/>
        </w:rPr>
      </w:pPr>
      <w:r>
        <w:rPr>
          <w:rFonts w:ascii="Arial MT"/>
          <w:w w:val="130"/>
          <w:sz w:val="10"/>
        </w:rPr>
        <w:t>0.06</w:t>
      </w:r>
    </w:p>
    <w:p>
      <w:pPr>
        <w:pStyle w:val="BodyText"/>
        <w:spacing w:before="6"/>
        <w:rPr>
          <w:rFonts w:ascii="Arial MT"/>
          <w:sz w:val="16"/>
        </w:rPr>
      </w:pPr>
    </w:p>
    <w:p>
      <w:pPr>
        <w:spacing w:before="93"/>
        <w:ind w:left="5759" w:right="0" w:firstLine="0"/>
        <w:jc w:val="left"/>
        <w:rPr>
          <w:b/>
          <w:sz w:val="17"/>
        </w:rPr>
      </w:pPr>
      <w:r>
        <w:rPr>
          <w:b/>
          <w:color w:val="FF0000"/>
          <w:sz w:val="17"/>
        </w:rPr>
        <w:t>Tg</w:t>
      </w:r>
      <w:r>
        <w:rPr>
          <w:b/>
          <w:color w:val="FF0000"/>
          <w:spacing w:val="-2"/>
          <w:sz w:val="17"/>
        </w:rPr>
        <w:t> </w:t>
      </w:r>
      <w:r>
        <w:rPr>
          <w:b/>
          <w:color w:val="FF0000"/>
          <w:sz w:val="17"/>
        </w:rPr>
        <w:t>=</w:t>
      </w:r>
      <w:r>
        <w:rPr>
          <w:b/>
          <w:color w:val="FF0000"/>
          <w:spacing w:val="-2"/>
          <w:sz w:val="17"/>
        </w:rPr>
        <w:t> </w:t>
      </w:r>
      <w:r>
        <w:rPr>
          <w:b/>
          <w:color w:val="FF0000"/>
          <w:sz w:val="17"/>
        </w:rPr>
        <w:t>254.42 °C</w:t>
      </w:r>
    </w:p>
    <w:p>
      <w:pPr>
        <w:pStyle w:val="BodyText"/>
        <w:spacing w:before="6"/>
        <w:rPr>
          <w:b/>
          <w:sz w:val="11"/>
        </w:rPr>
      </w:pPr>
    </w:p>
    <w:p>
      <w:pPr>
        <w:spacing w:before="101"/>
        <w:ind w:left="979" w:right="0" w:firstLine="0"/>
        <w:jc w:val="left"/>
        <w:rPr>
          <w:rFonts w:ascii="Arial MT"/>
          <w:sz w:val="10"/>
        </w:rPr>
      </w:pPr>
      <w:r>
        <w:rPr>
          <w:rFonts w:ascii="Arial MT"/>
          <w:w w:val="130"/>
          <w:sz w:val="10"/>
        </w:rPr>
        <w:t>0.04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2"/>
        <w:rPr>
          <w:rFonts w:ascii="Arial MT"/>
          <w:sz w:val="11"/>
        </w:rPr>
      </w:pPr>
    </w:p>
    <w:p>
      <w:pPr>
        <w:spacing w:before="0"/>
        <w:ind w:left="979" w:right="0" w:firstLine="0"/>
        <w:jc w:val="left"/>
        <w:rPr>
          <w:rFonts w:ascii="Arial MT"/>
          <w:sz w:val="10"/>
        </w:rPr>
      </w:pPr>
      <w:r>
        <w:rPr/>
        <w:pict>
          <v:shape style="position:absolute;margin-left:101.026237pt;margin-top:-.118461pt;width:10.6pt;height:67.5pt;mso-position-horizontal-relative:page;mso-position-vertical-relative:paragraph;z-index:1588633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w w:val="80"/>
                      <w:sz w:val="15"/>
                    </w:rPr>
                    <w:t>R</w:t>
                  </w:r>
                  <w:r>
                    <w:rPr>
                      <w:rFonts w:ascii="Arial MT"/>
                      <w:spacing w:val="-15"/>
                      <w:w w:val="80"/>
                      <w:sz w:val="15"/>
                    </w:rPr>
                    <w:t> </w:t>
                  </w:r>
                  <w:r>
                    <w:rPr>
                      <w:rFonts w:ascii="Arial MT"/>
                      <w:w w:val="80"/>
                      <w:sz w:val="15"/>
                    </w:rPr>
                    <w:t>ev</w:t>
                  </w:r>
                  <w:r>
                    <w:rPr>
                      <w:rFonts w:ascii="Arial MT"/>
                      <w:spacing w:val="31"/>
                      <w:sz w:val="15"/>
                    </w:rPr>
                    <w:t> </w:t>
                  </w:r>
                  <w:r>
                    <w:rPr>
                      <w:rFonts w:ascii="Arial MT"/>
                      <w:w w:val="80"/>
                      <w:sz w:val="15"/>
                    </w:rPr>
                    <w:t>H</w:t>
                  </w:r>
                  <w:r>
                    <w:rPr>
                      <w:rFonts w:ascii="Arial MT"/>
                      <w:spacing w:val="-14"/>
                      <w:w w:val="80"/>
                      <w:sz w:val="15"/>
                    </w:rPr>
                    <w:t> </w:t>
                  </w:r>
                  <w:r>
                    <w:rPr>
                      <w:rFonts w:ascii="Arial MT"/>
                      <w:w w:val="80"/>
                      <w:sz w:val="15"/>
                    </w:rPr>
                    <w:t>eat</w:t>
                  </w:r>
                  <w:r>
                    <w:rPr>
                      <w:rFonts w:ascii="Arial MT"/>
                      <w:spacing w:val="25"/>
                      <w:sz w:val="15"/>
                    </w:rPr>
                    <w:t> </w:t>
                  </w:r>
                  <w:r>
                    <w:rPr>
                      <w:rFonts w:ascii="Arial MT"/>
                      <w:w w:val="80"/>
                      <w:sz w:val="15"/>
                    </w:rPr>
                    <w:t>Flow</w:t>
                  </w:r>
                  <w:r>
                    <w:rPr>
                      <w:rFonts w:ascii="Arial MT"/>
                      <w:spacing w:val="36"/>
                      <w:sz w:val="15"/>
                    </w:rPr>
                    <w:t> </w:t>
                  </w:r>
                  <w:r>
                    <w:rPr>
                      <w:rFonts w:ascii="Arial MT"/>
                      <w:w w:val="80"/>
                      <w:sz w:val="15"/>
                    </w:rPr>
                    <w:t>(W</w:t>
                  </w:r>
                  <w:r>
                    <w:rPr>
                      <w:rFonts w:ascii="Arial MT"/>
                      <w:spacing w:val="-10"/>
                      <w:w w:val="80"/>
                      <w:sz w:val="15"/>
                    </w:rPr>
                    <w:t> </w:t>
                  </w:r>
                  <w:r>
                    <w:rPr>
                      <w:rFonts w:ascii="Arial MT"/>
                      <w:w w:val="80"/>
                      <w:sz w:val="15"/>
                    </w:rPr>
                    <w:t>/g)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0"/>
          <w:sz w:val="10"/>
        </w:rPr>
        <w:t>0.02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3"/>
        </w:rPr>
      </w:pPr>
    </w:p>
    <w:p>
      <w:pPr>
        <w:spacing w:before="0"/>
        <w:ind w:left="5780" w:right="0" w:firstLine="0"/>
        <w:jc w:val="left"/>
        <w:rPr>
          <w:b/>
          <w:sz w:val="17"/>
        </w:rPr>
      </w:pPr>
      <w:r>
        <w:rPr>
          <w:b/>
          <w:color w:val="006FC0"/>
          <w:sz w:val="17"/>
        </w:rPr>
        <w:t>Tg</w:t>
      </w:r>
      <w:r>
        <w:rPr>
          <w:b/>
          <w:color w:val="006FC0"/>
          <w:spacing w:val="-2"/>
          <w:sz w:val="17"/>
        </w:rPr>
        <w:t> </w:t>
      </w:r>
      <w:r>
        <w:rPr>
          <w:b/>
          <w:color w:val="006FC0"/>
          <w:sz w:val="17"/>
        </w:rPr>
        <w:t>=</w:t>
      </w:r>
      <w:r>
        <w:rPr>
          <w:b/>
          <w:color w:val="006FC0"/>
          <w:spacing w:val="-2"/>
          <w:sz w:val="17"/>
        </w:rPr>
        <w:t> </w:t>
      </w:r>
      <w:r>
        <w:rPr>
          <w:b/>
          <w:color w:val="006FC0"/>
          <w:sz w:val="17"/>
        </w:rPr>
        <w:t>255.89</w:t>
      </w:r>
      <w:r>
        <w:rPr>
          <w:b/>
          <w:color w:val="006FC0"/>
          <w:spacing w:val="-1"/>
          <w:sz w:val="17"/>
        </w:rPr>
        <w:t> </w:t>
      </w:r>
      <w:r>
        <w:rPr>
          <w:b/>
          <w:color w:val="006FC0"/>
          <w:sz w:val="17"/>
        </w:rPr>
        <w:t>°C</w:t>
      </w:r>
    </w:p>
    <w:p>
      <w:pPr>
        <w:spacing w:before="18"/>
        <w:ind w:left="979" w:right="0" w:firstLine="0"/>
        <w:jc w:val="left"/>
        <w:rPr>
          <w:rFonts w:ascii="Arial MT"/>
          <w:sz w:val="10"/>
        </w:rPr>
      </w:pPr>
      <w:r>
        <w:rPr>
          <w:rFonts w:ascii="Arial MT"/>
          <w:w w:val="130"/>
          <w:sz w:val="10"/>
        </w:rPr>
        <w:t>0.00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9"/>
        </w:rPr>
      </w:pPr>
    </w:p>
    <w:p>
      <w:pPr>
        <w:spacing w:before="101"/>
        <w:ind w:left="941" w:right="0" w:firstLine="0"/>
        <w:jc w:val="left"/>
        <w:rPr>
          <w:rFonts w:ascii="Arial MT"/>
          <w:sz w:val="10"/>
        </w:rPr>
      </w:pPr>
      <w:r>
        <w:rPr>
          <w:rFonts w:ascii="Arial MT"/>
          <w:w w:val="130"/>
          <w:sz w:val="10"/>
        </w:rPr>
        <w:t>-0.02</w:t>
      </w:r>
    </w:p>
    <w:p>
      <w:pPr>
        <w:pStyle w:val="BodyText"/>
        <w:spacing w:before="5"/>
        <w:rPr>
          <w:rFonts w:ascii="Arial MT"/>
          <w:sz w:val="27"/>
        </w:rPr>
      </w:pPr>
    </w:p>
    <w:p>
      <w:pPr>
        <w:spacing w:after="0"/>
        <w:rPr>
          <w:rFonts w:ascii="Arial MT"/>
          <w:sz w:val="27"/>
        </w:rPr>
        <w:sectPr>
          <w:type w:val="continuous"/>
          <w:pgSz w:w="11910" w:h="16840"/>
          <w:pgMar w:top="1320" w:bottom="1260" w:left="1520" w:right="160"/>
        </w:sect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5"/>
        <w:rPr>
          <w:rFonts w:ascii="Arial MT"/>
          <w:sz w:val="10"/>
        </w:rPr>
      </w:pPr>
    </w:p>
    <w:p>
      <w:pPr>
        <w:spacing w:before="0"/>
        <w:ind w:left="0" w:right="38" w:firstLine="0"/>
        <w:jc w:val="right"/>
        <w:rPr>
          <w:rFonts w:ascii="Arial MT"/>
          <w:sz w:val="10"/>
        </w:rPr>
      </w:pPr>
      <w:r>
        <w:rPr>
          <w:rFonts w:ascii="Arial MT"/>
          <w:w w:val="130"/>
          <w:sz w:val="10"/>
        </w:rPr>
        <w:t>-0.04</w:t>
      </w:r>
    </w:p>
    <w:p>
      <w:pPr>
        <w:spacing w:before="92"/>
        <w:ind w:left="941" w:right="0" w:firstLine="0"/>
        <w:jc w:val="left"/>
        <w:rPr>
          <w:b/>
          <w:sz w:val="17"/>
        </w:rPr>
      </w:pPr>
      <w:r>
        <w:rPr/>
        <w:br w:type="column"/>
      </w:r>
      <w:r>
        <w:rPr>
          <w:b/>
          <w:color w:val="00AF50"/>
          <w:sz w:val="17"/>
        </w:rPr>
        <w:t>Tg</w:t>
      </w:r>
      <w:r>
        <w:rPr>
          <w:b/>
          <w:color w:val="00AF50"/>
          <w:spacing w:val="-2"/>
          <w:sz w:val="17"/>
        </w:rPr>
        <w:t> </w:t>
      </w:r>
      <w:r>
        <w:rPr>
          <w:b/>
          <w:color w:val="00AF50"/>
          <w:sz w:val="17"/>
        </w:rPr>
        <w:t>=</w:t>
      </w:r>
      <w:r>
        <w:rPr>
          <w:b/>
          <w:color w:val="00AF50"/>
          <w:spacing w:val="-2"/>
          <w:sz w:val="17"/>
        </w:rPr>
        <w:t> </w:t>
      </w:r>
      <w:r>
        <w:rPr>
          <w:b/>
          <w:color w:val="00AF50"/>
          <w:sz w:val="17"/>
        </w:rPr>
        <w:t>256.93</w:t>
      </w:r>
      <w:r>
        <w:rPr>
          <w:b/>
          <w:color w:val="00AF50"/>
          <w:spacing w:val="-1"/>
          <w:sz w:val="17"/>
        </w:rPr>
        <w:t> </w:t>
      </w:r>
      <w:r>
        <w:rPr>
          <w:b/>
          <w:color w:val="00AF50"/>
          <w:sz w:val="17"/>
        </w:rPr>
        <w:t>°C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320" w:bottom="1260" w:left="1520" w:right="160"/>
          <w:cols w:num="2" w:equalWidth="0">
            <w:col w:w="1283" w:space="3535"/>
            <w:col w:w="5412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spacing w:before="10"/>
        <w:rPr>
          <w:b/>
          <w:sz w:val="9"/>
        </w:rPr>
      </w:pPr>
    </w:p>
    <w:p>
      <w:pPr>
        <w:spacing w:before="0"/>
        <w:ind w:left="941" w:right="0" w:firstLine="0"/>
        <w:jc w:val="left"/>
        <w:rPr>
          <w:rFonts w:ascii="Arial MT"/>
          <w:sz w:val="10"/>
        </w:rPr>
      </w:pPr>
      <w:r>
        <w:rPr>
          <w:rFonts w:ascii="Arial MT"/>
          <w:w w:val="130"/>
          <w:sz w:val="10"/>
        </w:rPr>
        <w:t>-0.06</w:t>
      </w:r>
    </w:p>
    <w:p>
      <w:pPr>
        <w:tabs>
          <w:tab w:pos="2002" w:val="left" w:leader="none"/>
          <w:tab w:pos="2769" w:val="left" w:leader="none"/>
          <w:tab w:pos="3536" w:val="left" w:leader="none"/>
          <w:tab w:pos="4291" w:val="left" w:leader="none"/>
          <w:tab w:pos="5058" w:val="left" w:leader="none"/>
          <w:tab w:pos="5825" w:val="left" w:leader="none"/>
          <w:tab w:pos="6593" w:val="left" w:leader="none"/>
          <w:tab w:pos="7347" w:val="left" w:leader="none"/>
          <w:tab w:pos="8114" w:val="left" w:leader="none"/>
          <w:tab w:pos="8882" w:val="left" w:leader="none"/>
        </w:tabs>
        <w:spacing w:before="54"/>
        <w:ind w:left="1235" w:right="0" w:firstLine="0"/>
        <w:jc w:val="left"/>
        <w:rPr>
          <w:rFonts w:ascii="Arial MT"/>
          <w:sz w:val="10"/>
        </w:rPr>
      </w:pPr>
      <w:r>
        <w:rPr>
          <w:rFonts w:ascii="Arial MT"/>
          <w:w w:val="130"/>
          <w:sz w:val="10"/>
        </w:rPr>
        <w:t>250</w:t>
        <w:tab/>
        <w:t>252</w:t>
        <w:tab/>
        <w:t>254</w:t>
        <w:tab/>
        <w:t>256</w:t>
        <w:tab/>
        <w:t>258</w:t>
        <w:tab/>
        <w:t>260</w:t>
        <w:tab/>
        <w:t>262</w:t>
        <w:tab/>
        <w:t>264</w:t>
        <w:tab/>
        <w:t>266</w:t>
        <w:tab/>
        <w:t>268</w:t>
        <w:tab/>
        <w:t>270</w:t>
      </w:r>
    </w:p>
    <w:p>
      <w:pPr>
        <w:spacing w:after="0"/>
        <w:jc w:val="left"/>
        <w:rPr>
          <w:rFonts w:ascii="Arial MT"/>
          <w:sz w:val="10"/>
        </w:rPr>
        <w:sectPr>
          <w:type w:val="continuous"/>
          <w:pgSz w:w="11910" w:h="16840"/>
          <w:pgMar w:top="1320" w:bottom="1260" w:left="1520" w:right="160"/>
        </w:sectPr>
      </w:pPr>
    </w:p>
    <w:p>
      <w:pPr>
        <w:pStyle w:val="BodyText"/>
        <w:rPr>
          <w:rFonts w:ascii="Arial MT"/>
          <w:sz w:val="8"/>
        </w:rPr>
      </w:pPr>
    </w:p>
    <w:p>
      <w:pPr>
        <w:spacing w:before="49"/>
        <w:ind w:left="0" w:right="38" w:firstLine="0"/>
        <w:jc w:val="right"/>
        <w:rPr>
          <w:rFonts w:ascii="Arial MT"/>
          <w:sz w:val="8"/>
        </w:rPr>
      </w:pPr>
      <w:r>
        <w:rPr>
          <w:rFonts w:ascii="Arial MT"/>
          <w:w w:val="125"/>
          <w:sz w:val="8"/>
        </w:rPr>
        <w:t>o</w:t>
      </w:r>
      <w:r>
        <w:rPr>
          <w:rFonts w:ascii="Arial MT"/>
          <w:spacing w:val="-7"/>
          <w:w w:val="125"/>
          <w:sz w:val="8"/>
        </w:rPr>
        <w:t> </w:t>
      </w:r>
      <w:r>
        <w:rPr>
          <w:rFonts w:ascii="Arial MT"/>
          <w:w w:val="125"/>
          <w:sz w:val="8"/>
        </w:rPr>
        <w:t>Up</w:t>
      </w:r>
    </w:p>
    <w:p>
      <w:pPr>
        <w:pStyle w:val="BodyText"/>
        <w:spacing w:before="7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before="1"/>
        <w:ind w:left="941" w:right="0" w:firstLine="0"/>
        <w:jc w:val="left"/>
        <w:rPr>
          <w:rFonts w:ascii="Arial MT" w:hAnsi="Arial MT"/>
          <w:sz w:val="12"/>
        </w:rPr>
      </w:pPr>
      <w:r>
        <w:rPr>
          <w:rFonts w:ascii="Arial MT" w:hAnsi="Arial MT"/>
          <w:w w:val="130"/>
          <w:sz w:val="12"/>
        </w:rPr>
        <w:t>Temperature</w:t>
      </w:r>
      <w:r>
        <w:rPr>
          <w:rFonts w:ascii="Arial MT" w:hAnsi="Arial MT"/>
          <w:spacing w:val="1"/>
          <w:w w:val="130"/>
          <w:sz w:val="12"/>
        </w:rPr>
        <w:t> </w:t>
      </w:r>
      <w:r>
        <w:rPr>
          <w:rFonts w:ascii="Arial MT" w:hAnsi="Arial MT"/>
          <w:w w:val="130"/>
          <w:sz w:val="12"/>
        </w:rPr>
        <w:t>(°C)</w:t>
      </w:r>
    </w:p>
    <w:p>
      <w:pPr>
        <w:pStyle w:val="BodyText"/>
        <w:rPr>
          <w:rFonts w:ascii="Arial MT"/>
          <w:sz w:val="8"/>
        </w:rPr>
      </w:pPr>
      <w:r>
        <w:rPr/>
        <w:br w:type="column"/>
      </w:r>
      <w:r>
        <w:rPr>
          <w:rFonts w:ascii="Arial MT"/>
          <w:sz w:val="8"/>
        </w:rPr>
      </w:r>
    </w:p>
    <w:p>
      <w:pPr>
        <w:spacing w:before="49"/>
        <w:ind w:left="941" w:right="0" w:firstLine="0"/>
        <w:jc w:val="left"/>
        <w:rPr>
          <w:rFonts w:ascii="Arial MT"/>
          <w:sz w:val="8"/>
        </w:rPr>
      </w:pPr>
      <w:r>
        <w:rPr>
          <w:rFonts w:ascii="Arial MT"/>
          <w:spacing w:val="-2"/>
          <w:w w:val="125"/>
          <w:sz w:val="8"/>
        </w:rPr>
        <w:t>Universal</w:t>
      </w:r>
      <w:r>
        <w:rPr>
          <w:rFonts w:ascii="Arial MT"/>
          <w:spacing w:val="1"/>
          <w:w w:val="125"/>
          <w:sz w:val="8"/>
        </w:rPr>
        <w:t> </w:t>
      </w:r>
      <w:r>
        <w:rPr>
          <w:rFonts w:ascii="Arial MT"/>
          <w:spacing w:val="-2"/>
          <w:w w:val="125"/>
          <w:sz w:val="8"/>
        </w:rPr>
        <w:t>V4.5A</w:t>
      </w:r>
      <w:r>
        <w:rPr>
          <w:rFonts w:ascii="Arial MT"/>
          <w:spacing w:val="-6"/>
          <w:w w:val="125"/>
          <w:sz w:val="8"/>
        </w:rPr>
        <w:t> </w:t>
      </w:r>
      <w:r>
        <w:rPr>
          <w:rFonts w:ascii="Arial MT"/>
          <w:spacing w:val="-2"/>
          <w:w w:val="125"/>
          <w:sz w:val="8"/>
        </w:rPr>
        <w:t>TA</w:t>
      </w:r>
      <w:r>
        <w:rPr>
          <w:rFonts w:ascii="Arial MT"/>
          <w:spacing w:val="-5"/>
          <w:w w:val="125"/>
          <w:sz w:val="8"/>
        </w:rPr>
        <w:t> </w:t>
      </w:r>
      <w:r>
        <w:rPr>
          <w:rFonts w:ascii="Arial MT"/>
          <w:spacing w:val="-2"/>
          <w:w w:val="125"/>
          <w:sz w:val="8"/>
        </w:rPr>
        <w:t>Instruments</w:t>
      </w:r>
    </w:p>
    <w:p>
      <w:pPr>
        <w:spacing w:after="0"/>
        <w:jc w:val="left"/>
        <w:rPr>
          <w:rFonts w:ascii="Arial MT"/>
          <w:sz w:val="8"/>
        </w:rPr>
        <w:sectPr>
          <w:type w:val="continuous"/>
          <w:pgSz w:w="11910" w:h="16840"/>
          <w:pgMar w:top="1320" w:bottom="1260" w:left="1520" w:right="160"/>
          <w:cols w:num="3" w:equalWidth="0">
            <w:col w:w="1192" w:space="2440"/>
            <w:col w:w="2207" w:space="1680"/>
            <w:col w:w="2711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9"/>
        </w:rPr>
      </w:pPr>
    </w:p>
    <w:p>
      <w:pPr>
        <w:pStyle w:val="Heading3"/>
        <w:spacing w:before="90"/>
        <w:ind w:left="1353"/>
      </w:pPr>
      <w:r>
        <w:rPr/>
        <w:t>Figure</w:t>
      </w:r>
      <w:r>
        <w:rPr>
          <w:spacing w:val="-3"/>
        </w:rPr>
        <w:t> </w:t>
      </w:r>
      <w:r>
        <w:rPr/>
        <w:t>4.10:</w:t>
      </w:r>
      <w:r>
        <w:rPr>
          <w:spacing w:val="-1"/>
        </w:rPr>
        <w:t> </w:t>
      </w:r>
      <w:r>
        <w:rPr/>
        <w:t>Overlay</w:t>
      </w:r>
      <w:r>
        <w:rPr>
          <w:spacing w:val="-1"/>
        </w:rPr>
        <w:t> </w:t>
      </w:r>
      <w:r>
        <w:rPr/>
        <w:t>DSC</w:t>
      </w:r>
      <w:r>
        <w:rPr>
          <w:spacing w:val="-1"/>
        </w:rPr>
        <w:t> </w:t>
      </w:r>
      <w:r>
        <w:rPr/>
        <w:t>thermograms</w:t>
      </w:r>
      <w:r>
        <w:rPr>
          <w:spacing w:val="-2"/>
        </w:rPr>
        <w:t> </w:t>
      </w:r>
      <w:r>
        <w:rPr/>
        <w:t>of SGS,</w:t>
      </w:r>
      <w:r>
        <w:rPr>
          <w:spacing w:val="-1"/>
        </w:rPr>
        <w:t> </w:t>
      </w:r>
      <w:r>
        <w:rPr/>
        <w:t>SGS-PM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CS</w:t>
      </w:r>
    </w:p>
    <w:p>
      <w:pPr>
        <w:spacing w:after="0"/>
        <w:sectPr>
          <w:type w:val="continuous"/>
          <w:pgSz w:w="11910" w:h="16840"/>
          <w:pgMar w:top="1320" w:bottom="1260" w:left="1520" w:right="160"/>
        </w:sectPr>
      </w:pPr>
    </w:p>
    <w:p>
      <w:pPr>
        <w:pStyle w:val="BodyText"/>
        <w:spacing w:line="480" w:lineRule="auto" w:before="72"/>
        <w:ind w:left="465" w:right="1259"/>
        <w:jc w:val="both"/>
      </w:pPr>
      <w:r>
        <w:rPr/>
        <w:t>A melting peak at 79.62 °C was observed in the DSC thermogram of IBU. In the</w:t>
      </w:r>
      <w:r>
        <w:rPr>
          <w:spacing w:val="1"/>
        </w:rPr>
        <w:t> </w:t>
      </w:r>
      <w:r>
        <w:rPr/>
        <w:t>presence of SGS, the melting point was lowered to 78.11</w:t>
      </w:r>
      <w:r>
        <w:rPr>
          <w:spacing w:val="60"/>
        </w:rPr>
        <w:t> </w:t>
      </w:r>
      <w:r>
        <w:rPr/>
        <w:t>°C. There was a decrease in</w:t>
      </w:r>
      <w:r>
        <w:rPr>
          <w:spacing w:val="1"/>
        </w:rPr>
        <w:t> </w:t>
      </w:r>
      <w:r>
        <w:rPr/>
        <w:t>the intensity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melting</w:t>
      </w:r>
      <w:r>
        <w:rPr>
          <w:spacing w:val="-3"/>
        </w:rPr>
        <w:t> </w:t>
      </w:r>
      <w:r>
        <w:rPr/>
        <w:t>peak of</w:t>
      </w:r>
      <w:r>
        <w:rPr>
          <w:spacing w:val="1"/>
        </w:rPr>
        <w:t> </w:t>
      </w:r>
      <w:r>
        <w:rPr/>
        <w:t>IBU.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spacing w:before="77"/>
        <w:ind w:left="966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129.461975pt;margin-top:5.666418pt;width:387.2pt;height:332.7pt;mso-position-horizontal-relative:page;mso-position-vertical-relative:paragraph;z-index:15886848" coordorigin="2589,113" coordsize="7744,6654">
            <v:shape style="position:absolute;left:2589;top:113;width:7744;height:6654" type="#_x0000_t75" stroked="false">
              <v:imagedata r:id="rId172" o:title=""/>
            </v:shape>
            <v:shape style="position:absolute;left:9154;top:251;width:1108;height:311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 w:hAnsi="Arial MT"/>
                        <w:sz w:val="10"/>
                      </w:rPr>
                    </w:pPr>
                    <w:r>
                      <w:rPr>
                        <w:rFonts w:ascii="Arial MT" w:hAnsi="Arial MT"/>
                        <w:color w:val="FF0000"/>
                        <w:spacing w:val="-1"/>
                        <w:w w:val="115"/>
                        <w:sz w:val="10"/>
                      </w:rPr>
                      <w:t>–––––––</w:t>
                    </w:r>
                    <w:r>
                      <w:rPr>
                        <w:rFonts w:ascii="Arial MT" w:hAnsi="Arial MT"/>
                        <w:color w:val="FF0000"/>
                        <w:spacing w:val="32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Arial MT" w:hAnsi="Arial MT"/>
                        <w:color w:val="FF0000"/>
                        <w:spacing w:val="32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Arial MT" w:hAnsi="Arial MT"/>
                        <w:color w:val="FF0000"/>
                        <w:w w:val="115"/>
                        <w:sz w:val="10"/>
                      </w:rPr>
                      <w:t>IBU</w:t>
                    </w:r>
                  </w:p>
                  <w:p>
                    <w:pPr>
                      <w:spacing w:before="75"/>
                      <w:ind w:left="0" w:right="0" w:firstLine="0"/>
                      <w:jc w:val="left"/>
                      <w:rPr>
                        <w:rFonts w:ascii="Arial MT" w:hAnsi="Arial MT"/>
                        <w:sz w:val="10"/>
                      </w:rPr>
                    </w:pPr>
                    <w:r>
                      <w:rPr>
                        <w:rFonts w:ascii="Arial MT" w:hAnsi="Arial MT"/>
                        <w:color w:val="0000FF"/>
                        <w:spacing w:val="-1"/>
                        <w:w w:val="115"/>
                        <w:sz w:val="10"/>
                      </w:rPr>
                      <w:t>–––––––</w:t>
                    </w:r>
                    <w:r>
                      <w:rPr>
                        <w:rFonts w:ascii="Arial MT" w:hAnsi="Arial MT"/>
                        <w:color w:val="0000FF"/>
                        <w:spacing w:val="32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Arial MT" w:hAnsi="Arial MT"/>
                        <w:color w:val="0000FF"/>
                        <w:spacing w:val="32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Arial MT" w:hAnsi="Arial MT"/>
                        <w:color w:val="0000FF"/>
                        <w:w w:val="115"/>
                        <w:sz w:val="10"/>
                      </w:rPr>
                      <w:t>IBU+SGS</w:t>
                    </w:r>
                  </w:p>
                </w:txbxContent>
              </v:textbox>
              <w10:wrap type="none"/>
            </v:shape>
            <v:shape style="position:absolute;left:8130;top:2321;width:571;height:133" type="#_x0000_t202" filled="false" stroked="false">
              <v:textbox inset="0,0,0,0">
                <w:txbxContent>
                  <w:p>
                    <w:pPr>
                      <w:tabs>
                        <w:tab w:pos="396" w:val="left" w:leader="none"/>
                      </w:tabs>
                      <w:spacing w:line="133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75</w:t>
                      <w:tab/>
                      <w:t>80</w:t>
                    </w:r>
                  </w:p>
                </w:txbxContent>
              </v:textbox>
              <w10:wrap type="none"/>
            </v:shape>
            <v:shape style="position:absolute;left:8476;top:3968;width:1373;height:282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w w:val="80"/>
                        <w:sz w:val="25"/>
                      </w:rPr>
                      <w:t>M.</w:t>
                    </w:r>
                    <w:r>
                      <w:rPr>
                        <w:b/>
                        <w:spacing w:val="9"/>
                        <w:w w:val="80"/>
                        <w:sz w:val="25"/>
                      </w:rPr>
                      <w:t> </w:t>
                    </w:r>
                    <w:r>
                      <w:rPr>
                        <w:b/>
                        <w:w w:val="80"/>
                        <w:sz w:val="25"/>
                      </w:rPr>
                      <w:t>Pt:</w:t>
                    </w:r>
                    <w:r>
                      <w:rPr>
                        <w:b/>
                        <w:spacing w:val="10"/>
                        <w:w w:val="80"/>
                        <w:sz w:val="25"/>
                      </w:rPr>
                      <w:t> </w:t>
                    </w:r>
                    <w:r>
                      <w:rPr>
                        <w:b/>
                        <w:w w:val="80"/>
                        <w:sz w:val="25"/>
                      </w:rPr>
                      <w:t>79.62</w:t>
                    </w:r>
                    <w:r>
                      <w:rPr>
                        <w:b/>
                        <w:spacing w:val="8"/>
                        <w:w w:val="80"/>
                        <w:sz w:val="25"/>
                      </w:rPr>
                      <w:t> </w:t>
                    </w:r>
                    <w:r>
                      <w:rPr>
                        <w:b/>
                        <w:w w:val="80"/>
                        <w:sz w:val="25"/>
                      </w:rPr>
                      <w:t>°C</w:t>
                    </w:r>
                  </w:p>
                </w:txbxContent>
              </v:textbox>
              <w10:wrap type="none"/>
            </v:shape>
            <v:shape style="position:absolute;left:4412;top:5539;width:1309;height:282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w w:val="80"/>
                        <w:sz w:val="25"/>
                      </w:rPr>
                      <w:t>M.Pt:</w:t>
                    </w:r>
                    <w:r>
                      <w:rPr>
                        <w:b/>
                        <w:spacing w:val="11"/>
                        <w:w w:val="80"/>
                        <w:sz w:val="25"/>
                      </w:rPr>
                      <w:t> </w:t>
                    </w:r>
                    <w:r>
                      <w:rPr>
                        <w:b/>
                        <w:w w:val="80"/>
                        <w:sz w:val="25"/>
                      </w:rPr>
                      <w:t>78.11</w:t>
                    </w:r>
                    <w:r>
                      <w:rPr>
                        <w:b/>
                        <w:spacing w:val="3"/>
                        <w:w w:val="80"/>
                        <w:sz w:val="25"/>
                      </w:rPr>
                      <w:t> </w:t>
                    </w:r>
                    <w:r>
                      <w:rPr>
                        <w:b/>
                        <w:w w:val="80"/>
                        <w:sz w:val="25"/>
                      </w:rPr>
                      <w:t>°C</w:t>
                    </w:r>
                  </w:p>
                </w:txbxContent>
              </v:textbox>
              <w10:wrap type="none"/>
            </v:shape>
            <v:shape style="position:absolute;left:7772;top:5804;width:673;height:133" type="#_x0000_t202" filled="false" stroked="false">
              <v:textbox inset="0,0,0,0">
                <w:txbxContent>
                  <w:p>
                    <w:pPr>
                      <w:tabs>
                        <w:tab w:pos="499" w:val="left" w:leader="none"/>
                      </w:tabs>
                      <w:spacing w:line="133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75</w:t>
                      <w:tab/>
                      <w:t>80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06"/>
          <w:sz w:val="12"/>
        </w:rPr>
        <w:t>5</w:t>
      </w:r>
    </w:p>
    <w:p>
      <w:pPr>
        <w:pStyle w:val="BodyText"/>
        <w:spacing w:before="11"/>
        <w:rPr>
          <w:rFonts w:ascii="Arial MT"/>
          <w:sz w:val="23"/>
        </w:rPr>
      </w:pPr>
    </w:p>
    <w:p>
      <w:pPr>
        <w:spacing w:before="95"/>
        <w:ind w:left="966" w:right="0" w:firstLine="0"/>
        <w:jc w:val="left"/>
        <w:rPr>
          <w:rFonts w:ascii="Arial MT"/>
          <w:sz w:val="12"/>
        </w:rPr>
      </w:pPr>
      <w:r>
        <w:rPr>
          <w:rFonts w:ascii="Arial MT"/>
          <w:w w:val="106"/>
          <w:sz w:val="12"/>
        </w:rPr>
        <w:t>4</w:t>
      </w:r>
    </w:p>
    <w:p>
      <w:pPr>
        <w:pStyle w:val="BodyText"/>
        <w:spacing w:before="10"/>
        <w:rPr>
          <w:rFonts w:ascii="Arial MT"/>
          <w:sz w:val="23"/>
        </w:rPr>
      </w:pPr>
    </w:p>
    <w:p>
      <w:pPr>
        <w:spacing w:before="95"/>
        <w:ind w:left="966" w:right="0" w:firstLine="0"/>
        <w:jc w:val="left"/>
        <w:rPr>
          <w:rFonts w:ascii="Arial MT"/>
          <w:sz w:val="12"/>
        </w:rPr>
      </w:pPr>
      <w:r>
        <w:rPr>
          <w:rFonts w:ascii="Arial MT"/>
          <w:w w:val="106"/>
          <w:sz w:val="12"/>
        </w:rPr>
        <w:t>3</w:t>
      </w:r>
    </w:p>
    <w:p>
      <w:pPr>
        <w:pStyle w:val="BodyText"/>
        <w:rPr>
          <w:rFonts w:ascii="Arial MT"/>
        </w:rPr>
      </w:pPr>
    </w:p>
    <w:p>
      <w:pPr>
        <w:spacing w:before="95"/>
        <w:ind w:left="966" w:right="0" w:firstLine="0"/>
        <w:jc w:val="left"/>
        <w:rPr>
          <w:rFonts w:ascii="Arial MT"/>
          <w:sz w:val="12"/>
        </w:rPr>
      </w:pPr>
      <w:r>
        <w:rPr>
          <w:rFonts w:ascii="Arial MT"/>
          <w:w w:val="106"/>
          <w:sz w:val="12"/>
        </w:rPr>
        <w:t>2</w:t>
      </w:r>
    </w:p>
    <w:p>
      <w:pPr>
        <w:pStyle w:val="BodyText"/>
        <w:spacing w:before="6"/>
        <w:rPr>
          <w:rFonts w:ascii="Arial MT"/>
          <w:sz w:val="22"/>
        </w:rPr>
      </w:pPr>
    </w:p>
    <w:p>
      <w:pPr>
        <w:spacing w:before="96"/>
        <w:ind w:left="966" w:right="0" w:firstLine="0"/>
        <w:jc w:val="left"/>
        <w:rPr>
          <w:rFonts w:ascii="Arial MT"/>
          <w:sz w:val="12"/>
        </w:rPr>
      </w:pPr>
      <w:r>
        <w:rPr>
          <w:rFonts w:ascii="Arial MT"/>
          <w:w w:val="106"/>
          <w:sz w:val="12"/>
        </w:rPr>
        <w:t>1</w:t>
      </w:r>
    </w:p>
    <w:p>
      <w:pPr>
        <w:pStyle w:val="BodyText"/>
        <w:spacing w:before="10"/>
        <w:rPr>
          <w:rFonts w:ascii="Arial MT"/>
          <w:sz w:val="23"/>
        </w:rPr>
      </w:pPr>
    </w:p>
    <w:p>
      <w:pPr>
        <w:spacing w:before="96"/>
        <w:ind w:left="966" w:right="0" w:firstLine="0"/>
        <w:jc w:val="left"/>
        <w:rPr>
          <w:rFonts w:ascii="Arial MT"/>
          <w:sz w:val="12"/>
        </w:rPr>
      </w:pPr>
      <w:r>
        <w:rPr>
          <w:rFonts w:ascii="Arial MT"/>
          <w:w w:val="106"/>
          <w:sz w:val="12"/>
        </w:rPr>
        <w:t>0</w:t>
      </w:r>
    </w:p>
    <w:p>
      <w:pPr>
        <w:pStyle w:val="BodyText"/>
        <w:spacing w:before="10"/>
        <w:rPr>
          <w:rFonts w:ascii="Arial MT"/>
          <w:sz w:val="23"/>
        </w:rPr>
      </w:pPr>
    </w:p>
    <w:p>
      <w:pPr>
        <w:spacing w:before="96"/>
        <w:ind w:left="928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01.667068pt;margin-top:.252863pt;width:10.6pt;height:59.65pt;mso-position-horizontal-relative:page;mso-position-vertical-relative:paragraph;z-index:15887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w w:val="95"/>
                      <w:sz w:val="15"/>
                    </w:rPr>
                    <w:t>Heat</w:t>
                  </w:r>
                  <w:r>
                    <w:rPr>
                      <w:rFonts w:ascii="Arial MT"/>
                      <w:spacing w:val="34"/>
                      <w:w w:val="95"/>
                      <w:sz w:val="15"/>
                    </w:rPr>
                    <w:t> </w:t>
                  </w:r>
                  <w:r>
                    <w:rPr>
                      <w:rFonts w:ascii="Arial MT"/>
                      <w:w w:val="95"/>
                      <w:sz w:val="15"/>
                    </w:rPr>
                    <w:t>Flow</w:t>
                  </w:r>
                  <w:r>
                    <w:rPr>
                      <w:rFonts w:ascii="Arial MT"/>
                      <w:spacing w:val="42"/>
                      <w:sz w:val="15"/>
                    </w:rPr>
                    <w:t> </w:t>
                  </w:r>
                  <w:r>
                    <w:rPr>
                      <w:rFonts w:ascii="Arial MT"/>
                      <w:w w:val="95"/>
                      <w:sz w:val="15"/>
                    </w:rPr>
                    <w:t>(W</w:t>
                  </w:r>
                  <w:r>
                    <w:rPr>
                      <w:rFonts w:ascii="Arial MT"/>
                      <w:spacing w:val="-13"/>
                      <w:w w:val="95"/>
                      <w:sz w:val="15"/>
                    </w:rPr>
                    <w:t> </w:t>
                  </w:r>
                  <w:r>
                    <w:rPr>
                      <w:rFonts w:ascii="Arial MT"/>
                      <w:w w:val="95"/>
                      <w:sz w:val="15"/>
                    </w:rPr>
                    <w:t>/g)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2"/>
        </w:rPr>
        <w:t>-1</w:t>
      </w:r>
    </w:p>
    <w:p>
      <w:pPr>
        <w:pStyle w:val="BodyText"/>
        <w:spacing w:before="10"/>
        <w:rPr>
          <w:rFonts w:ascii="Arial MT"/>
          <w:sz w:val="23"/>
        </w:rPr>
      </w:pPr>
    </w:p>
    <w:p>
      <w:pPr>
        <w:spacing w:before="95"/>
        <w:ind w:left="928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-2</w:t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95"/>
        <w:ind w:left="928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-3</w:t>
      </w:r>
    </w:p>
    <w:p>
      <w:pPr>
        <w:pStyle w:val="BodyText"/>
        <w:spacing w:before="5"/>
        <w:rPr>
          <w:rFonts w:ascii="Arial MT"/>
          <w:sz w:val="21"/>
        </w:rPr>
      </w:pPr>
    </w:p>
    <w:p>
      <w:pPr>
        <w:spacing w:before="96"/>
        <w:ind w:left="928" w:right="0" w:firstLine="0"/>
        <w:jc w:val="left"/>
        <w:rPr>
          <w:rFonts w:ascii="Arial MT"/>
          <w:sz w:val="12"/>
        </w:rPr>
      </w:pPr>
      <w:r>
        <w:rPr>
          <w:rFonts w:ascii="Arial MT"/>
          <w:spacing w:val="-43"/>
          <w:w w:val="106"/>
          <w:sz w:val="12"/>
        </w:rPr>
        <w:t>-</w:t>
      </w:r>
      <w:r>
        <w:rPr>
          <w:rFonts w:ascii="Arial MT"/>
          <w:spacing w:val="-5"/>
          <w:w w:val="106"/>
          <w:position w:val="-2"/>
          <w:sz w:val="12"/>
        </w:rPr>
        <w:t>-</w:t>
      </w:r>
      <w:r>
        <w:rPr>
          <w:rFonts w:ascii="Arial MT"/>
          <w:spacing w:val="-72"/>
          <w:w w:val="106"/>
          <w:sz w:val="12"/>
        </w:rPr>
        <w:t>4</w:t>
      </w:r>
      <w:r>
        <w:rPr>
          <w:rFonts w:ascii="Arial MT"/>
          <w:spacing w:val="-5"/>
          <w:w w:val="106"/>
          <w:position w:val="-2"/>
          <w:sz w:val="12"/>
        </w:rPr>
        <w:t>4</w:t>
      </w:r>
    </w:p>
    <w:p>
      <w:pPr>
        <w:pStyle w:val="BodyText"/>
        <w:spacing w:before="4"/>
        <w:rPr>
          <w:rFonts w:ascii="Arial MT"/>
          <w:sz w:val="21"/>
        </w:rPr>
      </w:pPr>
    </w:p>
    <w:p>
      <w:pPr>
        <w:spacing w:before="95"/>
        <w:ind w:left="928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-5</w:t>
      </w:r>
    </w:p>
    <w:p>
      <w:pPr>
        <w:pStyle w:val="BodyText"/>
        <w:spacing w:before="6"/>
        <w:rPr>
          <w:rFonts w:ascii="Arial MT"/>
          <w:sz w:val="22"/>
        </w:rPr>
      </w:pPr>
    </w:p>
    <w:p>
      <w:pPr>
        <w:spacing w:before="96"/>
        <w:ind w:left="928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-6</w:t>
      </w:r>
    </w:p>
    <w:p>
      <w:pPr>
        <w:pStyle w:val="BodyText"/>
        <w:spacing w:before="10"/>
        <w:rPr>
          <w:rFonts w:ascii="Arial MT"/>
          <w:sz w:val="23"/>
        </w:rPr>
      </w:pPr>
    </w:p>
    <w:p>
      <w:pPr>
        <w:spacing w:before="96"/>
        <w:ind w:left="928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-7</w:t>
      </w:r>
    </w:p>
    <w:p>
      <w:pPr>
        <w:pStyle w:val="BodyText"/>
        <w:spacing w:before="10"/>
        <w:rPr>
          <w:rFonts w:ascii="Arial MT"/>
          <w:sz w:val="23"/>
        </w:rPr>
      </w:pPr>
    </w:p>
    <w:p>
      <w:pPr>
        <w:spacing w:before="95"/>
        <w:ind w:left="928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-8</w:t>
      </w:r>
    </w:p>
    <w:p>
      <w:pPr>
        <w:tabs>
          <w:tab w:pos="2604" w:val="left" w:leader="none"/>
          <w:tab w:pos="4127" w:val="left" w:leader="none"/>
          <w:tab w:pos="5663" w:val="left" w:leader="none"/>
          <w:tab w:pos="7186" w:val="left" w:leader="none"/>
          <w:tab w:pos="8683" w:val="left" w:leader="none"/>
        </w:tabs>
        <w:spacing w:before="53"/>
        <w:ind w:left="1069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50</w:t>
        <w:tab/>
        <w:t>60</w:t>
        <w:tab/>
        <w:t>70</w:t>
        <w:tab/>
        <w:t>80</w:t>
        <w:tab/>
        <w:t>90</w:t>
        <w:tab/>
        <w:t>100</w:t>
      </w:r>
    </w:p>
    <w:p>
      <w:pPr>
        <w:spacing w:after="0"/>
        <w:jc w:val="left"/>
        <w:rPr>
          <w:rFonts w:ascii="Arial MT"/>
          <w:sz w:val="12"/>
        </w:rPr>
        <w:sectPr>
          <w:pgSz w:w="11910" w:h="16840"/>
          <w:pgMar w:header="0" w:footer="987" w:top="1380" w:bottom="1260" w:left="1520" w:right="160"/>
        </w:sectPr>
      </w:pPr>
    </w:p>
    <w:p>
      <w:pPr>
        <w:pStyle w:val="BodyText"/>
        <w:spacing w:before="10"/>
        <w:rPr>
          <w:rFonts w:ascii="Arial MT"/>
          <w:sz w:val="13"/>
        </w:rPr>
      </w:pPr>
    </w:p>
    <w:p>
      <w:pPr>
        <w:spacing w:before="1"/>
        <w:ind w:left="633" w:right="0" w:firstLine="0"/>
        <w:jc w:val="left"/>
        <w:rPr>
          <w:rFonts w:ascii="Arial MT"/>
          <w:sz w:val="9"/>
        </w:rPr>
      </w:pPr>
      <w:r>
        <w:rPr>
          <w:rFonts w:ascii="Arial MT"/>
          <w:spacing w:val="-2"/>
          <w:w w:val="110"/>
          <w:sz w:val="9"/>
        </w:rPr>
        <w:t>Exo</w:t>
      </w:r>
      <w:r>
        <w:rPr>
          <w:rFonts w:ascii="Arial MT"/>
          <w:spacing w:val="-8"/>
          <w:w w:val="110"/>
          <w:sz w:val="9"/>
        </w:rPr>
        <w:t> </w:t>
      </w:r>
      <w:r>
        <w:rPr>
          <w:rFonts w:ascii="Arial MT"/>
          <w:spacing w:val="-1"/>
          <w:w w:val="110"/>
          <w:sz w:val="9"/>
        </w:rPr>
        <w:t>Up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before="0"/>
        <w:ind w:left="633" w:right="0" w:firstLine="0"/>
        <w:jc w:val="left"/>
        <w:rPr>
          <w:rFonts w:ascii="Arial MT" w:hAnsi="Arial MT"/>
          <w:sz w:val="14"/>
        </w:rPr>
      </w:pPr>
      <w:r>
        <w:rPr>
          <w:rFonts w:ascii="Arial MT" w:hAnsi="Arial MT"/>
          <w:w w:val="110"/>
          <w:sz w:val="14"/>
        </w:rPr>
        <w:t>Temperature</w:t>
      </w:r>
      <w:r>
        <w:rPr>
          <w:rFonts w:ascii="Arial MT" w:hAnsi="Arial MT"/>
          <w:spacing w:val="8"/>
          <w:w w:val="110"/>
          <w:sz w:val="14"/>
        </w:rPr>
        <w:t> </w:t>
      </w:r>
      <w:r>
        <w:rPr>
          <w:rFonts w:ascii="Arial MT" w:hAnsi="Arial MT"/>
          <w:w w:val="110"/>
          <w:sz w:val="14"/>
        </w:rPr>
        <w:t>(°C)</w:t>
      </w:r>
    </w:p>
    <w:p>
      <w:pPr>
        <w:pStyle w:val="BodyText"/>
        <w:spacing w:before="10"/>
        <w:rPr>
          <w:rFonts w:ascii="Arial MT"/>
          <w:sz w:val="13"/>
        </w:rPr>
      </w:pPr>
      <w:r>
        <w:rPr/>
        <w:br w:type="column"/>
      </w:r>
      <w:r>
        <w:rPr>
          <w:rFonts w:ascii="Arial MT"/>
          <w:sz w:val="13"/>
        </w:rPr>
      </w:r>
    </w:p>
    <w:p>
      <w:pPr>
        <w:spacing w:before="1"/>
        <w:ind w:left="633" w:right="0" w:firstLine="0"/>
        <w:jc w:val="left"/>
        <w:rPr>
          <w:rFonts w:ascii="Arial MT"/>
          <w:sz w:val="9"/>
        </w:rPr>
      </w:pPr>
      <w:r>
        <w:rPr>
          <w:rFonts w:ascii="Arial MT"/>
          <w:spacing w:val="-2"/>
          <w:w w:val="110"/>
          <w:sz w:val="9"/>
        </w:rPr>
        <w:t>Universal</w:t>
      </w:r>
      <w:r>
        <w:rPr>
          <w:rFonts w:ascii="Arial MT"/>
          <w:w w:val="110"/>
          <w:sz w:val="9"/>
        </w:rPr>
        <w:t> </w:t>
      </w:r>
      <w:r>
        <w:rPr>
          <w:rFonts w:ascii="Arial MT"/>
          <w:spacing w:val="-1"/>
          <w:w w:val="110"/>
          <w:sz w:val="9"/>
        </w:rPr>
        <w:t>V4.5A</w:t>
      </w:r>
      <w:r>
        <w:rPr>
          <w:rFonts w:ascii="Arial MT"/>
          <w:spacing w:val="-6"/>
          <w:w w:val="110"/>
          <w:sz w:val="9"/>
        </w:rPr>
        <w:t> </w:t>
      </w:r>
      <w:r>
        <w:rPr>
          <w:rFonts w:ascii="Arial MT"/>
          <w:spacing w:val="-1"/>
          <w:w w:val="110"/>
          <w:sz w:val="9"/>
        </w:rPr>
        <w:t>TA</w:t>
      </w:r>
      <w:r>
        <w:rPr>
          <w:rFonts w:ascii="Arial MT"/>
          <w:spacing w:val="-7"/>
          <w:w w:val="110"/>
          <w:sz w:val="9"/>
        </w:rPr>
        <w:t> </w:t>
      </w:r>
      <w:r>
        <w:rPr>
          <w:rFonts w:ascii="Arial MT"/>
          <w:spacing w:val="-1"/>
          <w:w w:val="110"/>
          <w:sz w:val="9"/>
        </w:rPr>
        <w:t>Instruments</w:t>
      </w:r>
    </w:p>
    <w:p>
      <w:pPr>
        <w:spacing w:after="0"/>
        <w:jc w:val="left"/>
        <w:rPr>
          <w:rFonts w:ascii="Arial MT"/>
          <w:sz w:val="9"/>
        </w:rPr>
        <w:sectPr>
          <w:type w:val="continuous"/>
          <w:pgSz w:w="11910" w:h="16840"/>
          <w:pgMar w:top="1320" w:bottom="1260" w:left="1520" w:right="160"/>
          <w:cols w:num="3" w:equalWidth="0">
            <w:col w:w="987" w:space="2750"/>
            <w:col w:w="1901" w:space="1990"/>
            <w:col w:w="260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2"/>
        </w:rPr>
      </w:pPr>
    </w:p>
    <w:p>
      <w:pPr>
        <w:pStyle w:val="Heading3"/>
        <w:spacing w:before="0"/>
        <w:ind w:left="1466"/>
      </w:pPr>
      <w:r>
        <w:rPr/>
        <w:t>Figure</w:t>
      </w:r>
      <w:r>
        <w:rPr>
          <w:spacing w:val="-2"/>
        </w:rPr>
        <w:t> </w:t>
      </w:r>
      <w:r>
        <w:rPr/>
        <w:t>4.11:</w:t>
      </w:r>
      <w:r>
        <w:rPr>
          <w:spacing w:val="-1"/>
        </w:rPr>
        <w:t> </w:t>
      </w:r>
      <w:r>
        <w:rPr/>
        <w:t>Overlay</w:t>
      </w:r>
      <w:r>
        <w:rPr>
          <w:spacing w:val="-2"/>
        </w:rPr>
        <w:t> </w:t>
      </w:r>
      <w:r>
        <w:rPr/>
        <w:t>DSC</w:t>
      </w:r>
      <w:r>
        <w:rPr>
          <w:spacing w:val="-1"/>
        </w:rPr>
        <w:t> </w:t>
      </w:r>
      <w:r>
        <w:rPr/>
        <w:t>thermograms</w:t>
      </w:r>
      <w:r>
        <w:rPr>
          <w:spacing w:val="-1"/>
        </w:rPr>
        <w:t> </w:t>
      </w:r>
      <w:r>
        <w:rPr/>
        <w:t>of IBU</w:t>
      </w:r>
      <w:r>
        <w:rPr>
          <w:spacing w:val="-1"/>
        </w:rPr>
        <w:t> </w:t>
      </w:r>
      <w:r>
        <w:rPr/>
        <w:t>and IBU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SGS</w:t>
      </w:r>
    </w:p>
    <w:p>
      <w:pPr>
        <w:spacing w:after="0"/>
        <w:sectPr>
          <w:type w:val="continuous"/>
          <w:pgSz w:w="11910" w:h="16840"/>
          <w:pgMar w:top="1320" w:bottom="1260" w:left="1520" w:right="160"/>
        </w:sectPr>
      </w:pPr>
    </w:p>
    <w:p>
      <w:pPr>
        <w:pStyle w:val="Heading3"/>
        <w:numPr>
          <w:ilvl w:val="2"/>
          <w:numId w:val="21"/>
        </w:numPr>
        <w:tabs>
          <w:tab w:pos="1185" w:val="left" w:leader="none"/>
          <w:tab w:pos="1186" w:val="left" w:leader="none"/>
        </w:tabs>
        <w:spacing w:line="240" w:lineRule="auto" w:before="76" w:after="0"/>
        <w:ind w:left="1185" w:right="0" w:hanging="721"/>
        <w:jc w:val="left"/>
      </w:pPr>
      <w:bookmarkStart w:name="_TOC_250030" w:id="76"/>
      <w:r>
        <w:rPr/>
        <w:t>Powder</w:t>
      </w:r>
      <w:r>
        <w:rPr>
          <w:spacing w:val="-2"/>
        </w:rPr>
        <w:t> </w:t>
      </w:r>
      <w:r>
        <w:rPr/>
        <w:t>X-ray</w:t>
      </w:r>
      <w:r>
        <w:rPr>
          <w:spacing w:val="-1"/>
        </w:rPr>
        <w:t> </w:t>
      </w:r>
      <w:r>
        <w:rPr/>
        <w:t>diffraction</w:t>
      </w:r>
      <w:r>
        <w:rPr>
          <w:spacing w:val="-2"/>
        </w:rPr>
        <w:t> </w:t>
      </w:r>
      <w:bookmarkEnd w:id="76"/>
      <w:r>
        <w:rPr/>
        <w:t>(PXRD)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7"/>
        <w:jc w:val="both"/>
      </w:pPr>
      <w:r>
        <w:rPr/>
        <w:t>The diffraction curves of CSD, GEL, CS and SGS is presented as Figure 4.12. The</w:t>
      </w:r>
      <w:r>
        <w:rPr>
          <w:spacing w:val="1"/>
        </w:rPr>
        <w:t> </w:t>
      </w:r>
      <w:r>
        <w:rPr/>
        <w:t>diffraction curves of GEL and CSD was characterized by a distinct halo pattern with no</w:t>
      </w:r>
      <w:r>
        <w:rPr>
          <w:spacing w:val="1"/>
        </w:rPr>
        <w:t> </w:t>
      </w:r>
      <w:r>
        <w:rPr/>
        <w:t>appearance of distinct peaks. A few broad peaks appeared in the diffraction curve of CS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diffraction</w:t>
      </w:r>
      <w:r>
        <w:rPr>
          <w:spacing w:val="1"/>
        </w:rPr>
        <w:t> </w:t>
      </w:r>
      <w:r>
        <w:rPr/>
        <w:t>curve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SGSpointing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crystallinity</w:t>
      </w:r>
      <w:r>
        <w:rPr>
          <w:spacing w:val="-6"/>
        </w:rPr>
        <w:t> </w:t>
      </w:r>
      <w:r>
        <w:rPr/>
        <w:t>which was observed under polarized</w:t>
      </w:r>
      <w:r>
        <w:rPr>
          <w:spacing w:val="2"/>
        </w:rPr>
        <w:t> </w:t>
      </w:r>
      <w:r>
        <w:rPr/>
        <w:t>microscopy.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before="5" w:after="1"/>
        <w:rPr>
          <w:sz w:val="11"/>
        </w:rPr>
      </w:pPr>
    </w:p>
    <w:p>
      <w:pPr>
        <w:pStyle w:val="BodyText"/>
        <w:ind w:left="465"/>
        <w:rPr>
          <w:sz w:val="20"/>
        </w:rPr>
      </w:pPr>
      <w:r>
        <w:rPr>
          <w:sz w:val="20"/>
        </w:rPr>
        <w:drawing>
          <wp:inline distT="0" distB="0" distL="0" distR="0">
            <wp:extent cx="5538561" cy="4709731"/>
            <wp:effectExtent l="0" t="0" r="0" b="0"/>
            <wp:docPr id="137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66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561" cy="470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9"/>
        </w:rPr>
      </w:pPr>
    </w:p>
    <w:p>
      <w:pPr>
        <w:pStyle w:val="Heading3"/>
        <w:spacing w:before="90"/>
        <w:ind w:left="1915"/>
      </w:pPr>
      <w:r>
        <w:rPr/>
        <w:t>Figure</w:t>
      </w:r>
      <w:r>
        <w:rPr>
          <w:spacing w:val="-2"/>
        </w:rPr>
        <w:t> </w:t>
      </w:r>
      <w:r>
        <w:rPr/>
        <w:t>4.12: PXRD</w:t>
      </w:r>
      <w:r>
        <w:rPr>
          <w:spacing w:val="-1"/>
        </w:rPr>
        <w:t> </w:t>
      </w:r>
      <w:r>
        <w:rPr/>
        <w:t>overlay</w:t>
      </w:r>
      <w:r>
        <w:rPr>
          <w:spacing w:val="-1"/>
        </w:rPr>
        <w:t> </w:t>
      </w:r>
      <w:r>
        <w:rPr/>
        <w:t>of SGS, CS,</w:t>
      </w:r>
      <w:r>
        <w:rPr>
          <w:spacing w:val="-1"/>
        </w:rPr>
        <w:t> </w:t>
      </w:r>
      <w:r>
        <w:rPr/>
        <w:t>GEL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CSD</w:t>
      </w:r>
    </w:p>
    <w:p>
      <w:pPr>
        <w:spacing w:after="0"/>
        <w:sectPr>
          <w:pgSz w:w="11910" w:h="16840"/>
          <w:pgMar w:header="0" w:footer="987" w:top="1580" w:bottom="1260" w:left="1520" w:right="160"/>
        </w:sectPr>
      </w:pPr>
    </w:p>
    <w:p>
      <w:pPr>
        <w:pStyle w:val="BodyText"/>
        <w:spacing w:line="480" w:lineRule="auto" w:before="72"/>
        <w:ind w:left="465" w:right="1259"/>
        <w:jc w:val="both"/>
      </w:pPr>
      <w:r>
        <w:rPr/>
        <w:t>The diffraction curves of SGS and SGS-PM is presented as Figure 4.13. There was</w:t>
      </w:r>
      <w:r>
        <w:rPr>
          <w:spacing w:val="1"/>
        </w:rPr>
        <w:t> </w:t>
      </w:r>
      <w:r>
        <w:rPr/>
        <w:t>essentially no difference</w:t>
      </w:r>
      <w:r>
        <w:rPr>
          <w:spacing w:val="60"/>
        </w:rPr>
        <w:t> </w:t>
      </w:r>
      <w:r>
        <w:rPr/>
        <w:t>in the diffraction patterns of the two materials. The position</w:t>
      </w:r>
      <w:r>
        <w:rPr>
          <w:spacing w:val="1"/>
        </w:rPr>
        <w:t> </w:t>
      </w:r>
      <w:r>
        <w:rPr/>
        <w:t>and intensity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peaks</w:t>
      </w:r>
      <w:r>
        <w:rPr>
          <w:spacing w:val="2"/>
        </w:rPr>
        <w:t> </w:t>
      </w:r>
      <w:r>
        <w:rPr/>
        <w:t>were</w:t>
      </w:r>
      <w:r>
        <w:rPr>
          <w:spacing w:val="-3"/>
        </w:rPr>
        <w:t> </w:t>
      </w:r>
      <w:r>
        <w:rPr/>
        <w:t>maintained.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ind w:left="635"/>
        <w:rPr>
          <w:sz w:val="20"/>
        </w:rPr>
      </w:pPr>
      <w:r>
        <w:rPr>
          <w:sz w:val="20"/>
        </w:rPr>
        <w:drawing>
          <wp:inline distT="0" distB="0" distL="0" distR="0">
            <wp:extent cx="5906192" cy="5108448"/>
            <wp:effectExtent l="0" t="0" r="0" b="0"/>
            <wp:docPr id="139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67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192" cy="510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  <w:spacing w:before="0"/>
        <w:ind w:left="2229"/>
      </w:pPr>
      <w:r>
        <w:rPr/>
        <w:t>Figure</w:t>
      </w:r>
      <w:r>
        <w:rPr>
          <w:spacing w:val="-2"/>
        </w:rPr>
        <w:t> </w:t>
      </w:r>
      <w:r>
        <w:rPr/>
        <w:t>4.13: PXRD</w:t>
      </w:r>
      <w:r>
        <w:rPr>
          <w:spacing w:val="-1"/>
        </w:rPr>
        <w:t> </w:t>
      </w:r>
      <w:r>
        <w:rPr/>
        <w:t>overlay</w:t>
      </w:r>
      <w:r>
        <w:rPr>
          <w:spacing w:val="-1"/>
        </w:rPr>
        <w:t> </w:t>
      </w:r>
      <w:r>
        <w:rPr/>
        <w:t>of SGS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SGS-PM</w:t>
      </w:r>
    </w:p>
    <w:p>
      <w:pPr>
        <w:spacing w:after="0"/>
        <w:sectPr>
          <w:pgSz w:w="11910" w:h="16840"/>
          <w:pgMar w:header="0" w:footer="987" w:top="1400" w:bottom="1260" w:left="1520" w:right="160"/>
        </w:sectPr>
      </w:pPr>
    </w:p>
    <w:p>
      <w:pPr>
        <w:pStyle w:val="BodyText"/>
        <w:spacing w:line="480" w:lineRule="auto" w:before="72"/>
        <w:ind w:left="465" w:right="1255"/>
        <w:jc w:val="both"/>
      </w:pPr>
      <w:r>
        <w:rPr/>
        <w:t>The diffraction curves of SGS, IBU and IBU+SGS is presented in an overlay plot as</w:t>
      </w:r>
      <w:r>
        <w:rPr>
          <w:spacing w:val="1"/>
        </w:rPr>
        <w:t> </w:t>
      </w:r>
      <w:r>
        <w:rPr/>
        <w:t>Figure 4.14. The diffraction curve of IBU is characterized by distinct sharp peaks and</w:t>
      </w:r>
      <w:r>
        <w:rPr>
          <w:spacing w:val="1"/>
        </w:rPr>
        <w:t> </w:t>
      </w:r>
      <w:r>
        <w:rPr/>
        <w:t>these peaks arereflected in the diffraction curve of IBU+SGS occurring at the same</w:t>
      </w:r>
      <w:r>
        <w:rPr>
          <w:spacing w:val="1"/>
        </w:rPr>
        <w:t> </w:t>
      </w:r>
      <w:r>
        <w:rPr/>
        <w:t>positions</w:t>
      </w:r>
      <w:r>
        <w:rPr>
          <w:spacing w:val="-1"/>
        </w:rPr>
        <w:t> </w:t>
      </w:r>
      <w:r>
        <w:rPr/>
        <w:t>but with a decrease</w:t>
      </w:r>
      <w:r>
        <w:rPr>
          <w:spacing w:val="-1"/>
        </w:rPr>
        <w:t> </w:t>
      </w:r>
      <w:r>
        <w:rPr/>
        <w:t>in intensity.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rPr>
          <w:sz w:val="9"/>
        </w:rPr>
      </w:pPr>
    </w:p>
    <w:p>
      <w:pPr>
        <w:spacing w:before="1"/>
        <w:ind w:left="586" w:right="0" w:firstLine="0"/>
        <w:jc w:val="left"/>
        <w:rPr>
          <w:rFonts w:ascii="Arial MT"/>
          <w:sz w:val="8"/>
        </w:rPr>
      </w:pPr>
      <w:r>
        <w:rPr/>
        <w:pict>
          <v:group style="position:absolute;margin-left:118.507797pt;margin-top:-56.762672pt;width:418.1pt;height:361.8pt;mso-position-horizontal-relative:page;mso-position-vertical-relative:paragraph;z-index:15887872" coordorigin="2370,-1135" coordsize="8362,7236">
            <v:shape style="position:absolute;left:2442;top:-1133;width:22;height:36" coordorigin="2443,-1132" coordsize="22,36" path="m2448,-1132l2443,-1132,2443,-1097,2464,-1097,2448,-1132xe" filled="true" fillcolor="#000000" stroked="false">
              <v:path arrowok="t"/>
              <v:fill type="solid"/>
            </v:shape>
            <v:shape style="position:absolute;left:2442;top:-1133;width:22;height:7148" coordorigin="2443,-1132" coordsize="22,7148" path="m2443,6015l2443,-1132,2443,-1132,2443,6015m2464,-1097l2448,-1132,2448,-1132,2443,-1132,2443,-1132,2443,-1097,2464,-1097e" filled="false" stroked="true" strokeweight=".282265pt" strokecolor="#000000">
              <v:path arrowok="t"/>
              <v:stroke dashstyle="solid"/>
            </v:shape>
            <v:shape style="position:absolute;left:2370;top:29;width:75;height:5988" coordorigin="2370,29" coordsize="75,5988" path="m2444,6017l2370,6017m2444,3024l2370,3024m2444,4522l2397,4522m2444,29l2370,29m2444,1527l2397,1527e" filled="false" stroked="true" strokeweight=".141136pt" strokecolor="#000000">
              <v:path arrowok="t"/>
              <v:stroke dashstyle="solid"/>
            </v:shape>
            <v:shape style="position:absolute;left:10686;top:5991;width:43;height:25" coordorigin="10686,5991" coordsize="43,25" path="m10686,5991l10686,6015,10729,6015,10686,5991xe" filled="true" fillcolor="#000000" stroked="false">
              <v:path arrowok="t"/>
              <v:fill type="solid"/>
            </v:shape>
            <v:shape style="position:absolute;left:2442;top:5991;width:8286;height:25" coordorigin="2443,5991" coordsize="8286,25" path="m2443,6015l10729,6015m10686,5991l10729,6015,10686,6015,10686,5991xe" filled="false" stroked="true" strokeweight=".282265pt" strokecolor="#000000">
              <v:path arrowok="t"/>
              <v:stroke dashstyle="solid"/>
            </v:shape>
            <v:shape style="position:absolute;left:2444;top:6016;width:8286;height:85" coordorigin="2444,6017" coordsize="8286,85" path="m4011,6017l4011,6101m2444,6017l2444,6056m2666,6017l2666,6056m2891,6017l2891,6083m3114,6017l3114,6056m3339,6017l3339,6056m3563,6017l3563,6056m3786,6017l3786,6056m6249,6017l6249,6101m4011,6017l4011,6056m4233,6017l4233,6056m4458,6017l4458,6056m4683,6017l4683,6056m4905,6017l4905,6056m5130,6017l5130,6083m5355,6017l5355,6056m5577,6017l5577,6056m5802,6017l5802,6056m6025,6017l6025,6056m8488,6017l8488,6101m6249,6017l6249,6056m6475,6017l6475,6056m6697,6017l6697,6056m6922,6017l6922,6056m7147,6017l7147,6056m7369,6017l7369,6083m7594,6017l7594,6056m7816,6017l7816,6056m8041,6017l8041,6056m8266,6017l8266,6056m10730,6017l10730,6101m8488,6017l8488,6056m8713,6017l8713,6056m8938,6017l8938,6056m9160,6017l9160,6056m9385,6017l9385,6056m9608,6017l9608,6083m9832,6017l9832,6056m10058,6017l10058,6056m10280,6017l10280,6056m10505,6017l10505,6056e" filled="false" stroked="true" strokeweight=".141136pt" strokecolor="#000000">
              <v:path arrowok="t"/>
              <v:stroke dashstyle="solid"/>
            </v:shape>
            <v:shape style="position:absolute;left:2450;top:5149;width:8268;height:322" type="#_x0000_t75" stroked="false">
              <v:imagedata r:id="rId175" o:title=""/>
            </v:shape>
            <v:shape style="position:absolute;left:2450;top:1762;width:8268;height:2334" type="#_x0000_t75" stroked="false">
              <v:imagedata r:id="rId176" o:title=""/>
            </v:shape>
            <w10:wrap type="none"/>
          </v:group>
        </w:pict>
      </w:r>
      <w:r>
        <w:rPr>
          <w:rFonts w:ascii="Arial MT"/>
          <w:sz w:val="8"/>
        </w:rPr>
        <w:t>200000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9"/>
        </w:rPr>
      </w:pPr>
    </w:p>
    <w:p>
      <w:pPr>
        <w:spacing w:before="99"/>
        <w:ind w:left="0" w:right="108" w:firstLine="0"/>
        <w:jc w:val="right"/>
        <w:rPr>
          <w:b/>
          <w:sz w:val="18"/>
        </w:rPr>
      </w:pPr>
      <w:r>
        <w:rPr/>
        <w:pict>
          <v:shape style="position:absolute;margin-left:97.830971pt;margin-top:-8.572094pt;width:9.550pt;height:44.85pt;mso-position-horizontal-relative:page;mso-position-vertical-relative:paragraph;z-index:15888384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20"/>
                      <w:sz w:val="13"/>
                    </w:rPr>
                    <w:t>Lin</w:t>
                  </w:r>
                  <w:r>
                    <w:rPr>
                      <w:rFonts w:ascii="Arial MT"/>
                      <w:spacing w:val="1"/>
                      <w:w w:val="120"/>
                      <w:sz w:val="13"/>
                    </w:rPr>
                    <w:t> </w:t>
                  </w:r>
                  <w:r>
                    <w:rPr>
                      <w:rFonts w:ascii="Arial MT"/>
                      <w:w w:val="120"/>
                      <w:sz w:val="13"/>
                    </w:rPr>
                    <w:t>(Counts)</w:t>
                  </w:r>
                </w:p>
              </w:txbxContent>
            </v:textbox>
            <w10:wrap type="none"/>
          </v:shape>
        </w:pict>
      </w:r>
      <w:r>
        <w:rPr>
          <w:b/>
          <w:w w:val="90"/>
          <w:sz w:val="18"/>
        </w:rPr>
        <w:t>SGS</w:t>
      </w:r>
      <w:r>
        <w:rPr>
          <w:b/>
          <w:spacing w:val="3"/>
          <w:w w:val="90"/>
          <w:sz w:val="18"/>
        </w:rPr>
        <w:t> </w:t>
      </w:r>
      <w:r>
        <w:rPr>
          <w:b/>
          <w:w w:val="90"/>
          <w:sz w:val="18"/>
        </w:rPr>
        <w:t>+</w:t>
      </w:r>
      <w:r>
        <w:rPr>
          <w:b/>
          <w:spacing w:val="6"/>
          <w:w w:val="90"/>
          <w:sz w:val="18"/>
        </w:rPr>
        <w:t> </w:t>
      </w:r>
      <w:r>
        <w:rPr>
          <w:b/>
          <w:w w:val="90"/>
          <w:sz w:val="18"/>
        </w:rPr>
        <w:t>IBU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pStyle w:val="BodyText"/>
        <w:rPr>
          <w:b/>
          <w:sz w:val="9"/>
        </w:rPr>
      </w:pPr>
    </w:p>
    <w:p>
      <w:pPr>
        <w:spacing w:before="0"/>
        <w:ind w:left="586" w:right="0" w:firstLine="0"/>
        <w:jc w:val="left"/>
        <w:rPr>
          <w:rFonts w:ascii="Arial MT"/>
          <w:sz w:val="8"/>
        </w:rPr>
      </w:pPr>
      <w:r>
        <w:rPr>
          <w:rFonts w:ascii="Arial MT"/>
          <w:sz w:val="8"/>
        </w:rPr>
        <w:t>100000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99"/>
        <w:ind w:left="0" w:right="599" w:firstLine="0"/>
        <w:jc w:val="right"/>
        <w:rPr>
          <w:b/>
          <w:sz w:val="18"/>
        </w:rPr>
      </w:pPr>
      <w:r>
        <w:rPr>
          <w:b/>
          <w:sz w:val="18"/>
        </w:rPr>
        <w:t>IBU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spacing w:before="0"/>
        <w:ind w:left="0" w:right="583" w:firstLine="0"/>
        <w:jc w:val="right"/>
        <w:rPr>
          <w:b/>
          <w:sz w:val="18"/>
        </w:rPr>
      </w:pPr>
      <w:r>
        <w:rPr>
          <w:b/>
          <w:sz w:val="18"/>
        </w:rPr>
        <w:t>SGS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rPr>
          <w:b/>
          <w:sz w:val="9"/>
        </w:rPr>
      </w:pPr>
    </w:p>
    <w:p>
      <w:pPr>
        <w:spacing w:before="1"/>
        <w:ind w:left="692" w:right="0" w:firstLine="0"/>
        <w:jc w:val="left"/>
        <w:rPr>
          <w:rFonts w:ascii="Arial MT"/>
          <w:sz w:val="8"/>
        </w:rPr>
      </w:pPr>
      <w:r>
        <w:rPr>
          <w:rFonts w:ascii="Arial MT"/>
          <w:w w:val="95"/>
          <w:sz w:val="8"/>
        </w:rPr>
        <w:t>0</w:t>
      </w:r>
    </w:p>
    <w:p>
      <w:pPr>
        <w:pStyle w:val="BodyText"/>
        <w:spacing w:before="5"/>
        <w:rPr>
          <w:rFonts w:ascii="Arial MT"/>
          <w:sz w:val="8"/>
        </w:rPr>
      </w:pPr>
    </w:p>
    <w:p>
      <w:pPr>
        <w:tabs>
          <w:tab w:pos="1545" w:val="left" w:leader="none"/>
          <w:tab w:pos="3784" w:val="left" w:leader="none"/>
          <w:tab w:pos="6022" w:val="left" w:leader="none"/>
          <w:tab w:pos="8264" w:val="left" w:leader="none"/>
        </w:tabs>
        <w:spacing w:before="0"/>
        <w:ind w:left="0" w:right="114" w:firstLine="0"/>
        <w:jc w:val="center"/>
        <w:rPr>
          <w:rFonts w:ascii="Arial MT"/>
          <w:sz w:val="8"/>
        </w:rPr>
      </w:pPr>
      <w:r>
        <w:rPr>
          <w:rFonts w:ascii="Arial MT"/>
          <w:sz w:val="8"/>
        </w:rPr>
        <w:t>3</w:t>
        <w:tab/>
        <w:t>10</w:t>
        <w:tab/>
        <w:t>20</w:t>
        <w:tab/>
        <w:t>30</w:t>
        <w:tab/>
        <w:t>4</w:t>
      </w:r>
    </w:p>
    <w:p>
      <w:pPr>
        <w:pStyle w:val="BodyText"/>
        <w:spacing w:before="9"/>
        <w:rPr>
          <w:rFonts w:ascii="Arial MT"/>
          <w:sz w:val="8"/>
        </w:rPr>
      </w:pPr>
    </w:p>
    <w:p>
      <w:pPr>
        <w:spacing w:before="0"/>
        <w:ind w:left="657" w:right="752" w:firstLine="0"/>
        <w:jc w:val="center"/>
        <w:rPr>
          <w:rFonts w:ascii="Arial MT"/>
          <w:sz w:val="15"/>
        </w:rPr>
      </w:pPr>
      <w:r>
        <w:rPr>
          <w:rFonts w:ascii="Arial MT"/>
          <w:w w:val="90"/>
          <w:sz w:val="15"/>
        </w:rPr>
        <w:t>2-Theta</w:t>
      </w:r>
      <w:r>
        <w:rPr>
          <w:rFonts w:ascii="Arial MT"/>
          <w:spacing w:val="-4"/>
          <w:w w:val="90"/>
          <w:sz w:val="15"/>
        </w:rPr>
        <w:t> </w:t>
      </w:r>
      <w:r>
        <w:rPr>
          <w:rFonts w:ascii="Arial MT"/>
          <w:w w:val="90"/>
          <w:sz w:val="15"/>
        </w:rPr>
        <w:t>-</w:t>
      </w:r>
      <w:r>
        <w:rPr>
          <w:rFonts w:ascii="Arial MT"/>
          <w:spacing w:val="-3"/>
          <w:w w:val="90"/>
          <w:sz w:val="15"/>
        </w:rPr>
        <w:t> </w:t>
      </w:r>
      <w:r>
        <w:rPr>
          <w:rFonts w:ascii="Arial MT"/>
          <w:w w:val="90"/>
          <w:sz w:val="15"/>
        </w:rPr>
        <w:t>Scale</w:t>
      </w:r>
    </w:p>
    <w:p>
      <w:pPr>
        <w:pStyle w:val="BodyText"/>
        <w:spacing w:before="7"/>
        <w:rPr>
          <w:rFonts w:ascii="Arial MT"/>
        </w:rPr>
      </w:pPr>
    </w:p>
    <w:p>
      <w:pPr>
        <w:pStyle w:val="Heading3"/>
        <w:spacing w:before="90"/>
        <w:ind w:left="1841"/>
      </w:pPr>
      <w:r>
        <w:rPr/>
        <w:t>Figure</w:t>
      </w:r>
      <w:r>
        <w:rPr>
          <w:spacing w:val="-2"/>
        </w:rPr>
        <w:t> </w:t>
      </w:r>
      <w:r>
        <w:rPr/>
        <w:t>4.14: PXRD</w:t>
      </w:r>
      <w:r>
        <w:rPr>
          <w:spacing w:val="-1"/>
        </w:rPr>
        <w:t> </w:t>
      </w:r>
      <w:r>
        <w:rPr/>
        <w:t>overlay of IBU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SGS,</w:t>
      </w:r>
      <w:r>
        <w:rPr>
          <w:spacing w:val="-1"/>
        </w:rPr>
        <w:t> </w:t>
      </w:r>
      <w:r>
        <w:rPr/>
        <w:t>IBU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SGS</w:t>
      </w:r>
    </w:p>
    <w:p>
      <w:pPr>
        <w:spacing w:after="0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numPr>
          <w:ilvl w:val="2"/>
          <w:numId w:val="21"/>
        </w:numPr>
        <w:tabs>
          <w:tab w:pos="1186" w:val="left" w:leader="none"/>
        </w:tabs>
        <w:spacing w:line="240" w:lineRule="auto" w:before="76" w:after="0"/>
        <w:ind w:left="1185" w:right="0" w:hanging="721"/>
        <w:jc w:val="both"/>
      </w:pPr>
      <w:bookmarkStart w:name="_TOC_250029" w:id="77"/>
      <w:r>
        <w:rPr/>
        <w:t>Fourier</w:t>
      </w:r>
      <w:r>
        <w:rPr>
          <w:spacing w:val="-3"/>
        </w:rPr>
        <w:t> </w:t>
      </w:r>
      <w:r>
        <w:rPr/>
        <w:t>Transform</w:t>
      </w:r>
      <w:r>
        <w:rPr>
          <w:spacing w:val="-4"/>
        </w:rPr>
        <w:t> </w:t>
      </w:r>
      <w:r>
        <w:rPr/>
        <w:t>Infrared</w:t>
      </w:r>
      <w:r>
        <w:rPr>
          <w:spacing w:val="-2"/>
        </w:rPr>
        <w:t> </w:t>
      </w:r>
      <w:r>
        <w:rPr/>
        <w:t>Spectroscopy</w:t>
      </w:r>
      <w:r>
        <w:rPr>
          <w:spacing w:val="-1"/>
        </w:rPr>
        <w:t> </w:t>
      </w:r>
      <w:bookmarkEnd w:id="77"/>
      <w:r>
        <w:rPr/>
        <w:t>(FT-IR)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ind w:left="465"/>
      </w:pPr>
      <w:r>
        <w:rPr/>
        <w:t>The</w:t>
      </w:r>
      <w:r>
        <w:rPr>
          <w:spacing w:val="-3"/>
        </w:rPr>
        <w:t> </w:t>
      </w:r>
      <w:r>
        <w:rPr/>
        <w:t>FT-IR spectra of CS,</w:t>
      </w:r>
      <w:r>
        <w:rPr>
          <w:spacing w:val="2"/>
        </w:rPr>
        <w:t> </w:t>
      </w:r>
      <w:r>
        <w:rPr/>
        <w:t>GEL, CSD,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SGS arepresented</w:t>
      </w:r>
      <w:r>
        <w:rPr>
          <w:spacing w:val="1"/>
        </w:rPr>
        <w:t> </w:t>
      </w:r>
      <w:r>
        <w:rPr/>
        <w:t>as</w:t>
      </w:r>
      <w:r>
        <w:rPr>
          <w:spacing w:val="3"/>
        </w:rPr>
        <w:t> </w:t>
      </w:r>
      <w:r>
        <w:rPr/>
        <w:t>an overlay</w:t>
      </w:r>
      <w:r>
        <w:rPr>
          <w:spacing w:val="-5"/>
        </w:rPr>
        <w:t> </w:t>
      </w:r>
      <w:r>
        <w:rPr/>
        <w:t>plot</w:t>
      </w:r>
      <w:r>
        <w:rPr>
          <w:spacing w:val="-1"/>
        </w:rPr>
        <w:t> </w:t>
      </w:r>
      <w:r>
        <w:rPr/>
        <w:t>in Figure</w:t>
      </w:r>
    </w:p>
    <w:p>
      <w:pPr>
        <w:pStyle w:val="BodyText"/>
      </w:pPr>
    </w:p>
    <w:p>
      <w:pPr>
        <w:pStyle w:val="BodyText"/>
        <w:spacing w:line="480" w:lineRule="auto"/>
        <w:ind w:left="465" w:right="1254"/>
        <w:jc w:val="both"/>
      </w:pPr>
      <w:r>
        <w:rPr/>
        <w:t>4.15. The major IR bands occurring in the spectra of the individual excipients are</w:t>
      </w:r>
      <w:r>
        <w:rPr>
          <w:spacing w:val="1"/>
        </w:rPr>
        <w:t> </w:t>
      </w:r>
      <w:r>
        <w:rPr/>
        <w:t>reflected in the spectrum of the co-processed excipient(SGS).</w:t>
      </w:r>
      <w:r>
        <w:rPr>
          <w:spacing w:val="1"/>
        </w:rPr>
        <w:t> </w:t>
      </w:r>
      <w:r>
        <w:rPr/>
        <w:t>The dominance of the IR</w:t>
      </w:r>
      <w:r>
        <w:rPr>
          <w:spacing w:val="1"/>
        </w:rPr>
        <w:t> </w:t>
      </w:r>
      <w:r>
        <w:rPr/>
        <w:t>absorption bands of CS in SGS is as a result of its greater proportion in the mixture</w:t>
      </w:r>
      <w:r>
        <w:rPr>
          <w:spacing w:val="1"/>
        </w:rPr>
        <w:t> </w:t>
      </w:r>
      <w:r>
        <w:rPr/>
        <w:t>blend. A table showing the major IR bands and</w:t>
      </w:r>
      <w:r>
        <w:rPr>
          <w:spacing w:val="1"/>
        </w:rPr>
        <w:t> </w:t>
      </w:r>
      <w:r>
        <w:rPr/>
        <w:t>the associated functional</w:t>
      </w:r>
      <w:r>
        <w:rPr>
          <w:spacing w:val="60"/>
        </w:rPr>
        <w:t> </w:t>
      </w:r>
      <w:r>
        <w:rPr/>
        <w:t>groups 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is given below as Table 4.8.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5884655" cy="4460271"/>
            <wp:effectExtent l="0" t="0" r="0" b="0"/>
            <wp:docPr id="141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70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655" cy="446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3"/>
        <w:spacing w:before="90"/>
        <w:ind w:left="1518"/>
      </w:pPr>
      <w:r>
        <w:rPr/>
        <w:t>Figure</w:t>
      </w:r>
      <w:r>
        <w:rPr>
          <w:spacing w:val="-3"/>
        </w:rPr>
        <w:t> </w:t>
      </w:r>
      <w:r>
        <w:rPr/>
        <w:t>4.15: FT-IR</w:t>
      </w:r>
      <w:r>
        <w:rPr>
          <w:spacing w:val="-1"/>
        </w:rPr>
        <w:t> </w:t>
      </w:r>
      <w:r>
        <w:rPr/>
        <w:t>overlay</w:t>
      </w:r>
      <w:r>
        <w:rPr>
          <w:spacing w:val="-1"/>
        </w:rPr>
        <w:t> </w:t>
      </w:r>
      <w:r>
        <w:rPr/>
        <w:t>spectra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SGS, CS,</w:t>
      </w:r>
      <w:r>
        <w:rPr>
          <w:spacing w:val="-1"/>
        </w:rPr>
        <w:t> </w:t>
      </w:r>
      <w:r>
        <w:rPr/>
        <w:t>GEL</w:t>
      </w:r>
      <w:r>
        <w:rPr>
          <w:spacing w:val="-1"/>
        </w:rPr>
        <w:t> </w:t>
      </w:r>
      <w:r>
        <w:rPr/>
        <w:t>and CSD</w:t>
      </w:r>
    </w:p>
    <w:p>
      <w:pPr>
        <w:spacing w:after="0"/>
        <w:sectPr>
          <w:pgSz w:w="11910" w:h="16840"/>
          <w:pgMar w:header="0" w:footer="987" w:top="1580" w:bottom="1260" w:left="1520" w:right="160"/>
        </w:sectPr>
      </w:pPr>
    </w:p>
    <w:p>
      <w:pPr>
        <w:spacing w:line="276" w:lineRule="auto" w:before="79"/>
        <w:ind w:left="465" w:right="1637" w:firstLine="0"/>
        <w:jc w:val="left"/>
        <w:rPr>
          <w:b/>
          <w:sz w:val="24"/>
        </w:rPr>
      </w:pPr>
      <w:r>
        <w:rPr>
          <w:b/>
          <w:sz w:val="24"/>
        </w:rPr>
        <w:t>Table 4.8: Major FT-IR bands and the corresponding functional groups for 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three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excipients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0"/>
        <w:gridCol w:w="1963"/>
        <w:gridCol w:w="2550"/>
        <w:gridCol w:w="2212"/>
      </w:tblGrid>
      <w:tr>
        <w:trPr>
          <w:trHeight w:val="551" w:hRule="atLeast"/>
        </w:trPr>
        <w:tc>
          <w:tcPr>
            <w:tcW w:w="2010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5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</w:p>
        </w:tc>
        <w:tc>
          <w:tcPr>
            <w:tcW w:w="1963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5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IR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band (s)</w:t>
            </w:r>
          </w:p>
        </w:tc>
        <w:tc>
          <w:tcPr>
            <w:tcW w:w="2550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5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vibration</w:t>
            </w:r>
          </w:p>
        </w:tc>
        <w:tc>
          <w:tcPr>
            <w:tcW w:w="2212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Functional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</w:p>
          <w:p>
            <w:pPr>
              <w:pStyle w:val="TableParagraph"/>
              <w:spacing w:line="259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(s)</w:t>
            </w:r>
          </w:p>
        </w:tc>
      </w:tr>
      <w:tr>
        <w:trPr>
          <w:trHeight w:val="548" w:hRule="atLeast"/>
        </w:trPr>
        <w:tc>
          <w:tcPr>
            <w:tcW w:w="20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Cassava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  <w:tc>
          <w:tcPr>
            <w:tcW w:w="19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3287.05</w:t>
            </w:r>
          </w:p>
        </w:tc>
        <w:tc>
          <w:tcPr>
            <w:tcW w:w="25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511"/>
              <w:rPr>
                <w:sz w:val="24"/>
              </w:rPr>
            </w:pPr>
            <w:r>
              <w:rPr>
                <w:sz w:val="24"/>
              </w:rPr>
              <w:t>O-H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stretch (H-</w:t>
            </w:r>
          </w:p>
          <w:p>
            <w:pPr>
              <w:pStyle w:val="TableParagraph"/>
              <w:spacing w:line="261" w:lineRule="exact"/>
              <w:ind w:left="511"/>
              <w:rPr>
                <w:sz w:val="24"/>
              </w:rPr>
            </w:pPr>
            <w:r>
              <w:rPr>
                <w:sz w:val="24"/>
              </w:rPr>
              <w:t>bonded)</w:t>
            </w:r>
          </w:p>
        </w:tc>
        <w:tc>
          <w:tcPr>
            <w:tcW w:w="22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Alcohols</w:t>
            </w:r>
          </w:p>
        </w:tc>
      </w:tr>
      <w:tr>
        <w:trPr>
          <w:trHeight w:val="275" w:hRule="atLeast"/>
        </w:trPr>
        <w:tc>
          <w:tcPr>
            <w:tcW w:w="20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63" w:type="dxa"/>
          </w:tcPr>
          <w:p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1275.78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exact"/>
              <w:ind w:left="511"/>
              <w:rPr>
                <w:sz w:val="24"/>
              </w:rPr>
            </w:pPr>
            <w:r>
              <w:rPr>
                <w:sz w:val="24"/>
              </w:rPr>
              <w:t>C-O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stretch</w:t>
            </w:r>
          </w:p>
        </w:tc>
        <w:tc>
          <w:tcPr>
            <w:tcW w:w="2212" w:type="dxa"/>
          </w:tcPr>
          <w:p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Carboxylic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276" w:hRule="atLeast"/>
        </w:trPr>
        <w:tc>
          <w:tcPr>
            <w:tcW w:w="20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63" w:type="dxa"/>
          </w:tcPr>
          <w:p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1150.38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exact"/>
              <w:ind w:left="511"/>
              <w:rPr>
                <w:sz w:val="24"/>
              </w:rPr>
            </w:pPr>
            <w:r>
              <w:rPr>
                <w:sz w:val="24"/>
              </w:rPr>
              <w:t>C-O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stretch</w:t>
            </w:r>
          </w:p>
        </w:tc>
        <w:tc>
          <w:tcPr>
            <w:tcW w:w="2212" w:type="dxa"/>
          </w:tcPr>
          <w:p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Carboxylic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276" w:hRule="atLeast"/>
        </w:trPr>
        <w:tc>
          <w:tcPr>
            <w:tcW w:w="20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63" w:type="dxa"/>
          </w:tcPr>
          <w:p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1076.43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exact"/>
              <w:ind w:left="511"/>
              <w:rPr>
                <w:sz w:val="24"/>
              </w:rPr>
            </w:pPr>
            <w:r>
              <w:rPr>
                <w:sz w:val="24"/>
              </w:rPr>
              <w:t>C-O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stretch</w:t>
            </w:r>
          </w:p>
        </w:tc>
        <w:tc>
          <w:tcPr>
            <w:tcW w:w="2212" w:type="dxa"/>
          </w:tcPr>
          <w:p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Carboxylic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275" w:hRule="atLeast"/>
        </w:trPr>
        <w:tc>
          <w:tcPr>
            <w:tcW w:w="20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63" w:type="dxa"/>
          </w:tcPr>
          <w:p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1015.07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exact"/>
              <w:ind w:left="511"/>
              <w:rPr>
                <w:sz w:val="24"/>
              </w:rPr>
            </w:pPr>
            <w:r>
              <w:rPr>
                <w:sz w:val="24"/>
              </w:rPr>
              <w:t>C-O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stretch</w:t>
            </w:r>
          </w:p>
        </w:tc>
        <w:tc>
          <w:tcPr>
            <w:tcW w:w="2212" w:type="dxa"/>
          </w:tcPr>
          <w:p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Carboxylic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278" w:hRule="atLeast"/>
        </w:trPr>
        <w:tc>
          <w:tcPr>
            <w:tcW w:w="20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92"/>
              <w:rPr>
                <w:sz w:val="24"/>
              </w:rPr>
            </w:pPr>
            <w:r>
              <w:rPr>
                <w:sz w:val="24"/>
              </w:rPr>
              <w:t>750.81</w:t>
            </w:r>
          </w:p>
        </w:tc>
        <w:tc>
          <w:tcPr>
            <w:tcW w:w="25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511"/>
              <w:rPr>
                <w:sz w:val="24"/>
              </w:rPr>
            </w:pPr>
            <w:r>
              <w:rPr>
                <w:sz w:val="24"/>
              </w:rPr>
              <w:t>=C-H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stretch</w:t>
            </w:r>
          </w:p>
        </w:tc>
        <w:tc>
          <w:tcPr>
            <w:tcW w:w="22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40"/>
              <w:rPr>
                <w:sz w:val="24"/>
              </w:rPr>
            </w:pPr>
            <w:r>
              <w:rPr>
                <w:sz w:val="24"/>
              </w:rPr>
              <w:t>Alkenes</w:t>
            </w:r>
          </w:p>
        </w:tc>
      </w:tr>
      <w:tr>
        <w:trPr>
          <w:trHeight w:val="275" w:hRule="atLeast"/>
        </w:trPr>
        <w:tc>
          <w:tcPr>
            <w:tcW w:w="20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Gelatin</w:t>
            </w:r>
          </w:p>
        </w:tc>
        <w:tc>
          <w:tcPr>
            <w:tcW w:w="1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3444.27</w:t>
            </w:r>
          </w:p>
        </w:tc>
        <w:tc>
          <w:tcPr>
            <w:tcW w:w="25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511"/>
              <w:rPr>
                <w:sz w:val="24"/>
              </w:rPr>
            </w:pPr>
            <w:r>
              <w:rPr>
                <w:sz w:val="24"/>
              </w:rPr>
              <w:t>N-H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stretch</w:t>
            </w:r>
          </w:p>
        </w:tc>
        <w:tc>
          <w:tcPr>
            <w:tcW w:w="22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1°,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amides</w:t>
            </w:r>
          </w:p>
        </w:tc>
      </w:tr>
      <w:tr>
        <w:trPr>
          <w:trHeight w:val="551" w:hRule="atLeast"/>
        </w:trPr>
        <w:tc>
          <w:tcPr>
            <w:tcW w:w="20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>
            <w:pPr>
              <w:pStyle w:val="TableParagraph"/>
              <w:spacing w:before="131"/>
              <w:ind w:left="292"/>
              <w:rPr>
                <w:sz w:val="24"/>
              </w:rPr>
            </w:pPr>
            <w:r>
              <w:rPr>
                <w:sz w:val="24"/>
              </w:rPr>
              <w:t>1643.24</w:t>
            </w:r>
          </w:p>
        </w:tc>
        <w:tc>
          <w:tcPr>
            <w:tcW w:w="2550" w:type="dxa"/>
          </w:tcPr>
          <w:p>
            <w:pPr>
              <w:pStyle w:val="TableParagraph"/>
              <w:spacing w:before="131"/>
              <w:ind w:left="511"/>
              <w:rPr>
                <w:sz w:val="24"/>
              </w:rPr>
            </w:pPr>
            <w:r>
              <w:rPr>
                <w:sz w:val="24"/>
              </w:rPr>
              <w:t>C═O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stretch</w:t>
            </w:r>
          </w:p>
        </w:tc>
        <w:tc>
          <w:tcPr>
            <w:tcW w:w="2212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Carboxylic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acids,</w:t>
            </w:r>
          </w:p>
          <w:p>
            <w:pPr>
              <w:pStyle w:val="TableParagraph"/>
              <w:spacing w:line="261" w:lineRule="exact"/>
              <w:ind w:left="140"/>
              <w:rPr>
                <w:sz w:val="24"/>
              </w:rPr>
            </w:pPr>
            <w:r>
              <w:rPr>
                <w:sz w:val="24"/>
              </w:rPr>
              <w:t>Carbonyls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(general)</w:t>
            </w:r>
          </w:p>
        </w:tc>
      </w:tr>
      <w:tr>
        <w:trPr>
          <w:trHeight w:val="278" w:hRule="atLeast"/>
        </w:trPr>
        <w:tc>
          <w:tcPr>
            <w:tcW w:w="20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92"/>
              <w:rPr>
                <w:sz w:val="24"/>
              </w:rPr>
            </w:pPr>
            <w:r>
              <w:rPr>
                <w:sz w:val="24"/>
              </w:rPr>
              <w:t>1038.92</w:t>
            </w:r>
          </w:p>
        </w:tc>
        <w:tc>
          <w:tcPr>
            <w:tcW w:w="25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511"/>
              <w:rPr>
                <w:sz w:val="24"/>
              </w:rPr>
            </w:pPr>
            <w:r>
              <w:rPr>
                <w:sz w:val="24"/>
              </w:rPr>
              <w:t>C-N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stretch</w:t>
            </w:r>
          </w:p>
        </w:tc>
        <w:tc>
          <w:tcPr>
            <w:tcW w:w="22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40"/>
              <w:rPr>
                <w:sz w:val="24"/>
              </w:rPr>
            </w:pPr>
            <w:r>
              <w:rPr>
                <w:sz w:val="24"/>
              </w:rPr>
              <w:t>Aliphatic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amines</w:t>
            </w:r>
          </w:p>
        </w:tc>
      </w:tr>
      <w:tr>
        <w:trPr>
          <w:trHeight w:val="548" w:hRule="atLeast"/>
        </w:trPr>
        <w:tc>
          <w:tcPr>
            <w:tcW w:w="20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Colloidal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silicon</w:t>
            </w:r>
          </w:p>
          <w:p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dioxide</w:t>
            </w:r>
          </w:p>
        </w:tc>
        <w:tc>
          <w:tcPr>
            <w:tcW w:w="1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3287.23</w:t>
            </w:r>
          </w:p>
        </w:tc>
        <w:tc>
          <w:tcPr>
            <w:tcW w:w="25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11"/>
              <w:rPr>
                <w:sz w:val="24"/>
              </w:rPr>
            </w:pPr>
            <w:r>
              <w:rPr>
                <w:sz w:val="24"/>
              </w:rPr>
              <w:t>O-H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stretch</w:t>
            </w:r>
          </w:p>
        </w:tc>
        <w:tc>
          <w:tcPr>
            <w:tcW w:w="22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Silanol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</w:tr>
      <w:tr>
        <w:trPr>
          <w:trHeight w:val="552" w:hRule="atLeast"/>
        </w:trPr>
        <w:tc>
          <w:tcPr>
            <w:tcW w:w="20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>
            <w:pPr>
              <w:pStyle w:val="TableParagraph"/>
              <w:spacing w:line="271" w:lineRule="exact"/>
              <w:ind w:left="292"/>
              <w:rPr>
                <w:sz w:val="24"/>
              </w:rPr>
            </w:pPr>
            <w:r>
              <w:rPr>
                <w:sz w:val="24"/>
              </w:rPr>
              <w:t>1038.94</w:t>
            </w:r>
          </w:p>
        </w:tc>
        <w:tc>
          <w:tcPr>
            <w:tcW w:w="2550" w:type="dxa"/>
          </w:tcPr>
          <w:p>
            <w:pPr>
              <w:pStyle w:val="TableParagraph"/>
              <w:spacing w:line="271" w:lineRule="exact"/>
              <w:ind w:left="511"/>
              <w:rPr>
                <w:sz w:val="24"/>
              </w:rPr>
            </w:pPr>
            <w:r>
              <w:rPr>
                <w:sz w:val="24"/>
              </w:rPr>
              <w:t>Si-O-Si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stretch</w:t>
            </w:r>
          </w:p>
          <w:p>
            <w:pPr>
              <w:pStyle w:val="TableParagraph"/>
              <w:spacing w:line="261" w:lineRule="exact"/>
              <w:ind w:left="511"/>
              <w:rPr>
                <w:sz w:val="24"/>
              </w:rPr>
            </w:pPr>
            <w:r>
              <w:rPr>
                <w:sz w:val="24"/>
              </w:rPr>
              <w:t>(symmetric)</w:t>
            </w:r>
          </w:p>
        </w:tc>
        <w:tc>
          <w:tcPr>
            <w:tcW w:w="2212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Silicon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Compounds</w:t>
            </w:r>
          </w:p>
        </w:tc>
      </w:tr>
      <w:tr>
        <w:trPr>
          <w:trHeight w:val="828" w:hRule="atLeast"/>
        </w:trPr>
        <w:tc>
          <w:tcPr>
            <w:tcW w:w="20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>
            <w:pPr>
              <w:pStyle w:val="TableParagraph"/>
              <w:spacing w:line="271" w:lineRule="exact"/>
              <w:ind w:left="292"/>
              <w:rPr>
                <w:sz w:val="24"/>
              </w:rPr>
            </w:pPr>
            <w:r>
              <w:rPr>
                <w:sz w:val="24"/>
              </w:rPr>
              <w:t>815.33</w:t>
            </w:r>
          </w:p>
        </w:tc>
        <w:tc>
          <w:tcPr>
            <w:tcW w:w="2550" w:type="dxa"/>
          </w:tcPr>
          <w:p>
            <w:pPr>
              <w:pStyle w:val="TableParagraph"/>
              <w:ind w:left="511" w:right="119"/>
              <w:rPr>
                <w:sz w:val="24"/>
              </w:rPr>
            </w:pPr>
            <w:r>
              <w:rPr>
                <w:sz w:val="24"/>
              </w:rPr>
              <w:t>Si-O stretch and Si-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bend</w:t>
            </w:r>
          </w:p>
          <w:p>
            <w:pPr>
              <w:pStyle w:val="TableParagraph"/>
              <w:spacing w:line="261" w:lineRule="exact"/>
              <w:ind w:left="511"/>
              <w:rPr>
                <w:sz w:val="24"/>
              </w:rPr>
            </w:pPr>
            <w:r>
              <w:rPr>
                <w:sz w:val="24"/>
              </w:rPr>
              <w:t>(asymmetric)</w:t>
            </w:r>
          </w:p>
        </w:tc>
        <w:tc>
          <w:tcPr>
            <w:tcW w:w="2212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Silicon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Compounds</w:t>
            </w:r>
          </w:p>
        </w:tc>
      </w:tr>
      <w:tr>
        <w:trPr>
          <w:trHeight w:val="831" w:hRule="atLeast"/>
        </w:trPr>
        <w:tc>
          <w:tcPr>
            <w:tcW w:w="20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92"/>
              <w:rPr>
                <w:sz w:val="24"/>
              </w:rPr>
            </w:pPr>
            <w:r>
              <w:rPr>
                <w:sz w:val="24"/>
              </w:rPr>
              <w:t>487.16</w:t>
            </w:r>
          </w:p>
        </w:tc>
        <w:tc>
          <w:tcPr>
            <w:tcW w:w="25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511"/>
              <w:rPr>
                <w:sz w:val="24"/>
              </w:rPr>
            </w:pPr>
            <w:r>
              <w:rPr>
                <w:sz w:val="24"/>
              </w:rPr>
              <w:t>Si-O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stretching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70" w:lineRule="atLeast"/>
              <w:ind w:left="511" w:right="739"/>
              <w:rPr>
                <w:sz w:val="24"/>
              </w:rPr>
            </w:pPr>
            <w:r>
              <w:rPr>
                <w:sz w:val="24"/>
              </w:rPr>
              <w:t>Si-O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bending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(asymmetric)</w:t>
            </w:r>
          </w:p>
        </w:tc>
        <w:tc>
          <w:tcPr>
            <w:tcW w:w="22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Silicon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Compounds</w:t>
            </w:r>
          </w:p>
        </w:tc>
      </w:tr>
      <w:tr>
        <w:trPr>
          <w:trHeight w:val="548" w:hRule="atLeast"/>
        </w:trPr>
        <w:tc>
          <w:tcPr>
            <w:tcW w:w="20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StarGelaSil</w:t>
            </w:r>
          </w:p>
        </w:tc>
        <w:tc>
          <w:tcPr>
            <w:tcW w:w="1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3287.64</w:t>
            </w:r>
          </w:p>
        </w:tc>
        <w:tc>
          <w:tcPr>
            <w:tcW w:w="25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11"/>
              <w:rPr>
                <w:sz w:val="24"/>
              </w:rPr>
            </w:pPr>
            <w:r>
              <w:rPr>
                <w:sz w:val="24"/>
              </w:rPr>
              <w:t>O-H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stretch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(H-</w:t>
            </w:r>
          </w:p>
          <w:p>
            <w:pPr>
              <w:pStyle w:val="TableParagraph"/>
              <w:spacing w:line="261" w:lineRule="exact"/>
              <w:ind w:left="511"/>
              <w:rPr>
                <w:sz w:val="24"/>
              </w:rPr>
            </w:pPr>
            <w:r>
              <w:rPr>
                <w:sz w:val="24"/>
              </w:rPr>
              <w:t>bonded)</w:t>
            </w:r>
          </w:p>
        </w:tc>
        <w:tc>
          <w:tcPr>
            <w:tcW w:w="22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Alcohols</w:t>
            </w:r>
          </w:p>
        </w:tc>
      </w:tr>
      <w:tr>
        <w:trPr>
          <w:trHeight w:val="276" w:hRule="atLeast"/>
        </w:trPr>
        <w:tc>
          <w:tcPr>
            <w:tcW w:w="20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63" w:type="dxa"/>
          </w:tcPr>
          <w:p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2934.01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exact"/>
              <w:ind w:left="511"/>
              <w:rPr>
                <w:sz w:val="24"/>
              </w:rPr>
            </w:pPr>
            <w:r>
              <w:rPr>
                <w:sz w:val="24"/>
              </w:rPr>
              <w:t>C-H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stretch</w:t>
            </w:r>
          </w:p>
        </w:tc>
        <w:tc>
          <w:tcPr>
            <w:tcW w:w="2212" w:type="dxa"/>
          </w:tcPr>
          <w:p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Alkanes</w:t>
            </w:r>
          </w:p>
        </w:tc>
      </w:tr>
      <w:tr>
        <w:trPr>
          <w:trHeight w:val="275" w:hRule="atLeast"/>
        </w:trPr>
        <w:tc>
          <w:tcPr>
            <w:tcW w:w="20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63" w:type="dxa"/>
          </w:tcPr>
          <w:p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1637.43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exact"/>
              <w:ind w:left="511"/>
              <w:rPr>
                <w:sz w:val="24"/>
              </w:rPr>
            </w:pPr>
            <w:r>
              <w:rPr>
                <w:sz w:val="24"/>
              </w:rPr>
              <w:t>C=O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stretch</w:t>
            </w:r>
          </w:p>
        </w:tc>
        <w:tc>
          <w:tcPr>
            <w:tcW w:w="2212" w:type="dxa"/>
          </w:tcPr>
          <w:p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Amides</w:t>
            </w:r>
          </w:p>
        </w:tc>
      </w:tr>
      <w:tr>
        <w:trPr>
          <w:trHeight w:val="276" w:hRule="atLeast"/>
        </w:trPr>
        <w:tc>
          <w:tcPr>
            <w:tcW w:w="20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63" w:type="dxa"/>
          </w:tcPr>
          <w:p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1149.85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exact"/>
              <w:ind w:left="511"/>
              <w:rPr>
                <w:sz w:val="24"/>
              </w:rPr>
            </w:pPr>
            <w:r>
              <w:rPr>
                <w:sz w:val="24"/>
              </w:rPr>
              <w:t>C-O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stretch</w:t>
            </w:r>
          </w:p>
        </w:tc>
        <w:tc>
          <w:tcPr>
            <w:tcW w:w="2212" w:type="dxa"/>
          </w:tcPr>
          <w:p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Carboxylic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acids</w:t>
            </w:r>
          </w:p>
        </w:tc>
      </w:tr>
      <w:tr>
        <w:trPr>
          <w:trHeight w:val="275" w:hRule="atLeast"/>
        </w:trPr>
        <w:tc>
          <w:tcPr>
            <w:tcW w:w="20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63" w:type="dxa"/>
          </w:tcPr>
          <w:p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1076.45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exact"/>
              <w:ind w:left="511"/>
              <w:rPr>
                <w:sz w:val="24"/>
              </w:rPr>
            </w:pPr>
            <w:r>
              <w:rPr>
                <w:sz w:val="24"/>
              </w:rPr>
              <w:t>C-O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stretch</w:t>
            </w:r>
          </w:p>
        </w:tc>
        <w:tc>
          <w:tcPr>
            <w:tcW w:w="2212" w:type="dxa"/>
          </w:tcPr>
          <w:p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Carboxylic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acids</w:t>
            </w:r>
          </w:p>
        </w:tc>
      </w:tr>
      <w:tr>
        <w:trPr>
          <w:trHeight w:val="276" w:hRule="atLeast"/>
        </w:trPr>
        <w:tc>
          <w:tcPr>
            <w:tcW w:w="20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63" w:type="dxa"/>
          </w:tcPr>
          <w:p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1000.50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exact"/>
              <w:ind w:left="511"/>
              <w:rPr>
                <w:sz w:val="24"/>
              </w:rPr>
            </w:pPr>
            <w:r>
              <w:rPr>
                <w:sz w:val="24"/>
              </w:rPr>
              <w:t>C-O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stretch</w:t>
            </w:r>
          </w:p>
        </w:tc>
        <w:tc>
          <w:tcPr>
            <w:tcW w:w="2212" w:type="dxa"/>
          </w:tcPr>
          <w:p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Carboxylic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acids</w:t>
            </w:r>
          </w:p>
        </w:tc>
      </w:tr>
      <w:tr>
        <w:trPr>
          <w:trHeight w:val="276" w:hRule="atLeast"/>
        </w:trPr>
        <w:tc>
          <w:tcPr>
            <w:tcW w:w="20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63" w:type="dxa"/>
          </w:tcPr>
          <w:p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860.06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exact"/>
              <w:ind w:left="511"/>
              <w:rPr>
                <w:sz w:val="24"/>
              </w:rPr>
            </w:pPr>
            <w:r>
              <w:rPr>
                <w:sz w:val="24"/>
              </w:rPr>
              <w:t>N-H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wag</w:t>
            </w:r>
          </w:p>
        </w:tc>
        <w:tc>
          <w:tcPr>
            <w:tcW w:w="2212" w:type="dxa"/>
          </w:tcPr>
          <w:p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1°,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amines</w:t>
            </w:r>
          </w:p>
        </w:tc>
      </w:tr>
      <w:tr>
        <w:trPr>
          <w:trHeight w:val="278" w:hRule="atLeast"/>
        </w:trPr>
        <w:tc>
          <w:tcPr>
            <w:tcW w:w="2010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6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z w:val="24"/>
              </w:rPr>
              <w:t>764.55</w:t>
            </w:r>
          </w:p>
        </w:tc>
        <w:tc>
          <w:tcPr>
            <w:tcW w:w="255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8" w:lineRule="exact"/>
              <w:ind w:left="511"/>
              <w:rPr>
                <w:sz w:val="24"/>
              </w:rPr>
            </w:pPr>
            <w:r>
              <w:rPr>
                <w:sz w:val="24"/>
              </w:rPr>
              <w:t>N-H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wag</w:t>
            </w:r>
          </w:p>
        </w:tc>
        <w:tc>
          <w:tcPr>
            <w:tcW w:w="221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8" w:lineRule="exact"/>
              <w:ind w:left="140"/>
              <w:rPr>
                <w:sz w:val="24"/>
              </w:rPr>
            </w:pPr>
            <w:r>
              <w:rPr>
                <w:sz w:val="24"/>
              </w:rPr>
              <w:t>1°,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amines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6"/>
        <w:jc w:val="both"/>
      </w:pPr>
      <w:r>
        <w:rPr/>
        <w:t>The</w:t>
      </w:r>
      <w:r>
        <w:rPr>
          <w:spacing w:val="1"/>
        </w:rPr>
        <w:t> </w:t>
      </w:r>
      <w:r>
        <w:rPr/>
        <w:t>FT-IR</w:t>
      </w:r>
      <w:r>
        <w:rPr>
          <w:spacing w:val="1"/>
        </w:rPr>
        <w:t> </w:t>
      </w:r>
      <w:r>
        <w:rPr/>
        <w:t>spectra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SGS-PM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4.16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superimposition of one on the other. There was no change in the band positions or the</w:t>
      </w:r>
      <w:r>
        <w:rPr>
          <w:spacing w:val="1"/>
        </w:rPr>
        <w:t> </w:t>
      </w:r>
      <w:r>
        <w:rPr/>
        <w:t>appearance of new bands indicating that co-processing did not result in the formation of</w:t>
      </w:r>
      <w:r>
        <w:rPr>
          <w:spacing w:val="1"/>
        </w:rPr>
        <w:t> </w:t>
      </w:r>
      <w:r>
        <w:rPr/>
        <w:t>any</w:t>
      </w:r>
      <w:r>
        <w:rPr>
          <w:spacing w:val="-5"/>
        </w:rPr>
        <w:t> </w:t>
      </w:r>
      <w:r>
        <w:rPr/>
        <w:t>new compound.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ind w:left="556"/>
        <w:rPr>
          <w:sz w:val="20"/>
        </w:rPr>
      </w:pPr>
      <w:r>
        <w:rPr>
          <w:sz w:val="20"/>
        </w:rPr>
        <w:drawing>
          <wp:inline distT="0" distB="0" distL="0" distR="0">
            <wp:extent cx="5763928" cy="4584192"/>
            <wp:effectExtent l="0" t="0" r="0" b="0"/>
            <wp:docPr id="143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71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928" cy="458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Heading3"/>
        <w:spacing w:before="90"/>
        <w:ind w:left="1833"/>
      </w:pPr>
      <w:r>
        <w:rPr/>
        <w:t>Figure</w:t>
      </w:r>
      <w:r>
        <w:rPr>
          <w:spacing w:val="-3"/>
        </w:rPr>
        <w:t> </w:t>
      </w:r>
      <w:r>
        <w:rPr/>
        <w:t>4.16: FT-IR</w:t>
      </w:r>
      <w:r>
        <w:rPr>
          <w:spacing w:val="-2"/>
        </w:rPr>
        <w:t> </w:t>
      </w:r>
      <w:r>
        <w:rPr/>
        <w:t>overlay</w:t>
      </w:r>
      <w:r>
        <w:rPr>
          <w:spacing w:val="-1"/>
        </w:rPr>
        <w:t> </w:t>
      </w:r>
      <w:r>
        <w:rPr/>
        <w:t>spectra</w:t>
      </w:r>
      <w:r>
        <w:rPr>
          <w:spacing w:val="-2"/>
        </w:rPr>
        <w:t> </w:t>
      </w:r>
      <w:r>
        <w:rPr/>
        <w:t>of SGS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SGS-PM</w:t>
      </w:r>
    </w:p>
    <w:p>
      <w:pPr>
        <w:spacing w:after="0"/>
        <w:sectPr>
          <w:pgSz w:w="11910" w:h="16840"/>
          <w:pgMar w:header="0" w:footer="987" w:top="1580" w:bottom="1260" w:left="1520" w:right="160"/>
        </w:sectPr>
      </w:pPr>
    </w:p>
    <w:p>
      <w:pPr>
        <w:pStyle w:val="BodyText"/>
        <w:spacing w:line="480" w:lineRule="auto" w:before="72"/>
        <w:ind w:left="465" w:right="1256"/>
        <w:jc w:val="both"/>
      </w:pPr>
      <w:r>
        <w:rPr/>
        <w:t>The FT-IR spectra of IBU, SGS and IBU+SGS displayed as Figure 4.17 showed that the</w:t>
      </w:r>
      <w:r>
        <w:rPr>
          <w:spacing w:val="-57"/>
        </w:rPr>
        <w:t> </w:t>
      </w:r>
      <w:r>
        <w:rPr/>
        <w:t>characteristic absorption bands of IBU were reflected in the IR spectrum of IBU+SGS.</w:t>
      </w:r>
      <w:r>
        <w:rPr>
          <w:spacing w:val="1"/>
        </w:rPr>
        <w:t> </w:t>
      </w:r>
      <w:r>
        <w:rPr/>
        <w:t>The various band positions were maintained and there was no appearance of a new band</w:t>
      </w:r>
      <w:r>
        <w:rPr>
          <w:spacing w:val="-57"/>
        </w:rPr>
        <w:t> </w:t>
      </w:r>
      <w:r>
        <w:rPr/>
        <w:t>confirming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compatibility</w:t>
      </w:r>
      <w:r>
        <w:rPr>
          <w:spacing w:val="-8"/>
        </w:rPr>
        <w:t> </w:t>
      </w:r>
      <w:r>
        <w:rPr/>
        <w:t>between</w:t>
      </w:r>
      <w:r>
        <w:rPr>
          <w:spacing w:val="2"/>
        </w:rPr>
        <w:t> </w:t>
      </w:r>
      <w:r>
        <w:rPr/>
        <w:t>IBU and SGS.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ind w:left="560"/>
        <w:rPr>
          <w:sz w:val="20"/>
        </w:rPr>
      </w:pPr>
      <w:r>
        <w:rPr>
          <w:sz w:val="20"/>
        </w:rPr>
        <w:drawing>
          <wp:inline distT="0" distB="0" distL="0" distR="0">
            <wp:extent cx="5991386" cy="4639246"/>
            <wp:effectExtent l="0" t="0" r="0" b="0"/>
            <wp:docPr id="145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72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386" cy="46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3"/>
        <w:spacing w:before="233"/>
        <w:ind w:left="1444"/>
      </w:pPr>
      <w:r>
        <w:rPr/>
        <w:t>Figure</w:t>
      </w:r>
      <w:r>
        <w:rPr>
          <w:spacing w:val="-3"/>
        </w:rPr>
        <w:t> </w:t>
      </w:r>
      <w:r>
        <w:rPr/>
        <w:t>4.17: FT-IR</w:t>
      </w:r>
      <w:r>
        <w:rPr>
          <w:spacing w:val="-1"/>
        </w:rPr>
        <w:t> </w:t>
      </w:r>
      <w:r>
        <w:rPr/>
        <w:t>overlay</w:t>
      </w:r>
      <w:r>
        <w:rPr>
          <w:spacing w:val="-1"/>
        </w:rPr>
        <w:t> </w:t>
      </w:r>
      <w:r>
        <w:rPr/>
        <w:t>spectra</w:t>
      </w:r>
      <w:r>
        <w:rPr>
          <w:spacing w:val="-1"/>
        </w:rPr>
        <w:t> </w:t>
      </w:r>
      <w:r>
        <w:rPr/>
        <w:t>of IBU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SGS,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SGS</w:t>
      </w:r>
    </w:p>
    <w:p>
      <w:pPr>
        <w:spacing w:after="0"/>
        <w:sectPr>
          <w:pgSz w:w="11910" w:h="16840"/>
          <w:pgMar w:header="0" w:footer="987" w:top="1580" w:bottom="1260" w:left="1520" w:right="160"/>
        </w:sectPr>
      </w:pPr>
    </w:p>
    <w:p>
      <w:pPr>
        <w:pStyle w:val="Heading3"/>
        <w:numPr>
          <w:ilvl w:val="2"/>
          <w:numId w:val="21"/>
        </w:numPr>
        <w:tabs>
          <w:tab w:pos="1185" w:val="left" w:leader="none"/>
          <w:tab w:pos="1186" w:val="left" w:leader="none"/>
        </w:tabs>
        <w:spacing w:line="240" w:lineRule="auto" w:before="76" w:after="0"/>
        <w:ind w:left="1185" w:right="0" w:hanging="721"/>
        <w:jc w:val="left"/>
      </w:pPr>
      <w:bookmarkStart w:name="_TOC_250028" w:id="78"/>
      <w:r>
        <w:rPr/>
        <w:t>Dynamic Vapour</w:t>
      </w:r>
      <w:r>
        <w:rPr>
          <w:spacing w:val="-2"/>
        </w:rPr>
        <w:t> </w:t>
      </w:r>
      <w:r>
        <w:rPr/>
        <w:t>Sorption</w:t>
      </w:r>
      <w:r>
        <w:rPr>
          <w:spacing w:val="-1"/>
        </w:rPr>
        <w:t> </w:t>
      </w:r>
      <w:r>
        <w:rPr/>
        <w:t>(DVS)</w:t>
      </w:r>
      <w:r>
        <w:rPr>
          <w:spacing w:val="-1"/>
        </w:rPr>
        <w:t> </w:t>
      </w:r>
      <w:bookmarkEnd w:id="78"/>
      <w:r>
        <w:rPr/>
        <w:t>analysis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5"/>
        <w:jc w:val="both"/>
      </w:pPr>
      <w:r>
        <w:rPr/>
        <w:t>The moisture sorption isotherms of CS and SGS are presented in Figure 4.18as an</w:t>
      </w:r>
      <w:r>
        <w:rPr>
          <w:spacing w:val="1"/>
        </w:rPr>
        <w:t> </w:t>
      </w:r>
      <w:r>
        <w:rPr/>
        <w:t>overlay plot. The amount of moisture adsorbed by both materials increased steadily with</w:t>
      </w:r>
      <w:r>
        <w:rPr>
          <w:spacing w:val="-57"/>
        </w:rPr>
        <w:t> </w:t>
      </w:r>
      <w:r>
        <w:rPr/>
        <w:t>increase in relative humidity.At 80 % RH, the amount of moisture adsorbed by both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did not exceed</w:t>
      </w:r>
      <w:r>
        <w:rPr>
          <w:spacing w:val="2"/>
        </w:rPr>
        <w:t> </w:t>
      </w:r>
      <w:r>
        <w:rPr/>
        <w:t>12 %.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spacing w:before="71"/>
        <w:ind w:left="877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298.192352pt;margin-top:15.888424pt;width:51.1pt;height:5.5pt;mso-position-horizontal-relative:page;mso-position-vertical-relative:paragraph;z-index:-20751872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spacing w:val="-2"/>
                      <w:w w:val="145"/>
                      <w:sz w:val="9"/>
                    </w:rPr>
                    <w:t>Sorption</w:t>
                  </w:r>
                  <w:r>
                    <w:rPr>
                      <w:rFonts w:ascii="Arial MT"/>
                      <w:spacing w:val="-4"/>
                      <w:w w:val="145"/>
                      <w:sz w:val="9"/>
                    </w:rPr>
                    <w:t> </w:t>
                  </w:r>
                  <w:r>
                    <w:rPr>
                      <w:rFonts w:ascii="Arial MT"/>
                      <w:spacing w:val="-1"/>
                      <w:w w:val="145"/>
                      <w:sz w:val="9"/>
                    </w:rPr>
                    <w:t>Isotherm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24.007942pt;margin-top:3.74153pt;width:390.35pt;height:269.95pt;mso-position-horizontal-relative:page;mso-position-vertical-relative:paragraph;z-index:15889408" coordorigin="2480,75" coordsize="7807,5399">
            <v:shape style="position:absolute;left:2596;top:118;width:7690;height:5345" type="#_x0000_t75" stroked="false">
              <v:imagedata r:id="rId180" o:title=""/>
            </v:shape>
            <v:shape style="position:absolute;left:2480;top:74;width:103;height:123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1"/>
                        <w:w w:val="133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304;top:212;width:926;height:25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color w:val="FF0000"/>
                        <w:w w:val="145"/>
                        <w:sz w:val="9"/>
                      </w:rPr>
                      <w:t>–––––––  </w:t>
                    </w:r>
                    <w:r>
                      <w:rPr>
                        <w:rFonts w:ascii="Arial MT" w:hAnsi="Arial MT"/>
                        <w:color w:val="FF0000"/>
                        <w:spacing w:val="9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 MT" w:hAnsi="Arial MT"/>
                        <w:color w:val="FF0000"/>
                        <w:w w:val="145"/>
                        <w:sz w:val="9"/>
                      </w:rPr>
                      <w:t>CS</w:t>
                    </w:r>
                  </w:p>
                  <w:p>
                    <w:pPr>
                      <w:spacing w:before="46"/>
                      <w:ind w:left="0" w:right="0" w:firstLine="0"/>
                      <w:jc w:val="lef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color w:val="0000FF"/>
                        <w:w w:val="145"/>
                        <w:sz w:val="9"/>
                      </w:rPr>
                      <w:t>–––––––  </w:t>
                    </w:r>
                    <w:r>
                      <w:rPr>
                        <w:rFonts w:ascii="Arial MT" w:hAnsi="Arial MT"/>
                        <w:color w:val="0000FF"/>
                        <w:spacing w:val="9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 MT" w:hAnsi="Arial MT"/>
                        <w:color w:val="0000FF"/>
                        <w:w w:val="145"/>
                        <w:sz w:val="9"/>
                      </w:rPr>
                      <w:t>SGS</w:t>
                    </w:r>
                  </w:p>
                </w:txbxContent>
              </v:textbox>
              <w10:wrap type="none"/>
            </v:shape>
            <v:shape style="position:absolute;left:2480;top:1394;width:103;height:123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1"/>
                        <w:w w:val="133"/>
                        <w:sz w:val="11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472;top:1681;width:123;height:11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0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6"/>
                        <w:sz w:val="10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8711;top:1974;width:123;height:22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0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6"/>
                        <w:sz w:val="10"/>
                      </w:rPr>
                      <w:t>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10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6"/>
                        <w:sz w:val="10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9472;top:1907;width:123;height:11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0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6"/>
                        <w:sz w:val="10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7950;top:2384;width:123;height:11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0"/>
                      </w:rPr>
                    </w:pPr>
                    <w:r>
                      <w:rPr>
                        <w:rFonts w:ascii="Wingdings" w:hAnsi="Wingdings"/>
                        <w:shadow/>
                        <w:color w:val="0000FF"/>
                        <w:w w:val="136"/>
                        <w:sz w:val="10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8711;top:2463;width:123;height:24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0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6"/>
                        <w:sz w:val="10"/>
                      </w:rPr>
                      <w:t>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Wingdings" w:hAnsi="Wingdings"/>
                        <w:sz w:val="10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6"/>
                        <w:sz w:val="10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2480;top:2711;width:103;height:123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1"/>
                        <w:w w:val="133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189;top:2794;width:123;height:11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0"/>
                      </w:rPr>
                    </w:pPr>
                    <w:r>
                      <w:rPr>
                        <w:rFonts w:ascii="Wingdings" w:hAnsi="Wingdings"/>
                        <w:shadow/>
                        <w:color w:val="0000FF"/>
                        <w:w w:val="136"/>
                        <w:sz w:val="10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7950;top:3013;width:123;height:11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0"/>
                      </w:rPr>
                    </w:pPr>
                    <w:r>
                      <w:rPr>
                        <w:rFonts w:ascii="Wingdings" w:hAnsi="Wingdings"/>
                        <w:shadow/>
                        <w:color w:val="0000FF"/>
                        <w:w w:val="136"/>
                        <w:sz w:val="10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6428;top:3192;width:123;height:11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0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6"/>
                        <w:sz w:val="10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7189;top:3401;width:123;height:11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0"/>
                      </w:rPr>
                    </w:pPr>
                    <w:r>
                      <w:rPr>
                        <w:rFonts w:ascii="Wingdings" w:hAnsi="Wingdings"/>
                        <w:shadow/>
                        <w:color w:val="0000FF"/>
                        <w:w w:val="136"/>
                        <w:sz w:val="10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5667;top:3570;width:123;height:11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0"/>
                      </w:rPr>
                    </w:pPr>
                    <w:r>
                      <w:rPr>
                        <w:rFonts w:ascii="Wingdings" w:hAnsi="Wingdings"/>
                        <w:shadow/>
                        <w:color w:val="0000FF"/>
                        <w:w w:val="136"/>
                        <w:sz w:val="10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6428;top:3735;width:123;height:11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0"/>
                      </w:rPr>
                    </w:pPr>
                    <w:r>
                      <w:rPr>
                        <w:rFonts w:ascii="Wingdings" w:hAnsi="Wingdings"/>
                        <w:shadow/>
                        <w:color w:val="0000FF"/>
                        <w:w w:val="136"/>
                        <w:sz w:val="10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2480;top:4030;width:102;height:123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3"/>
                        <w:sz w:val="11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906;top:3961;width:123;height:11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0"/>
                      </w:rPr>
                    </w:pPr>
                    <w:r>
                      <w:rPr>
                        <w:rFonts w:ascii="Wingdings" w:hAnsi="Wingdings"/>
                        <w:shadow/>
                        <w:color w:val="0000FF"/>
                        <w:w w:val="136"/>
                        <w:sz w:val="10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5667;top:4056;width:123;height:11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0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6"/>
                        <w:sz w:val="10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5667;top:4079;width:123;height:11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0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6"/>
                        <w:sz w:val="10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4142;top:4406;width:123;height:11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0"/>
                      </w:rPr>
                    </w:pPr>
                    <w:r>
                      <w:rPr>
                        <w:rFonts w:ascii="Wingdings" w:hAnsi="Wingdings"/>
                        <w:shadow/>
                        <w:color w:val="0000FF"/>
                        <w:w w:val="136"/>
                        <w:sz w:val="10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4906;top:4390;width:123;height:11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0"/>
                      </w:rPr>
                    </w:pPr>
                    <w:r>
                      <w:rPr>
                        <w:rFonts w:ascii="Wingdings" w:hAnsi="Wingdings"/>
                        <w:shadow/>
                        <w:color w:val="0000FF"/>
                        <w:w w:val="136"/>
                        <w:sz w:val="10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4142;top:4769;width:123;height:11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0"/>
                      </w:rPr>
                    </w:pPr>
                    <w:r>
                      <w:rPr>
                        <w:rFonts w:ascii="Wingdings" w:hAnsi="Wingdings"/>
                        <w:shadow/>
                        <w:color w:val="0000FF"/>
                        <w:w w:val="136"/>
                        <w:sz w:val="10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3381;top:4941;width:123;height:35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0"/>
                      </w:rPr>
                    </w:pPr>
                    <w:r>
                      <w:rPr>
                        <w:rFonts w:ascii="Wingdings" w:hAnsi="Wingdings"/>
                        <w:shadow/>
                        <w:color w:val="0000FF"/>
                        <w:w w:val="136"/>
                        <w:sz w:val="10"/>
                      </w:rPr>
                      <w:t></w:t>
                    </w:r>
                  </w:p>
                  <w:p>
                    <w:pPr>
                      <w:spacing w:line="240" w:lineRule="auto" w:before="1"/>
                      <w:rPr>
                        <w:rFonts w:ascii="Wingdings" w:hAnsi="Wingdings"/>
                        <w:sz w:val="1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0"/>
                      </w:rPr>
                    </w:pPr>
                    <w:r>
                      <w:rPr>
                        <w:rFonts w:ascii="Wingdings" w:hAnsi="Wingdings"/>
                        <w:shadow/>
                        <w:color w:val="0000FF"/>
                        <w:w w:val="136"/>
                        <w:sz w:val="10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2480;top:5344;width:263;height:12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0"/>
                      </w:rPr>
                    </w:pPr>
                    <w:r>
                      <w:rPr>
                        <w:rFonts w:ascii="Arial MT" w:hAnsi="Arial MT"/>
                        <w:w w:val="135"/>
                        <w:sz w:val="11"/>
                      </w:rPr>
                      <w:t>0</w:t>
                    </w:r>
                    <w:r>
                      <w:rPr>
                        <w:rFonts w:ascii="Arial MT" w:hAnsi="Arial MT"/>
                        <w:spacing w:val="17"/>
                        <w:w w:val="135"/>
                        <w:sz w:val="11"/>
                      </w:rPr>
                      <w:t> </w:t>
                    </w:r>
                    <w:r>
                      <w:rPr>
                        <w:rFonts w:ascii="Wingdings" w:hAnsi="Wingdings"/>
                        <w:color w:val="FF0000"/>
                        <w:w w:val="135"/>
                        <w:position w:val="1"/>
                        <w:sz w:val="10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5884;top:228;width:1182;height:255" type="#_x0000_t202" filled="false" stroked="true" strokeweight=".366746pt" strokecolor="#000000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7"/>
                      </w:rPr>
                    </w:pPr>
                  </w:p>
                  <w:p>
                    <w:pPr>
                      <w:spacing w:before="0"/>
                      <w:ind w:left="75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pacing w:val="-1"/>
                        <w:w w:val="145"/>
                        <w:sz w:val="9"/>
                      </w:rPr>
                      <w:t>Sorption</w:t>
                    </w:r>
                    <w:r>
                      <w:rPr>
                        <w:rFonts w:ascii="Arial MT"/>
                        <w:spacing w:val="-6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45"/>
                        <w:sz w:val="9"/>
                      </w:rPr>
                      <w:t>Isotherm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 MT"/>
          <w:spacing w:val="1"/>
          <w:w w:val="133"/>
          <w:sz w:val="11"/>
        </w:rPr>
        <w:t>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8"/>
        <w:rPr>
          <w:rFonts w:ascii="Arial MT"/>
          <w:sz w:val="11"/>
        </w:rPr>
      </w:pPr>
    </w:p>
    <w:p>
      <w:pPr>
        <w:spacing w:before="0"/>
        <w:ind w:left="877" w:right="0" w:firstLine="0"/>
        <w:jc w:val="left"/>
        <w:rPr>
          <w:rFonts w:ascii="Arial MT"/>
          <w:sz w:val="11"/>
        </w:rPr>
      </w:pPr>
      <w:r>
        <w:rPr>
          <w:rFonts w:ascii="Arial MT"/>
          <w:spacing w:val="1"/>
          <w:w w:val="133"/>
          <w:sz w:val="11"/>
        </w:rPr>
        <w:t>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6"/>
        <w:rPr>
          <w:rFonts w:ascii="Arial MT"/>
          <w:sz w:val="11"/>
        </w:rPr>
      </w:pPr>
    </w:p>
    <w:p>
      <w:pPr>
        <w:spacing w:before="0"/>
        <w:ind w:left="877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101.185921pt;margin-top:-16.843023pt;width:11.3pt;height:58pt;mso-position-horizontal-relative:page;mso-position-vertical-relative:paragraph;z-index:15889920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w w:val="75"/>
                      <w:sz w:val="16"/>
                    </w:rPr>
                    <w:t>Weight</w:t>
                  </w:r>
                  <w:r>
                    <w:rPr>
                      <w:rFonts w:ascii="Arial MT"/>
                      <w:spacing w:val="24"/>
                      <w:w w:val="75"/>
                      <w:sz w:val="16"/>
                    </w:rPr>
                    <w:t> </w:t>
                  </w:r>
                  <w:r>
                    <w:rPr>
                      <w:rFonts w:ascii="Arial MT"/>
                      <w:w w:val="75"/>
                      <w:sz w:val="16"/>
                    </w:rPr>
                    <w:t>Change</w:t>
                  </w:r>
                  <w:r>
                    <w:rPr>
                      <w:rFonts w:ascii="Arial MT"/>
                      <w:spacing w:val="26"/>
                      <w:w w:val="75"/>
                      <w:sz w:val="16"/>
                    </w:rPr>
                    <w:t> </w:t>
                  </w:r>
                  <w:r>
                    <w:rPr>
                      <w:rFonts w:ascii="Arial MT"/>
                      <w:w w:val="75"/>
                      <w:sz w:val="16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pacing w:val="1"/>
          <w:w w:val="133"/>
          <w:sz w:val="11"/>
        </w:rPr>
        <w:t>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2"/>
        </w:rPr>
      </w:pPr>
    </w:p>
    <w:p>
      <w:pPr>
        <w:tabs>
          <w:tab w:pos="2593" w:val="left" w:leader="none"/>
          <w:tab w:pos="4115" w:val="left" w:leader="none"/>
          <w:tab w:pos="5637" w:val="left" w:leader="none"/>
          <w:tab w:pos="7159" w:val="left" w:leader="none"/>
          <w:tab w:pos="8640" w:val="left" w:leader="none"/>
        </w:tabs>
        <w:spacing w:before="96"/>
        <w:ind w:left="1109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0</w:t>
        <w:tab/>
        <w:t>20</w:t>
        <w:tab/>
        <w:t>40</w:t>
        <w:tab/>
        <w:t>60</w:t>
        <w:tab/>
        <w:t>80</w:t>
        <w:tab/>
        <w:t>100</w:t>
      </w:r>
    </w:p>
    <w:p>
      <w:pPr>
        <w:spacing w:after="0"/>
        <w:jc w:val="left"/>
        <w:rPr>
          <w:rFonts w:ascii="Arial MT"/>
          <w:sz w:val="11"/>
        </w:rPr>
        <w:sectPr>
          <w:pgSz w:w="11910" w:h="16840"/>
          <w:pgMar w:header="0" w:footer="987" w:top="1380" w:bottom="1260" w:left="1520" w:right="160"/>
        </w:sectPr>
      </w:pPr>
    </w:p>
    <w:p>
      <w:pPr>
        <w:spacing w:before="125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spacing w:val="-2"/>
          <w:w w:val="140"/>
          <w:sz w:val="12"/>
        </w:rPr>
        <w:t>Relative</w:t>
      </w:r>
      <w:r>
        <w:rPr>
          <w:rFonts w:ascii="Arial MT"/>
          <w:spacing w:val="-6"/>
          <w:w w:val="140"/>
          <w:sz w:val="12"/>
        </w:rPr>
        <w:t> </w:t>
      </w:r>
      <w:r>
        <w:rPr>
          <w:rFonts w:ascii="Arial MT"/>
          <w:spacing w:val="-1"/>
          <w:w w:val="140"/>
          <w:sz w:val="12"/>
        </w:rPr>
        <w:t>Humidity</w:t>
      </w:r>
      <w:r>
        <w:rPr>
          <w:rFonts w:ascii="Arial MT"/>
          <w:spacing w:val="-10"/>
          <w:w w:val="140"/>
          <w:sz w:val="12"/>
        </w:rPr>
        <w:t> </w:t>
      </w:r>
      <w:r>
        <w:rPr>
          <w:rFonts w:ascii="Arial MT"/>
          <w:spacing w:val="-1"/>
          <w:w w:val="140"/>
          <w:sz w:val="12"/>
        </w:rPr>
        <w:t>(%)</w:t>
      </w:r>
    </w:p>
    <w:p>
      <w:pPr>
        <w:pStyle w:val="BodyText"/>
        <w:spacing w:before="5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before="0"/>
        <w:ind w:left="2090" w:right="0" w:firstLine="0"/>
        <w:jc w:val="left"/>
        <w:rPr>
          <w:rFonts w:ascii="Arial MT"/>
          <w:sz w:val="9"/>
        </w:rPr>
      </w:pPr>
      <w:r>
        <w:rPr>
          <w:rFonts w:ascii="Arial MT"/>
          <w:w w:val="135"/>
          <w:sz w:val="9"/>
        </w:rPr>
        <w:t>Universal</w:t>
      </w:r>
      <w:r>
        <w:rPr>
          <w:rFonts w:ascii="Arial MT"/>
          <w:spacing w:val="-3"/>
          <w:w w:val="135"/>
          <w:sz w:val="9"/>
        </w:rPr>
        <w:t> </w:t>
      </w:r>
      <w:r>
        <w:rPr>
          <w:rFonts w:ascii="Arial MT"/>
          <w:w w:val="135"/>
          <w:sz w:val="9"/>
        </w:rPr>
        <w:t>V4.5A</w:t>
      </w:r>
      <w:r>
        <w:rPr>
          <w:rFonts w:ascii="Arial MT"/>
          <w:spacing w:val="-6"/>
          <w:w w:val="135"/>
          <w:sz w:val="9"/>
        </w:rPr>
        <w:t> </w:t>
      </w:r>
      <w:r>
        <w:rPr>
          <w:rFonts w:ascii="Arial MT"/>
          <w:w w:val="135"/>
          <w:sz w:val="9"/>
        </w:rPr>
        <w:t>TA</w:t>
      </w:r>
      <w:r>
        <w:rPr>
          <w:rFonts w:ascii="Arial MT"/>
          <w:spacing w:val="-5"/>
          <w:w w:val="135"/>
          <w:sz w:val="9"/>
        </w:rPr>
        <w:t> </w:t>
      </w:r>
      <w:r>
        <w:rPr>
          <w:rFonts w:ascii="Arial MT"/>
          <w:w w:val="135"/>
          <w:sz w:val="9"/>
        </w:rPr>
        <w:t>Instruments</w:t>
      </w:r>
    </w:p>
    <w:p>
      <w:pPr>
        <w:spacing w:after="0"/>
        <w:jc w:val="left"/>
        <w:rPr>
          <w:rFonts w:ascii="Arial MT"/>
          <w:sz w:val="9"/>
        </w:rPr>
        <w:sectPr>
          <w:type w:val="continuous"/>
          <w:pgSz w:w="11910" w:h="16840"/>
          <w:pgMar w:top="1320" w:bottom="1260" w:left="1520" w:right="160"/>
          <w:cols w:num="2" w:equalWidth="0">
            <w:col w:w="5750" w:space="40"/>
            <w:col w:w="444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1"/>
        </w:rPr>
      </w:pPr>
    </w:p>
    <w:p>
      <w:pPr>
        <w:pStyle w:val="Heading3"/>
        <w:spacing w:before="90"/>
        <w:ind w:left="465" w:right="1254"/>
      </w:pPr>
      <w:r>
        <w:rPr/>
        <w:t>Figure</w:t>
      </w:r>
      <w:r>
        <w:rPr>
          <w:spacing w:val="34"/>
        </w:rPr>
        <w:t> </w:t>
      </w:r>
      <w:r>
        <w:rPr/>
        <w:t>4.18:Moisture</w:t>
      </w:r>
      <w:r>
        <w:rPr>
          <w:spacing w:val="33"/>
        </w:rPr>
        <w:t> </w:t>
      </w:r>
      <w:r>
        <w:rPr/>
        <w:t>sorption/desorption</w:t>
      </w:r>
      <w:r>
        <w:rPr>
          <w:spacing w:val="36"/>
        </w:rPr>
        <w:t> </w:t>
      </w:r>
      <w:r>
        <w:rPr/>
        <w:t>isotherms</w:t>
      </w:r>
      <w:r>
        <w:rPr>
          <w:spacing w:val="34"/>
        </w:rPr>
        <w:t> </w:t>
      </w:r>
      <w:r>
        <w:rPr/>
        <w:t>of</w:t>
      </w:r>
      <w:r>
        <w:rPr>
          <w:spacing w:val="36"/>
        </w:rPr>
        <w:t> </w:t>
      </w:r>
      <w:r>
        <w:rPr/>
        <w:t>CS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SGS</w:t>
      </w:r>
      <w:r>
        <w:rPr>
          <w:spacing w:val="35"/>
        </w:rPr>
        <w:t> </w:t>
      </w:r>
      <w:r>
        <w:rPr/>
        <w:t>showing</w:t>
      </w:r>
      <w:r>
        <w:rPr>
          <w:spacing w:val="34"/>
        </w:rPr>
        <w:t> </w:t>
      </w:r>
      <w:r>
        <w:rPr/>
        <w:t>the</w:t>
      </w:r>
      <w:r>
        <w:rPr>
          <w:spacing w:val="-57"/>
        </w:rPr>
        <w:t> </w:t>
      </w:r>
      <w:r>
        <w:rPr/>
        <w:t>relationship between the</w:t>
      </w:r>
      <w:r>
        <w:rPr>
          <w:spacing w:val="-2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humidity</w:t>
      </w:r>
      <w:r>
        <w:rPr>
          <w:spacing w:val="-1"/>
        </w:rPr>
        <w:t> </w:t>
      </w:r>
      <w:r>
        <w:rPr/>
        <w:t>(%</w:t>
      </w:r>
      <w:r>
        <w:rPr>
          <w:spacing w:val="2"/>
        </w:rPr>
        <w:t> </w:t>
      </w:r>
      <w:r>
        <w:rPr/>
        <w:t>RH)</w:t>
      </w:r>
      <w:r>
        <w:rPr>
          <w:spacing w:val="-2"/>
        </w:rPr>
        <w:t> </w:t>
      </w:r>
      <w:r>
        <w:rPr/>
        <w:t>and weight</w:t>
      </w:r>
      <w:r>
        <w:rPr>
          <w:spacing w:val="-1"/>
        </w:rPr>
        <w:t> </w:t>
      </w:r>
      <w:r>
        <w:rPr/>
        <w:t>change</w:t>
      </w:r>
      <w:r>
        <w:rPr>
          <w:spacing w:val="-4"/>
        </w:rPr>
        <w:t> </w:t>
      </w:r>
      <w:r>
        <w:rPr/>
        <w:t>(%)</w:t>
      </w:r>
    </w:p>
    <w:p>
      <w:pPr>
        <w:spacing w:after="0"/>
        <w:sectPr>
          <w:type w:val="continuous"/>
          <w:pgSz w:w="11910" w:h="16840"/>
          <w:pgMar w:top="1320" w:bottom="1260" w:left="1520" w:right="160"/>
        </w:sectPr>
      </w:pPr>
    </w:p>
    <w:p>
      <w:pPr>
        <w:pStyle w:val="BodyText"/>
        <w:spacing w:line="480" w:lineRule="auto" w:before="72"/>
        <w:ind w:left="465" w:right="1251"/>
        <w:jc w:val="both"/>
      </w:pPr>
      <w:r>
        <w:rPr/>
        <w:t>The overlay plot displayed in Figure 4.19 compares the moisture sorption profiles of</w:t>
      </w:r>
      <w:r>
        <w:rPr>
          <w:spacing w:val="1"/>
        </w:rPr>
        <w:t> </w:t>
      </w:r>
      <w:r>
        <w:rPr/>
        <w:t>SGS,</w:t>
      </w:r>
      <w:r>
        <w:rPr>
          <w:spacing w:val="1"/>
        </w:rPr>
        <w:t> </w:t>
      </w:r>
      <w:r>
        <w:rPr/>
        <w:t>PSV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adsorbed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increasing</w:t>
      </w:r>
      <w:r>
        <w:rPr>
          <w:spacing w:val="60"/>
        </w:rPr>
        <w:t> </w:t>
      </w:r>
      <w:r>
        <w:rPr/>
        <w:t>relative</w:t>
      </w:r>
      <w:r>
        <w:rPr>
          <w:spacing w:val="1"/>
        </w:rPr>
        <w:t> </w:t>
      </w:r>
      <w:r>
        <w:rPr/>
        <w:t>humidity was ranked in the following order: SGS &gt; PSV &gt; SLC. The maximum amount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adsorbed by</w:t>
      </w:r>
      <w:r>
        <w:rPr>
          <w:spacing w:val="-3"/>
        </w:rPr>
        <w:t> </w:t>
      </w:r>
      <w:r>
        <w:rPr/>
        <w:t>SGS at 80 %</w:t>
      </w:r>
      <w:r>
        <w:rPr>
          <w:spacing w:val="-1"/>
        </w:rPr>
        <w:t> </w:t>
      </w:r>
      <w:r>
        <w:rPr/>
        <w:t>RH did not</w:t>
      </w:r>
      <w:r>
        <w:rPr>
          <w:spacing w:val="-2"/>
        </w:rPr>
        <w:t> </w:t>
      </w:r>
      <w:r>
        <w:rPr/>
        <w:t>exceed 12 %.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spacing w:before="75"/>
        <w:ind w:left="1057" w:right="0" w:firstLine="0"/>
        <w:jc w:val="left"/>
        <w:rPr>
          <w:rFonts w:ascii="Arial MT"/>
          <w:sz w:val="9"/>
        </w:rPr>
      </w:pPr>
      <w:r>
        <w:rPr/>
        <w:pict>
          <v:shape style="position:absolute;margin-left:302.415253pt;margin-top:15.271324pt;width:45.2pt;height:4.650pt;mso-position-horizontal-relative:page;mso-position-vertical-relative:paragraph;z-index:-2075033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w w:val="140"/>
                      <w:sz w:val="8"/>
                    </w:rPr>
                    <w:t>Sorption</w:t>
                  </w:r>
                  <w:r>
                    <w:rPr>
                      <w:rFonts w:ascii="Arial MT"/>
                      <w:spacing w:val="1"/>
                      <w:w w:val="140"/>
                      <w:sz w:val="8"/>
                    </w:rPr>
                    <w:t> </w:t>
                  </w:r>
                  <w:r>
                    <w:rPr>
                      <w:rFonts w:ascii="Arial MT"/>
                      <w:w w:val="140"/>
                      <w:sz w:val="8"/>
                    </w:rPr>
                    <w:t>Isotherm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415253pt;margin-top:15.271324pt;width:45.2pt;height:4.650pt;mso-position-horizontal-relative:page;mso-position-vertical-relative:paragraph;z-index:-2074982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w w:val="140"/>
                      <w:sz w:val="8"/>
                    </w:rPr>
                    <w:t>Sorption</w:t>
                  </w:r>
                  <w:r>
                    <w:rPr>
                      <w:rFonts w:ascii="Arial MT"/>
                      <w:spacing w:val="1"/>
                      <w:w w:val="140"/>
                      <w:sz w:val="8"/>
                    </w:rPr>
                    <w:t> </w:t>
                  </w:r>
                  <w:r>
                    <w:rPr>
                      <w:rFonts w:ascii="Arial MT"/>
                      <w:w w:val="140"/>
                      <w:sz w:val="8"/>
                    </w:rPr>
                    <w:t>Isotherm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37.507294pt;margin-top:4.904239pt;width:372.3pt;height:258.55pt;mso-position-horizontal-relative:page;mso-position-vertical-relative:paragraph;z-index:15891456" coordorigin="2750,98" coordsize="7446,5171">
            <v:shape style="position:absolute;left:2750;top:98;width:7446;height:5171" type="#_x0000_t75" stroked="false">
              <v:imagedata r:id="rId181" o:title=""/>
            </v:shape>
            <v:shape style="position:absolute;left:7685;top:243;width:808;height:38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 w:hAnsi="Arial MT"/>
                        <w:sz w:val="8"/>
                      </w:rPr>
                    </w:pPr>
                    <w:r>
                      <w:rPr>
                        <w:rFonts w:ascii="Arial MT" w:hAnsi="Arial MT"/>
                        <w:color w:val="FF0000"/>
                        <w:w w:val="135"/>
                        <w:sz w:val="8"/>
                      </w:rPr>
                      <w:t>–––––––   </w:t>
                    </w:r>
                    <w:r>
                      <w:rPr>
                        <w:rFonts w:ascii="Arial MT" w:hAnsi="Arial MT"/>
                        <w:color w:val="FF0000"/>
                        <w:spacing w:val="6"/>
                        <w:w w:val="135"/>
                        <w:sz w:val="8"/>
                      </w:rPr>
                      <w:t> </w:t>
                    </w:r>
                    <w:r>
                      <w:rPr>
                        <w:rFonts w:ascii="Arial MT" w:hAnsi="Arial MT"/>
                        <w:color w:val="FF0000"/>
                        <w:w w:val="140"/>
                        <w:sz w:val="8"/>
                      </w:rPr>
                      <w:t>SGS</w:t>
                    </w:r>
                  </w:p>
                  <w:p>
                    <w:pPr>
                      <w:spacing w:before="55"/>
                      <w:ind w:left="0" w:right="0" w:firstLine="0"/>
                      <w:jc w:val="left"/>
                      <w:rPr>
                        <w:rFonts w:ascii="Arial MT" w:hAnsi="Arial MT"/>
                        <w:sz w:val="8"/>
                      </w:rPr>
                    </w:pPr>
                    <w:r>
                      <w:rPr>
                        <w:rFonts w:ascii="Arial MT" w:hAnsi="Arial MT"/>
                        <w:color w:val="0000FF"/>
                        <w:w w:val="135"/>
                        <w:sz w:val="8"/>
                      </w:rPr>
                      <w:t>–––––––   </w:t>
                    </w:r>
                    <w:r>
                      <w:rPr>
                        <w:rFonts w:ascii="Arial MT" w:hAnsi="Arial MT"/>
                        <w:color w:val="0000FF"/>
                        <w:spacing w:val="6"/>
                        <w:w w:val="135"/>
                        <w:sz w:val="8"/>
                      </w:rPr>
                      <w:t> </w:t>
                    </w:r>
                    <w:r>
                      <w:rPr>
                        <w:rFonts w:ascii="Arial MT" w:hAnsi="Arial MT"/>
                        <w:color w:val="0000FF"/>
                        <w:w w:val="140"/>
                        <w:sz w:val="8"/>
                      </w:rPr>
                      <w:t>PSV</w:t>
                    </w:r>
                  </w:p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 MT" w:hAnsi="Arial MT"/>
                        <w:sz w:val="8"/>
                      </w:rPr>
                    </w:pPr>
                    <w:r>
                      <w:rPr>
                        <w:rFonts w:ascii="Arial MT" w:hAnsi="Arial MT"/>
                        <w:color w:val="008000"/>
                        <w:w w:val="135"/>
                        <w:sz w:val="8"/>
                      </w:rPr>
                      <w:t>–––––––   </w:t>
                    </w:r>
                    <w:r>
                      <w:rPr>
                        <w:rFonts w:ascii="Arial MT" w:hAnsi="Arial MT"/>
                        <w:color w:val="008000"/>
                        <w:spacing w:val="6"/>
                        <w:w w:val="135"/>
                        <w:sz w:val="8"/>
                      </w:rPr>
                      <w:t> </w:t>
                    </w:r>
                    <w:r>
                      <w:rPr>
                        <w:rFonts w:ascii="Arial MT" w:hAnsi="Arial MT"/>
                        <w:color w:val="008000"/>
                        <w:w w:val="140"/>
                        <w:sz w:val="8"/>
                      </w:rPr>
                      <w:t>SLC</w:t>
                    </w:r>
                  </w:p>
                </w:txbxContent>
              </v:textbox>
              <w10:wrap type="none"/>
            </v:shape>
            <v:shape style="position:absolute;left:9395;top:420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8669;top:789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7931;top:1317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8669;top:1416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9395;top:1710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7192;top:1845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7931;top:2128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8669;top:2116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6466;top:2362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7192;top:2632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7931;top:2595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8669;top:2571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5728;top:2841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6466;top:3062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7192;top:3025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7931;top:3111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4990;top:3345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5728;top:3468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6466;top:3406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7192;top:3542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5728;top:3726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6466;top:3812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4251;top:3923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4990;top:3898;width:112;height:39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6"/>
                        <w:sz w:val="9"/>
                      </w:rPr>
                      <w:t>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6"/>
                        <w:sz w:val="9"/>
                      </w:rPr>
                      <w:t></w:t>
                    </w:r>
                  </w:p>
                  <w:p>
                    <w:pPr>
                      <w:spacing w:before="73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5728;top:3984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9395;top:4131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8000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4251;top:4341;width:112;height:2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shadow/>
                        <w:color w:val="0000FF"/>
                        <w:w w:val="136"/>
                        <w:sz w:val="9"/>
                      </w:rPr>
                      <w:t>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7623;top:4328;width:1158;height:103" type="#_x0000_t202" filled="false" stroked="false">
              <v:textbox inset="0,0,0,0">
                <w:txbxContent>
                  <w:p>
                    <w:pPr>
                      <w:tabs>
                        <w:tab w:pos="307" w:val="left" w:leader="none"/>
                        <w:tab w:pos="566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color w:val="008000"/>
                        <w:w w:val="136"/>
                        <w:sz w:val="9"/>
                        <w:u w:val="single" w:color="008000"/>
                      </w:rPr>
                      <w:t> </w:t>
                    </w:r>
                    <w:r>
                      <w:rPr>
                        <w:color w:val="008000"/>
                        <w:sz w:val="9"/>
                        <w:u w:val="single" w:color="008000"/>
                      </w:rPr>
                      <w:tab/>
                    </w:r>
                    <w:r>
                      <w:rPr>
                        <w:color w:val="008000"/>
                        <w:w w:val="136"/>
                        <w:sz w:val="9"/>
                        <w:u w:val="single" w:color="008000"/>
                      </w:rPr>
                      <w:t> </w:t>
                    </w:r>
                    <w:r>
                      <w:rPr>
                        <w:color w:val="008000"/>
                        <w:sz w:val="9"/>
                        <w:u w:val="single" w:color="008000"/>
                      </w:rPr>
                      <w:tab/>
                    </w:r>
                    <w:r>
                      <w:rPr>
                        <w:color w:val="008000"/>
                        <w:w w:val="136"/>
                        <w:sz w:val="9"/>
                        <w:u w:val="single" w:color="008000"/>
                      </w:rPr>
                      <w:t> </w:t>
                    </w:r>
                    <w:r>
                      <w:rPr>
                        <w:color w:val="008000"/>
                        <w:sz w:val="9"/>
                        <w:u w:val="single" w:color="008000"/>
                      </w:rPr>
                      <w:t>      </w:t>
                    </w:r>
                    <w:r>
                      <w:rPr>
                        <w:color w:val="008000"/>
                        <w:spacing w:val="-2"/>
                        <w:sz w:val="9"/>
                        <w:u w:val="single" w:color="008000"/>
                      </w:rPr>
                      <w:t> </w:t>
                    </w:r>
                    <w:r>
                      <w:rPr>
                        <w:color w:val="008000"/>
                        <w:w w:val="136"/>
                        <w:sz w:val="9"/>
                        <w:u w:val="single" w:color="008000"/>
                      </w:rPr>
                      <w:t> </w:t>
                    </w:r>
                    <w:r>
                      <w:rPr>
                        <w:color w:val="008000"/>
                        <w:sz w:val="9"/>
                        <w:u w:val="single" w:color="008000"/>
                      </w:rPr>
                      <w:t>      </w:t>
                    </w:r>
                    <w:r>
                      <w:rPr>
                        <w:color w:val="008000"/>
                        <w:spacing w:val="10"/>
                        <w:sz w:val="9"/>
                        <w:u w:val="single" w:color="008000"/>
                      </w:rPr>
                      <w:t> </w:t>
                    </w:r>
                    <w:r>
                      <w:rPr>
                        <w:color w:val="008000"/>
                        <w:w w:val="136"/>
                        <w:sz w:val="9"/>
                        <w:u w:val="single" w:color="008000"/>
                      </w:rPr>
                      <w:t> </w:t>
                    </w:r>
                    <w:r>
                      <w:rPr>
                        <w:color w:val="008000"/>
                        <w:sz w:val="9"/>
                        <w:u w:val="single" w:color="008000"/>
                      </w:rPr>
                      <w:t>   </w:t>
                    </w:r>
                    <w:r>
                      <w:rPr>
                        <w:rFonts w:ascii="Wingdings" w:hAnsi="Wingdings"/>
                        <w:color w:val="008000"/>
                        <w:w w:val="135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7303;top:4439;width:1118;height:103" type="#_x0000_t202" filled="false" stroked="false">
              <v:textbox inset="0,0,0,0">
                <w:txbxContent>
                  <w:p>
                    <w:pPr>
                      <w:tabs>
                        <w:tab w:pos="334" w:val="left" w:leader="none"/>
                        <w:tab w:pos="627" w:val="left" w:leader="none"/>
                        <w:tab w:pos="959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08000"/>
                        <w:w w:val="136"/>
                        <w:sz w:val="9"/>
                        <w:u w:val="single" w:color="008000"/>
                      </w:rPr>
                      <w:t> </w:t>
                    </w:r>
                    <w:r>
                      <w:rPr>
                        <w:color w:val="008000"/>
                        <w:sz w:val="9"/>
                        <w:u w:val="single" w:color="008000"/>
                      </w:rPr>
                      <w:tab/>
                    </w:r>
                    <w:r>
                      <w:rPr>
                        <w:color w:val="008000"/>
                        <w:sz w:val="9"/>
                      </w:rPr>
                      <w:tab/>
                    </w:r>
                    <w:r>
                      <w:rPr>
                        <w:rFonts w:ascii="Wingdings" w:hAnsi="Wingdings"/>
                        <w:color w:val="008000"/>
                        <w:w w:val="135"/>
                        <w:sz w:val="9"/>
                      </w:rPr>
                      <w:t></w:t>
                    </w:r>
                    <w:r>
                      <w:rPr>
                        <w:color w:val="008000"/>
                        <w:sz w:val="9"/>
                      </w:rPr>
                      <w:tab/>
                    </w:r>
                    <w:r>
                      <w:rPr>
                        <w:color w:val="008000"/>
                        <w:w w:val="136"/>
                        <w:sz w:val="9"/>
                        <w:u w:val="single" w:color="008000"/>
                      </w:rPr>
                      <w:t> </w:t>
                    </w:r>
                    <w:r>
                      <w:rPr>
                        <w:color w:val="008000"/>
                        <w:spacing w:val="-7"/>
                        <w:sz w:val="9"/>
                        <w:u w:val="single" w:color="00800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669;top:4414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8000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7192;top:4525;width:539;height:103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2"/>
                      </w:numPr>
                      <w:tabs>
                        <w:tab w:pos="173" w:val="left" w:leader="none"/>
                        <w:tab w:pos="518" w:val="left" w:leader="none"/>
                      </w:tabs>
                      <w:spacing w:before="2"/>
                      <w:ind w:left="172" w:right="0" w:hanging="173"/>
                      <w:jc w:val="left"/>
                      <w:rPr>
                        <w:sz w:val="9"/>
                      </w:rPr>
                    </w:pPr>
                    <w:r>
                      <w:rPr>
                        <w:color w:val="008000"/>
                        <w:w w:val="136"/>
                        <w:sz w:val="9"/>
                        <w:u w:val="thick" w:color="008000"/>
                      </w:rPr>
                      <w:t> </w:t>
                    </w:r>
                    <w:r>
                      <w:rPr>
                        <w:color w:val="008000"/>
                        <w:sz w:val="9"/>
                        <w:u w:val="thick" w:color="00800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3525;top:4611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7931;top:4562;width:217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rFonts w:ascii="Wingdings" w:hAnsi="Wingdings"/>
                        <w:strike/>
                        <w:color w:val="008000"/>
                        <w:w w:val="135"/>
                        <w:sz w:val="9"/>
                      </w:rPr>
                      <w:t></w:t>
                    </w:r>
                    <w:r>
                      <w:rPr>
                        <w:strike/>
                        <w:color w:val="008000"/>
                        <w:spacing w:val="-8"/>
                        <w:sz w:val="9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525;top:4684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3525;top:4746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00FF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4263;top:4747;width:404;height:102" type="#_x0000_t202" filled="false" stroked="false">
              <v:textbox inset="0,0,0,0">
                <w:txbxContent>
                  <w:p>
                    <w:pPr>
                      <w:tabs>
                        <w:tab w:pos="383" w:val="left" w:leader="none"/>
                      </w:tabs>
                      <w:spacing w:line="102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000FF"/>
                        <w:w w:val="136"/>
                        <w:sz w:val="9"/>
                        <w:u w:val="single" w:color="008000"/>
                      </w:rPr>
                      <w:t> </w:t>
                    </w:r>
                    <w:r>
                      <w:rPr>
                        <w:color w:val="0000FF"/>
                        <w:sz w:val="9"/>
                        <w:u w:val="single" w:color="00800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4817;top:4660;width:2488;height:177" type="#_x0000_t202" filled="false" stroked="false">
              <v:textbox inset="0,0,0,0">
                <w:txbxContent>
                  <w:p>
                    <w:pPr>
                      <w:tabs>
                        <w:tab w:pos="283" w:val="left" w:leader="none"/>
                        <w:tab w:pos="910" w:val="left" w:leader="none"/>
                        <w:tab w:pos="1600" w:val="left" w:leader="none"/>
                        <w:tab w:pos="2055" w:val="left" w:leader="none"/>
                        <w:tab w:pos="2375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color w:val="008000"/>
                        <w:w w:val="136"/>
                        <w:sz w:val="9"/>
                        <w:u w:val="single" w:color="008000"/>
                      </w:rPr>
                      <w:t> </w:t>
                    </w:r>
                    <w:r>
                      <w:rPr>
                        <w:color w:val="008000"/>
                        <w:sz w:val="9"/>
                        <w:u w:val="single" w:color="008000"/>
                      </w:rPr>
                      <w:tab/>
                    </w:r>
                    <w:r>
                      <w:rPr>
                        <w:color w:val="008000"/>
                        <w:w w:val="136"/>
                        <w:sz w:val="9"/>
                        <w:u w:val="single" w:color="008000"/>
                      </w:rPr>
                      <w:t> </w:t>
                    </w:r>
                    <w:r>
                      <w:rPr>
                        <w:color w:val="008000"/>
                        <w:sz w:val="9"/>
                        <w:u w:val="single" w:color="008000"/>
                      </w:rPr>
                      <w:t>        </w:t>
                    </w:r>
                    <w:r>
                      <w:rPr>
                        <w:color w:val="008000"/>
                        <w:spacing w:val="-11"/>
                        <w:sz w:val="9"/>
                        <w:u w:val="single" w:color="008000"/>
                      </w:rPr>
                      <w:t> </w:t>
                    </w:r>
                    <w:r>
                      <w:rPr>
                        <w:color w:val="008000"/>
                        <w:sz w:val="9"/>
                      </w:rPr>
                      <w:t>   </w:t>
                    </w:r>
                    <w:r>
                      <w:rPr>
                        <w:color w:val="008000"/>
                        <w:spacing w:val="-6"/>
                        <w:sz w:val="9"/>
                      </w:rPr>
                      <w:t> </w:t>
                    </w:r>
                    <w:r>
                      <w:rPr>
                        <w:color w:val="008000"/>
                        <w:w w:val="136"/>
                        <w:sz w:val="9"/>
                        <w:u w:val="single" w:color="008000"/>
                      </w:rPr>
                      <w:t> </w:t>
                    </w:r>
                    <w:r>
                      <w:rPr>
                        <w:color w:val="008000"/>
                        <w:sz w:val="9"/>
                        <w:u w:val="single" w:color="008000"/>
                      </w:rPr>
                      <w:tab/>
                    </w:r>
                    <w:r>
                      <w:rPr>
                        <w:rFonts w:ascii="Wingdings" w:hAnsi="Wingdings"/>
                        <w:color w:val="008000"/>
                        <w:w w:val="135"/>
                        <w:sz w:val="9"/>
                        <w:u w:val="single" w:color="008000"/>
                      </w:rPr>
                      <w:t></w:t>
                    </w:r>
                    <w:r>
                      <w:rPr>
                        <w:color w:val="008000"/>
                        <w:w w:val="135"/>
                        <w:sz w:val="9"/>
                        <w:u w:val="single" w:color="008000"/>
                      </w:rPr>
                      <w:tab/>
                    </w:r>
                    <w:r>
                      <w:rPr>
                        <w:rFonts w:ascii="Wingdings" w:hAnsi="Wingdings"/>
                        <w:strike/>
                        <w:color w:val="008000"/>
                        <w:w w:val="135"/>
                        <w:position w:val="-4"/>
                        <w:sz w:val="9"/>
                      </w:rPr>
                      <w:t></w:t>
                    </w:r>
                    <w:r>
                      <w:rPr>
                        <w:strike/>
                        <w:color w:val="008000"/>
                        <w:position w:val="-4"/>
                        <w:sz w:val="9"/>
                      </w:rPr>
                      <w:tab/>
                    </w:r>
                    <w:r>
                      <w:rPr>
                        <w:strike w:val="0"/>
                        <w:color w:val="008000"/>
                        <w:spacing w:val="-10"/>
                        <w:position w:val="-4"/>
                        <w:sz w:val="9"/>
                      </w:rPr>
                      <w:t> </w:t>
                    </w:r>
                    <w:r>
                      <w:rPr>
                        <w:strike w:val="0"/>
                        <w:color w:val="008000"/>
                        <w:w w:val="136"/>
                        <w:position w:val="2"/>
                        <w:sz w:val="9"/>
                        <w:u w:val="single" w:color="008000"/>
                      </w:rPr>
                      <w:t> </w:t>
                    </w:r>
                    <w:r>
                      <w:rPr>
                        <w:strike w:val="0"/>
                        <w:color w:val="008000"/>
                        <w:position w:val="2"/>
                        <w:sz w:val="9"/>
                        <w:u w:val="single" w:color="008000"/>
                      </w:rPr>
                      <w:tab/>
                    </w:r>
                    <w:r>
                      <w:rPr>
                        <w:rFonts w:ascii="Wingdings" w:hAnsi="Wingdings"/>
                        <w:strike w:val="0"/>
                        <w:color w:val="008000"/>
                        <w:w w:val="135"/>
                        <w:position w:val="2"/>
                        <w:sz w:val="9"/>
                        <w:u w:val="single" w:color="008000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5962;top:4611;width:617;height:103" type="#_x0000_t202" filled="false" stroked="false">
              <v:textbox inset="0,0,0,0">
                <w:txbxContent>
                  <w:p>
                    <w:pPr>
                      <w:tabs>
                        <w:tab w:pos="504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color w:val="008000"/>
                        <w:w w:val="136"/>
                        <w:sz w:val="9"/>
                        <w:u w:val="thick" w:color="008000"/>
                      </w:rPr>
                      <w:t> </w:t>
                    </w:r>
                    <w:r>
                      <w:rPr>
                        <w:color w:val="008000"/>
                        <w:sz w:val="9"/>
                        <w:u w:val="thick" w:color="008000"/>
                      </w:rPr>
                      <w:tab/>
                    </w:r>
                    <w:r>
                      <w:rPr>
                        <w:rFonts w:ascii="Wingdings" w:hAnsi="Wingdings"/>
                        <w:color w:val="008000"/>
                        <w:w w:val="135"/>
                        <w:sz w:val="9"/>
                        <w:u w:val="thick" w:color="008000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3525;top:4844;width:1577;height:189" type="#_x0000_t202" filled="false" stroked="false">
              <v:textbox inset="0,0,0,0">
                <w:txbxContent>
                  <w:p>
                    <w:pPr>
                      <w:tabs>
                        <w:tab w:pos="432" w:val="left" w:leader="none"/>
                        <w:tab w:pos="1218" w:val="left" w:leader="none"/>
                        <w:tab w:pos="1464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FF0000"/>
                        <w:w w:val="135"/>
                        <w:position w:val="-5"/>
                        <w:sz w:val="9"/>
                      </w:rPr>
                      <w:t></w:t>
                    </w:r>
                    <w:r>
                      <w:rPr>
                        <w:color w:val="FF0000"/>
                        <w:w w:val="135"/>
                        <w:position w:val="-5"/>
                        <w:sz w:val="9"/>
                        <w:u w:val="single" w:color="008000"/>
                      </w:rPr>
                      <w:tab/>
                    </w:r>
                    <w:r>
                      <w:rPr>
                        <w:rFonts w:ascii="Wingdings" w:hAnsi="Wingdings"/>
                        <w:color w:val="008000"/>
                        <w:w w:val="135"/>
                        <w:sz w:val="9"/>
                      </w:rPr>
                      <w:t></w:t>
                    </w:r>
                    <w:r>
                      <w:rPr>
                        <w:color w:val="008000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08000"/>
                        <w:w w:val="136"/>
                        <w:sz w:val="9"/>
                        <w:u w:val="single" w:color="008000"/>
                      </w:rPr>
                      <w:t> </w:t>
                    </w:r>
                    <w:r>
                      <w:rPr>
                        <w:color w:val="008000"/>
                        <w:sz w:val="9"/>
                        <w:u w:val="single" w:color="008000"/>
                      </w:rPr>
                      <w:tab/>
                    </w:r>
                    <w:r>
                      <w:rPr>
                        <w:color w:val="008000"/>
                        <w:w w:val="136"/>
                        <w:position w:val="1"/>
                        <w:sz w:val="9"/>
                        <w:u w:val="single" w:color="008000"/>
                      </w:rPr>
                      <w:t> </w:t>
                    </w:r>
                    <w:r>
                      <w:rPr>
                        <w:color w:val="008000"/>
                        <w:position w:val="1"/>
                        <w:sz w:val="9"/>
                        <w:u w:val="single" w:color="008000"/>
                      </w:rPr>
                      <w:tab/>
                    </w:r>
                    <w:r>
                      <w:rPr>
                        <w:rFonts w:ascii="Wingdings" w:hAnsi="Wingdings"/>
                        <w:color w:val="008000"/>
                        <w:w w:val="135"/>
                        <w:position w:val="1"/>
                        <w:sz w:val="9"/>
                        <w:u w:val="single" w:color="008000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4990;top:4771;width:894;height:115" type="#_x0000_t202" filled="false" stroked="false">
              <v:textbox inset="0,0,0,0">
                <w:txbxContent>
                  <w:p>
                    <w:pPr>
                      <w:tabs>
                        <w:tab w:pos="382" w:val="left" w:leader="none"/>
                        <w:tab w:pos="738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rFonts w:ascii="Wingdings" w:hAnsi="Wingdings"/>
                        <w:color w:val="008000"/>
                        <w:w w:val="135"/>
                        <w:position w:val="1"/>
                        <w:sz w:val="9"/>
                      </w:rPr>
                      <w:t></w:t>
                    </w:r>
                    <w:r>
                      <w:rPr>
                        <w:color w:val="008000"/>
                        <w:spacing w:val="8"/>
                        <w:position w:val="1"/>
                        <w:sz w:val="9"/>
                      </w:rPr>
                      <w:t> </w:t>
                    </w:r>
                    <w:r>
                      <w:rPr>
                        <w:color w:val="008000"/>
                        <w:w w:val="136"/>
                        <w:position w:val="1"/>
                        <w:sz w:val="9"/>
                        <w:u w:val="single" w:color="008000"/>
                      </w:rPr>
                      <w:t> </w:t>
                    </w:r>
                    <w:r>
                      <w:rPr>
                        <w:color w:val="008000"/>
                        <w:position w:val="1"/>
                        <w:sz w:val="9"/>
                        <w:u w:val="single" w:color="008000"/>
                      </w:rPr>
                      <w:tab/>
                    </w:r>
                    <w:r>
                      <w:rPr>
                        <w:color w:val="008000"/>
                        <w:position w:val="1"/>
                        <w:sz w:val="9"/>
                      </w:rPr>
                      <w:t>    </w:t>
                    </w:r>
                    <w:r>
                      <w:rPr>
                        <w:color w:val="008000"/>
                        <w:spacing w:val="-4"/>
                        <w:position w:val="1"/>
                        <w:sz w:val="9"/>
                      </w:rPr>
                      <w:t> </w:t>
                    </w:r>
                    <w:r>
                      <w:rPr>
                        <w:color w:val="008000"/>
                        <w:w w:val="136"/>
                        <w:sz w:val="9"/>
                        <w:u w:val="single" w:color="008000"/>
                      </w:rPr>
                      <w:t> </w:t>
                    </w:r>
                    <w:r>
                      <w:rPr>
                        <w:color w:val="008000"/>
                        <w:sz w:val="9"/>
                        <w:u w:val="single" w:color="008000"/>
                      </w:rPr>
                      <w:tab/>
                    </w:r>
                    <w:r>
                      <w:rPr>
                        <w:rFonts w:ascii="Wingdings" w:hAnsi="Wingdings"/>
                        <w:color w:val="008000"/>
                        <w:w w:val="135"/>
                        <w:sz w:val="9"/>
                        <w:u w:val="single" w:color="008000"/>
                      </w:rPr>
                      <w:t></w:t>
                    </w:r>
                    <w:r>
                      <w:rPr>
                        <w:color w:val="008000"/>
                        <w:sz w:val="9"/>
                        <w:u w:val="single" w:color="008000"/>
                      </w:rPr>
                      <w:t> </w:t>
                    </w:r>
                    <w:r>
                      <w:rPr>
                        <w:color w:val="008000"/>
                        <w:spacing w:val="-2"/>
                        <w:sz w:val="9"/>
                        <w:u w:val="single" w:color="00800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525;top:4979;width:29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rFonts w:ascii="Wingdings" w:hAnsi="Wingdings"/>
                        <w:strike/>
                        <w:color w:val="008000"/>
                        <w:w w:val="135"/>
                        <w:sz w:val="9"/>
                        <w:u w:val="single" w:color="008000"/>
                      </w:rPr>
                      <w:t></w:t>
                    </w:r>
                    <w:r>
                      <w:rPr>
                        <w:strike/>
                        <w:color w:val="008000"/>
                        <w:spacing w:val="-1"/>
                        <w:sz w:val="9"/>
                        <w:u w:val="single" w:color="00800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251;top:4930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8000"/>
                        <w:w w:val="136"/>
                        <w:sz w:val="9"/>
                        <w:u w:val="single" w:color="008000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2786;top:5151;width:112;height:1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9"/>
                      </w:rPr>
                    </w:pPr>
                    <w:r>
                      <w:rPr>
                        <w:rFonts w:ascii="Wingdings" w:hAnsi="Wingdings"/>
                        <w:color w:val="008000"/>
                        <w:w w:val="136"/>
                        <w:sz w:val="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5986;top:208;width:1047;height:246" type="#_x0000_t202" filled="false" stroked="true" strokeweight=".9485pt" strokecolor="#000000">
              <v:textbox inset="0,0,0,0">
                <w:txbxContent>
                  <w:p>
                    <w:pPr>
                      <w:spacing w:line="240" w:lineRule="auto" w:before="6"/>
                      <w:rPr>
                        <w:b/>
                        <w:sz w:val="7"/>
                      </w:rPr>
                    </w:pPr>
                  </w:p>
                  <w:p>
                    <w:pPr>
                      <w:spacing w:before="1"/>
                      <w:ind w:left="52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140"/>
                        <w:sz w:val="8"/>
                      </w:rPr>
                      <w:t>Sorption</w:t>
                    </w:r>
                    <w:r>
                      <w:rPr>
                        <w:rFonts w:ascii="Arial MT"/>
                        <w:spacing w:val="11"/>
                        <w:w w:val="140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140"/>
                        <w:sz w:val="8"/>
                      </w:rPr>
                      <w:t>Isotherm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 MT"/>
          <w:w w:val="135"/>
          <w:sz w:val="9"/>
        </w:rPr>
        <w:t>15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9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1"/>
        <w:ind w:left="1057" w:right="0" w:firstLine="0"/>
        <w:jc w:val="left"/>
        <w:rPr>
          <w:rFonts w:ascii="Arial MT"/>
          <w:sz w:val="9"/>
        </w:rPr>
      </w:pPr>
      <w:r>
        <w:rPr>
          <w:rFonts w:ascii="Arial MT"/>
          <w:w w:val="135"/>
          <w:sz w:val="9"/>
        </w:rPr>
        <w:t>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9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spacing w:before="0"/>
        <w:ind w:left="1131" w:right="0" w:firstLine="0"/>
        <w:jc w:val="left"/>
        <w:rPr>
          <w:rFonts w:ascii="Arial MT"/>
          <w:sz w:val="9"/>
        </w:rPr>
      </w:pPr>
      <w:r>
        <w:rPr/>
        <w:pict>
          <v:shape style="position:absolute;margin-left:110.739151pt;margin-top:-58.848763pt;width:10.25pt;height:54.85pt;mso-position-horizontal-relative:page;mso-position-vertical-relative:paragraph;z-index:15891968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75"/>
                      <w:sz w:val="14"/>
                    </w:rPr>
                    <w:t>W</w:t>
                  </w:r>
                  <w:r>
                    <w:rPr>
                      <w:rFonts w:ascii="Arial MT"/>
                      <w:spacing w:val="-4"/>
                      <w:w w:val="75"/>
                      <w:sz w:val="14"/>
                    </w:rPr>
                    <w:t> </w:t>
                  </w:r>
                  <w:r>
                    <w:rPr>
                      <w:rFonts w:ascii="Arial MT"/>
                      <w:w w:val="75"/>
                      <w:sz w:val="14"/>
                    </w:rPr>
                    <w:t>eight</w:t>
                  </w:r>
                  <w:r>
                    <w:rPr>
                      <w:rFonts w:ascii="Arial MT"/>
                      <w:spacing w:val="35"/>
                      <w:sz w:val="14"/>
                    </w:rPr>
                    <w:t> </w:t>
                  </w:r>
                  <w:r>
                    <w:rPr>
                      <w:rFonts w:ascii="Arial MT"/>
                      <w:w w:val="75"/>
                      <w:sz w:val="14"/>
                    </w:rPr>
                    <w:t>Change</w:t>
                  </w:r>
                  <w:r>
                    <w:rPr>
                      <w:rFonts w:ascii="Arial MT"/>
                      <w:spacing w:val="29"/>
                      <w:sz w:val="14"/>
                    </w:rPr>
                    <w:t> </w:t>
                  </w:r>
                  <w:r>
                    <w:rPr>
                      <w:rFonts w:ascii="Arial MT"/>
                      <w:w w:val="75"/>
                      <w:sz w:val="14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6"/>
          <w:sz w:val="9"/>
        </w:rPr>
        <w:t>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9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spacing w:before="0"/>
        <w:ind w:left="1131" w:right="0" w:firstLine="0"/>
        <w:jc w:val="left"/>
        <w:rPr>
          <w:rFonts w:ascii="Arial MT"/>
          <w:sz w:val="9"/>
        </w:rPr>
      </w:pPr>
      <w:r>
        <w:rPr>
          <w:rFonts w:ascii="Arial MT"/>
          <w:w w:val="136"/>
          <w:sz w:val="9"/>
        </w:rPr>
        <w:t>0</w:t>
      </w:r>
    </w:p>
    <w:p>
      <w:pPr>
        <w:tabs>
          <w:tab w:pos="2706" w:val="left" w:leader="none"/>
          <w:tab w:pos="4171" w:val="left" w:leader="none"/>
          <w:tab w:pos="5648" w:val="left" w:leader="none"/>
          <w:tab w:pos="7112" w:val="left" w:leader="none"/>
          <w:tab w:pos="8552" w:val="left" w:leader="none"/>
        </w:tabs>
        <w:spacing w:before="44"/>
        <w:ind w:left="1266" w:right="0" w:firstLine="0"/>
        <w:jc w:val="left"/>
        <w:rPr>
          <w:rFonts w:ascii="Arial MT"/>
          <w:sz w:val="9"/>
        </w:rPr>
      </w:pPr>
      <w:r>
        <w:rPr>
          <w:rFonts w:ascii="Arial MT"/>
          <w:w w:val="135"/>
          <w:sz w:val="9"/>
        </w:rPr>
        <w:t>0</w:t>
        <w:tab/>
        <w:t>20</w:t>
        <w:tab/>
        <w:t>40</w:t>
        <w:tab/>
        <w:t>60</w:t>
        <w:tab/>
        <w:t>80</w:t>
        <w:tab/>
        <w:t>100</w:t>
      </w:r>
    </w:p>
    <w:p>
      <w:pPr>
        <w:spacing w:after="0"/>
        <w:jc w:val="left"/>
        <w:rPr>
          <w:rFonts w:ascii="Arial MT"/>
          <w:sz w:val="9"/>
        </w:rPr>
        <w:sectPr>
          <w:pgSz w:w="11910" w:h="16840"/>
          <w:pgMar w:header="0" w:footer="987" w:top="1480" w:bottom="1260" w:left="1520" w:right="160"/>
        </w:sectPr>
      </w:pPr>
    </w:p>
    <w:p>
      <w:pPr>
        <w:pStyle w:val="BodyText"/>
        <w:spacing w:before="8"/>
        <w:rPr>
          <w:rFonts w:ascii="Arial MT"/>
          <w:sz w:val="10"/>
        </w:rPr>
      </w:pPr>
    </w:p>
    <w:p>
      <w:pPr>
        <w:spacing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Relative</w:t>
      </w:r>
      <w:r>
        <w:rPr>
          <w:rFonts w:ascii="Arial MT"/>
          <w:spacing w:val="4"/>
          <w:w w:val="135"/>
          <w:sz w:val="11"/>
        </w:rPr>
        <w:t> </w:t>
      </w:r>
      <w:r>
        <w:rPr>
          <w:rFonts w:ascii="Arial MT"/>
          <w:w w:val="135"/>
          <w:sz w:val="11"/>
        </w:rPr>
        <w:t>Humidity</w:t>
      </w:r>
      <w:r>
        <w:rPr>
          <w:rFonts w:ascii="Arial MT"/>
          <w:spacing w:val="-13"/>
          <w:w w:val="135"/>
          <w:sz w:val="11"/>
        </w:rPr>
        <w:t> </w:t>
      </w:r>
      <w:r>
        <w:rPr>
          <w:rFonts w:ascii="Arial MT"/>
          <w:w w:val="135"/>
          <w:sz w:val="11"/>
        </w:rPr>
        <w:t>(%)</w:t>
      </w:r>
    </w:p>
    <w:p>
      <w:pPr>
        <w:pStyle w:val="BodyText"/>
        <w:spacing w:before="9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spacing w:before="0"/>
        <w:ind w:left="2399" w:right="0" w:firstLine="0"/>
        <w:jc w:val="left"/>
        <w:rPr>
          <w:rFonts w:ascii="Arial MT"/>
          <w:sz w:val="7"/>
        </w:rPr>
      </w:pPr>
      <w:r>
        <w:rPr>
          <w:rFonts w:ascii="Arial MT"/>
          <w:spacing w:val="-3"/>
          <w:w w:val="140"/>
          <w:sz w:val="7"/>
        </w:rPr>
        <w:t>Universal</w:t>
      </w:r>
      <w:r>
        <w:rPr>
          <w:rFonts w:ascii="Arial MT"/>
          <w:spacing w:val="1"/>
          <w:w w:val="140"/>
          <w:sz w:val="7"/>
        </w:rPr>
        <w:t> </w:t>
      </w:r>
      <w:r>
        <w:rPr>
          <w:rFonts w:ascii="Arial MT"/>
          <w:spacing w:val="-3"/>
          <w:w w:val="140"/>
          <w:sz w:val="7"/>
        </w:rPr>
        <w:t>V4.5A</w:t>
      </w:r>
      <w:r>
        <w:rPr>
          <w:rFonts w:ascii="Arial MT"/>
          <w:spacing w:val="-6"/>
          <w:w w:val="140"/>
          <w:sz w:val="7"/>
        </w:rPr>
        <w:t> </w:t>
      </w:r>
      <w:r>
        <w:rPr>
          <w:rFonts w:ascii="Arial MT"/>
          <w:spacing w:val="-3"/>
          <w:w w:val="140"/>
          <w:sz w:val="7"/>
        </w:rPr>
        <w:t>TA</w:t>
      </w:r>
      <w:r>
        <w:rPr>
          <w:rFonts w:ascii="Arial MT"/>
          <w:spacing w:val="-5"/>
          <w:w w:val="140"/>
          <w:sz w:val="7"/>
        </w:rPr>
        <w:t> </w:t>
      </w:r>
      <w:r>
        <w:rPr>
          <w:rFonts w:ascii="Arial MT"/>
          <w:spacing w:val="-3"/>
          <w:w w:val="140"/>
          <w:sz w:val="7"/>
        </w:rPr>
        <w:t>Instruments</w:t>
      </w:r>
    </w:p>
    <w:p>
      <w:pPr>
        <w:spacing w:after="0"/>
        <w:jc w:val="left"/>
        <w:rPr>
          <w:rFonts w:ascii="Arial MT"/>
          <w:sz w:val="7"/>
        </w:rPr>
        <w:sectPr>
          <w:type w:val="continuous"/>
          <w:pgSz w:w="11910" w:h="16840"/>
          <w:pgMar w:top="1320" w:bottom="1260" w:left="1520" w:right="160"/>
          <w:cols w:num="2" w:equalWidth="0">
            <w:col w:w="5707" w:space="40"/>
            <w:col w:w="4483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1"/>
        </w:rPr>
      </w:pPr>
    </w:p>
    <w:p>
      <w:pPr>
        <w:pStyle w:val="Heading3"/>
        <w:spacing w:before="90"/>
        <w:ind w:left="465" w:right="1255"/>
        <w:jc w:val="both"/>
      </w:pPr>
      <w:r>
        <w:rPr/>
        <w:t>Figure</w:t>
      </w:r>
      <w:r>
        <w:rPr>
          <w:spacing w:val="1"/>
        </w:rPr>
        <w:t> </w:t>
      </w:r>
      <w:r>
        <w:rPr/>
        <w:t>4.19: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sorption/desorption</w:t>
      </w:r>
      <w:r>
        <w:rPr>
          <w:spacing w:val="1"/>
        </w:rPr>
        <w:t> </w:t>
      </w:r>
      <w:r>
        <w:rPr/>
        <w:t>isotherms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SGS,</w:t>
      </w:r>
      <w:r>
        <w:rPr>
          <w:spacing w:val="1"/>
        </w:rPr>
        <w:t> </w:t>
      </w:r>
      <w:r>
        <w:rPr/>
        <w:t>PSV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SLC</w:t>
      </w:r>
      <w:r>
        <w:rPr>
          <w:spacing w:val="1"/>
        </w:rPr>
        <w:t> </w:t>
      </w:r>
      <w:r>
        <w:rPr/>
        <w:t>showing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relationship</w:t>
      </w:r>
      <w:r>
        <w:rPr>
          <w:spacing w:val="41"/>
        </w:rPr>
        <w:t> </w:t>
      </w:r>
      <w:r>
        <w:rPr/>
        <w:t>between</w:t>
      </w:r>
      <w:r>
        <w:rPr>
          <w:spacing w:val="41"/>
        </w:rPr>
        <w:t> </w:t>
      </w:r>
      <w:r>
        <w:rPr/>
        <w:t>relative</w:t>
      </w:r>
      <w:r>
        <w:rPr>
          <w:spacing w:val="40"/>
        </w:rPr>
        <w:t> </w:t>
      </w:r>
      <w:r>
        <w:rPr/>
        <w:t>humidity</w:t>
      </w:r>
      <w:r>
        <w:rPr>
          <w:spacing w:val="41"/>
        </w:rPr>
        <w:t> </w:t>
      </w:r>
      <w:r>
        <w:rPr/>
        <w:t>(%</w:t>
      </w:r>
      <w:r>
        <w:rPr>
          <w:spacing w:val="42"/>
        </w:rPr>
        <w:t> </w:t>
      </w:r>
      <w:r>
        <w:rPr/>
        <w:t>RH)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weight</w:t>
      </w:r>
      <w:r>
        <w:rPr>
          <w:spacing w:val="40"/>
        </w:rPr>
        <w:t> </w:t>
      </w:r>
      <w:r>
        <w:rPr/>
        <w:t>change</w:t>
      </w:r>
      <w:r>
        <w:rPr>
          <w:spacing w:val="-57"/>
        </w:rPr>
        <w:t> </w:t>
      </w:r>
      <w:r>
        <w:rPr/>
        <w:t>(%)</w:t>
      </w:r>
    </w:p>
    <w:p>
      <w:pPr>
        <w:spacing w:after="0"/>
        <w:jc w:val="both"/>
        <w:sectPr>
          <w:type w:val="continuous"/>
          <w:pgSz w:w="11910" w:h="16840"/>
          <w:pgMar w:top="1320" w:bottom="1260" w:left="1520" w:right="160"/>
        </w:sectPr>
      </w:pPr>
    </w:p>
    <w:p>
      <w:pPr>
        <w:pStyle w:val="Heading3"/>
        <w:numPr>
          <w:ilvl w:val="2"/>
          <w:numId w:val="21"/>
        </w:numPr>
        <w:tabs>
          <w:tab w:pos="1185" w:val="left" w:leader="none"/>
          <w:tab w:pos="1186" w:val="left" w:leader="none"/>
        </w:tabs>
        <w:spacing w:line="240" w:lineRule="auto" w:before="76" w:after="0"/>
        <w:ind w:left="1185" w:right="0" w:hanging="721"/>
        <w:jc w:val="left"/>
      </w:pPr>
      <w:bookmarkStart w:name="_TOC_250027" w:id="79"/>
      <w:r>
        <w:rPr/>
        <w:t>Circular</w:t>
      </w:r>
      <w:r>
        <w:rPr>
          <w:spacing w:val="-1"/>
        </w:rPr>
        <w:t> </w:t>
      </w:r>
      <w:r>
        <w:rPr/>
        <w:t>Dichroism</w:t>
      </w:r>
      <w:r>
        <w:rPr>
          <w:spacing w:val="-4"/>
        </w:rPr>
        <w:t> </w:t>
      </w:r>
      <w:r>
        <w:rPr/>
        <w:t>(CD)</w:t>
      </w:r>
      <w:r>
        <w:rPr>
          <w:spacing w:val="-2"/>
        </w:rPr>
        <w:t> </w:t>
      </w:r>
      <w:bookmarkEnd w:id="79"/>
      <w:r>
        <w:rPr/>
        <w:t>spectroscopy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1"/>
        <w:jc w:val="both"/>
      </w:pPr>
      <w:r>
        <w:rPr/>
        <w:t>An overlay plot showing the CD spectra for GEL, SGS and</w:t>
      </w:r>
      <w:r>
        <w:rPr>
          <w:spacing w:val="60"/>
        </w:rPr>
        <w:t> </w:t>
      </w:r>
      <w:r>
        <w:rPr/>
        <w:t>F-SGS is displayed in</w:t>
      </w:r>
      <w:r>
        <w:rPr>
          <w:spacing w:val="1"/>
        </w:rPr>
        <w:t> </w:t>
      </w:r>
      <w:r>
        <w:rPr/>
        <w:t>Figure 4.20. Characteristic peaks of GEL were observed at 208 and 222 nm. Similar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GEL</w:t>
      </w:r>
      <w:r>
        <w:rPr>
          <w:spacing w:val="1"/>
        </w:rPr>
        <w:t> </w:t>
      </w:r>
      <w:r>
        <w:rPr/>
        <w:t>spectra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F-SGS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slight</w:t>
      </w:r>
      <w:r>
        <w:rPr>
          <w:spacing w:val="1"/>
        </w:rPr>
        <w:t> </w:t>
      </w:r>
      <w:r>
        <w:rPr/>
        <w:t>displacement in the peak positions. The minor changes observed in the SGS and F-SGS</w:t>
      </w:r>
      <w:r>
        <w:rPr>
          <w:spacing w:val="1"/>
        </w:rPr>
        <w:t> </w:t>
      </w:r>
      <w:r>
        <w:rPr/>
        <w:t>suggests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 GEL</w:t>
      </w:r>
      <w:r>
        <w:rPr>
          <w:spacing w:val="-3"/>
        </w:rPr>
        <w:t> </w:t>
      </w:r>
      <w:r>
        <w:rPr/>
        <w:t>was not</w:t>
      </w:r>
      <w:r>
        <w:rPr>
          <w:spacing w:val="-1"/>
        </w:rPr>
        <w:t> </w:t>
      </w:r>
      <w:r>
        <w:rPr/>
        <w:t>destroyed during</w:t>
      </w:r>
      <w:r>
        <w:rPr>
          <w:spacing w:val="-3"/>
        </w:rPr>
        <w:t> </w:t>
      </w:r>
      <w:r>
        <w:rPr/>
        <w:t>processing.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spacing w:before="72"/>
        <w:ind w:left="0" w:right="8812" w:firstLine="0"/>
        <w:jc w:val="right"/>
        <w:rPr>
          <w:sz w:val="18"/>
        </w:rPr>
      </w:pPr>
      <w:r>
        <w:rPr/>
        <w:pict>
          <v:group style="position:absolute;margin-left:149.644165pt;margin-top:13.540913pt;width:413.15pt;height:223.75pt;mso-position-horizontal-relative:page;mso-position-vertical-relative:paragraph;z-index:15892480" coordorigin="2993,271" coordsize="8263,4475">
            <v:shape style="position:absolute;left:2994;top:626;width:8259;height:3885" coordorigin="2995,627" coordsize="8259,3885" path="m11253,667l11089,657,10923,650,10758,642,10593,635,10428,629,10263,627,10097,628,9933,634,9767,644,9602,662,9437,681,9272,704,9106,726,8942,751,8776,776,8610,805,8446,836,8280,874,8115,925,7950,985,7785,1060,7620,1147,7454,1246,7290,1351,7124,1461,6960,1573,6794,1683,6629,1790,6464,1903,6298,2026,6134,2173,5968,2328,5803,2504,5638,2695,5473,2914,5307,3137,5143,3337,4977,3544,4811,3762,4647,3978,4481,4148,4316,4279,4151,4401,3986,4500,3821,4512,3656,4317,3491,3972,3325,3575,3160,3169,2995,2789e" filled="false" stroked="true" strokeweight=".184095pt" strokecolor="#000000">
              <v:path arrowok="t"/>
              <v:stroke dashstyle="solid"/>
            </v:shape>
            <v:shape style="position:absolute;left:2994;top:626;width:8259;height:3885" coordorigin="2995,627" coordsize="8259,3885" path="m11253,667l11089,657,10923,650,10758,642,10593,635,10428,629,10263,627,10097,628,9933,634,9767,644,9602,662,9437,681,9272,704,9106,726,8942,751,8776,776,8610,805,8446,836,8280,874,8115,925,7950,985,7785,1060,7620,1147,7454,1246,7290,1351,7124,1461,6960,1573,6794,1683,6629,1790,6464,1903,6298,2026,6134,2173,5968,2328,5803,2504,5638,2695,5473,2914,5307,3137,5143,3337,4977,3544,4811,3762,4647,3978,4481,4148,4316,4279,4151,4401,3986,4500,3821,4512,3656,4317,3491,3972,3325,3575,3160,3169,2995,2789e" filled="false" stroked="true" strokeweight=".184095pt" strokecolor="#008000">
              <v:path arrowok="t"/>
              <v:stroke dashstyle="solid"/>
            </v:shape>
            <v:shape style="position:absolute;left:2994;top:272;width:8259;height:4472" coordorigin="2995,273" coordsize="8259,4472" path="m11253,1264l11089,1260,10923,1258,10758,1258,10593,1260,10428,1266,10263,1277,10097,1291,9933,1310,9767,1336,9602,1369,9437,1408,9272,1454,9106,1510,8942,1576,8776,1649,8610,1736,8446,1840,8280,1957,8115,2088,7950,2238,7785,2398,7620,2561,7454,2741,7290,2914,7124,3082,6960,3255,6794,3456,6629,3677,6464,3877,6298,4063,6134,4286,5968,4573,5803,4741,5638,4744,5473,4656,5307,4485,5143,4233,4977,3811,4811,3258,4647,2748,4481,2360,4316,2090,4151,1765,3986,1436,3821,1141,3656,913,3491,715,3325,493,3160,327,2995,273e" filled="false" stroked="true" strokeweight=".184809pt" strokecolor="#ff0000">
              <v:path arrowok="t"/>
              <v:stroke dashstyle="solid"/>
            </v:shape>
            <v:shape style="position:absolute;left:2994;top:614;width:8259;height:3691" coordorigin="2995,615" coordsize="8259,3691" path="m11253,1193l11089,1126,10923,1059,10758,993,10593,931,10428,873,10263,822,10097,778,9933,745,9767,722,9602,705,9437,692,9272,678,9106,666,8942,651,8776,636,8610,623,8446,615,8280,617,8115,638,7950,674,7785,731,7620,797,7454,872,7290,962,7124,1069,6960,1191,6794,1325,6629,1476,6464,1655,6298,1867,6134,2103,5968,2342,5803,2560,5638,2771,5473,2993,5307,3216,5143,3400,4977,3563,4811,3767,4647,3963,4481,4158,4316,4305,4151,4293,3986,4275,3821,4287,3656,4231,3491,4106,3325,3976,3160,3893,2995,3813e" filled="false" stroked="true" strokeweight=".183862pt" strokecolor="#0000ff">
              <v:path arrowok="t"/>
              <v:stroke dashstyle="solid"/>
            </v:shape>
            <v:shape style="position:absolute;left:4069;top:1435;width:509;height:626" type="#_x0000_t75" stroked="false">
              <v:imagedata r:id="rId182" o:title=""/>
            </v:shape>
            <v:shape style="position:absolute;left:4258;top:1467;width:270;height:332" type="#_x0000_t75" stroked="false">
              <v:imagedata r:id="rId183" o:title=""/>
            </v:shape>
            <v:shape style="position:absolute;left:6347;top:906;width:511;height:626" type="#_x0000_t75" stroked="false">
              <v:imagedata r:id="rId184" o:title=""/>
            </v:shape>
            <v:shape style="position:absolute;left:6399;top:938;width:270;height:332" type="#_x0000_t75" stroked="false">
              <v:imagedata r:id="rId185" o:title=""/>
            </v:shape>
            <v:shape style="position:absolute;left:7426;top:1065;width:509;height:626" type="#_x0000_t75" stroked="false">
              <v:imagedata r:id="rId186" o:title=""/>
            </v:shape>
            <w10:wrap type="none"/>
          </v:group>
        </w:pict>
      </w:r>
      <w:r>
        <w:rPr/>
        <w:pict>
          <v:shape style="position:absolute;margin-left:149.638321pt;margin-top:7.678327pt;width:413.25pt;height:240.05pt;mso-position-horizontal-relative:page;mso-position-vertical-relative:paragraph;z-index:15893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42"/>
                    <w:gridCol w:w="1650"/>
                    <w:gridCol w:w="1652"/>
                    <w:gridCol w:w="1651"/>
                    <w:gridCol w:w="1661"/>
                  </w:tblGrid>
                  <w:tr>
                    <w:trPr>
                      <w:trHeight w:val="516" w:hRule="atLeast"/>
                    </w:trPr>
                    <w:tc>
                      <w:tcPr>
                        <w:tcW w:w="1642" w:type="dxa"/>
                        <w:tcBorders>
                          <w:right w:val="dotted" w:sz="2" w:space="0" w:color="C0C0C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0" w:type="dxa"/>
                        <w:tcBorders>
                          <w:left w:val="dotted" w:sz="2" w:space="0" w:color="C0C0C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2" w:type="dxa"/>
                        <w:tcBorders>
                          <w:left w:val="dotted" w:sz="2" w:space="0" w:color="000000"/>
                          <w:bottom w:val="dotted" w:sz="2" w:space="0" w:color="000000"/>
                          <w:right w:val="dotted" w:sz="2" w:space="0" w:color="C0C0C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1" w:type="dxa"/>
                        <w:tcBorders>
                          <w:left w:val="dotted" w:sz="2" w:space="0" w:color="C0C0C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61" w:type="dxa"/>
                        <w:tcBorders>
                          <w:left w:val="dott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1642" w:type="dxa"/>
                        <w:tcBorders>
                          <w:right w:val="dotted" w:sz="2" w:space="0" w:color="C0C0C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0" w:type="dxa"/>
                        <w:tcBorders>
                          <w:top w:val="dotted" w:sz="2" w:space="0" w:color="000000"/>
                          <w:left w:val="dotted" w:sz="2" w:space="0" w:color="C0C0C0"/>
                          <w:bottom w:val="dotted" w:sz="2" w:space="0" w:color="C0C0C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-58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95"/>
                            <w:sz w:val="22"/>
                          </w:rPr>
                          <w:t>SG</w:t>
                        </w:r>
                      </w:p>
                    </w:tc>
                    <w:tc>
                      <w:tcPr>
                        <w:tcW w:w="1652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C0C0C0"/>
                          <w:right w:val="dotted" w:sz="2" w:space="0" w:color="C0C0C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4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82"/>
                            <w:sz w:val="22"/>
                          </w:rPr>
                          <w:t>S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dotted" w:sz="2" w:space="0" w:color="000000"/>
                          <w:left w:val="dotted" w:sz="2" w:space="0" w:color="C0C0C0"/>
                          <w:bottom w:val="dotted" w:sz="2" w:space="0" w:color="C0C0C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61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C0C0C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7" w:hRule="atLeast"/>
                    </w:trPr>
                    <w:tc>
                      <w:tcPr>
                        <w:tcW w:w="1642" w:type="dxa"/>
                        <w:tcBorders>
                          <w:right w:val="dotted" w:sz="2" w:space="0" w:color="C0C0C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-58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82"/>
                            <w:sz w:val="22"/>
                          </w:rPr>
                          <w:t>G</w:t>
                        </w:r>
                      </w:p>
                    </w:tc>
                    <w:tc>
                      <w:tcPr>
                        <w:tcW w:w="1650" w:type="dxa"/>
                        <w:tcBorders>
                          <w:top w:val="dotted" w:sz="2" w:space="0" w:color="C0C0C0"/>
                          <w:left w:val="dotted" w:sz="2" w:space="0" w:color="C0C0C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95"/>
                            <w:sz w:val="22"/>
                          </w:rPr>
                          <w:t>EL</w:t>
                        </w:r>
                      </w:p>
                    </w:tc>
                    <w:tc>
                      <w:tcPr>
                        <w:tcW w:w="1652" w:type="dxa"/>
                        <w:tcBorders>
                          <w:top w:val="dotted" w:sz="2" w:space="0" w:color="C0C0C0"/>
                          <w:left w:val="dotted" w:sz="2" w:space="0" w:color="000000"/>
                          <w:bottom w:val="dotted" w:sz="2" w:space="0" w:color="000000"/>
                          <w:right w:val="dotted" w:sz="2" w:space="0" w:color="C0C0C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13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70402" cy="209550"/>
                              <wp:effectExtent l="0" t="0" r="0" b="0"/>
                              <wp:docPr id="147" name="image18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48" name="image180.png"/>
                                      <pic:cNvPicPr/>
                                    </pic:nvPicPr>
                                    <pic:blipFill>
                                      <a:blip r:embed="rId1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0402" cy="2095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dotted" w:sz="2" w:space="0" w:color="C0C0C0"/>
                          <w:left w:val="dotted" w:sz="2" w:space="0" w:color="C0C0C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line="144" w:lineRule="exact" w:before="1"/>
                          <w:ind w:left="-4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95"/>
                            <w:sz w:val="22"/>
                          </w:rPr>
                          <w:t>F-SGS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dotted" w:sz="2" w:space="0" w:color="C0C0C0"/>
                          <w:left w:val="dott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1642" w:type="dxa"/>
                        <w:tcBorders>
                          <w:right w:val="dotted" w:sz="2" w:space="0" w:color="C0C0C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0" w:type="dxa"/>
                        <w:tcBorders>
                          <w:top w:val="dotted" w:sz="2" w:space="0" w:color="000000"/>
                          <w:left w:val="dotted" w:sz="2" w:space="0" w:color="C0C0C0"/>
                          <w:bottom w:val="dotted" w:sz="2" w:space="0" w:color="C0C0C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2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C0C0C0"/>
                          <w:right w:val="dotted" w:sz="2" w:space="0" w:color="C0C0C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1" w:type="dxa"/>
                        <w:tcBorders>
                          <w:top w:val="dotted" w:sz="2" w:space="0" w:color="000000"/>
                          <w:left w:val="dotted" w:sz="2" w:space="0" w:color="C0C0C0"/>
                          <w:bottom w:val="dotted" w:sz="2" w:space="0" w:color="C0C0C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61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C0C0C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1642" w:type="dxa"/>
                        <w:tcBorders>
                          <w:right w:val="dotted" w:sz="2" w:space="0" w:color="C0C0C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0" w:type="dxa"/>
                        <w:tcBorders>
                          <w:top w:val="dotted" w:sz="2" w:space="0" w:color="C0C0C0"/>
                          <w:left w:val="dotted" w:sz="2" w:space="0" w:color="C0C0C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2" w:type="dxa"/>
                        <w:tcBorders>
                          <w:top w:val="dotted" w:sz="2" w:space="0" w:color="C0C0C0"/>
                          <w:left w:val="dotted" w:sz="2" w:space="0" w:color="000000"/>
                          <w:bottom w:val="dotted" w:sz="2" w:space="0" w:color="000000"/>
                          <w:right w:val="dotted" w:sz="2" w:space="0" w:color="C0C0C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1" w:type="dxa"/>
                        <w:tcBorders>
                          <w:top w:val="dotted" w:sz="2" w:space="0" w:color="C0C0C0"/>
                          <w:left w:val="dotted" w:sz="2" w:space="0" w:color="C0C0C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61" w:type="dxa"/>
                        <w:tcBorders>
                          <w:top w:val="dotted" w:sz="2" w:space="0" w:color="C0C0C0"/>
                          <w:left w:val="dott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1642" w:type="dxa"/>
                        <w:tcBorders>
                          <w:right w:val="dotted" w:sz="2" w:space="0" w:color="C0C0C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0" w:type="dxa"/>
                        <w:tcBorders>
                          <w:top w:val="dotted" w:sz="2" w:space="0" w:color="000000"/>
                          <w:left w:val="dotted" w:sz="2" w:space="0" w:color="C0C0C0"/>
                          <w:bottom w:val="dotted" w:sz="2" w:space="0" w:color="C0C0C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2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C0C0C0"/>
                          <w:right w:val="dotted" w:sz="2" w:space="0" w:color="C0C0C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1" w:type="dxa"/>
                        <w:tcBorders>
                          <w:top w:val="dotted" w:sz="2" w:space="0" w:color="000000"/>
                          <w:left w:val="dotted" w:sz="2" w:space="0" w:color="C0C0C0"/>
                          <w:bottom w:val="dotted" w:sz="2" w:space="0" w:color="C0C0C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61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C0C0C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1642" w:type="dxa"/>
                        <w:tcBorders>
                          <w:right w:val="dotted" w:sz="2" w:space="0" w:color="C0C0C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0" w:type="dxa"/>
                        <w:tcBorders>
                          <w:top w:val="dotted" w:sz="2" w:space="0" w:color="C0C0C0"/>
                          <w:left w:val="dotted" w:sz="2" w:space="0" w:color="C0C0C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2" w:type="dxa"/>
                        <w:tcBorders>
                          <w:top w:val="dotted" w:sz="2" w:space="0" w:color="C0C0C0"/>
                          <w:left w:val="dotted" w:sz="2" w:space="0" w:color="000000"/>
                          <w:bottom w:val="dotted" w:sz="2" w:space="0" w:color="000000"/>
                          <w:right w:val="dotted" w:sz="2" w:space="0" w:color="C0C0C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1" w:type="dxa"/>
                        <w:tcBorders>
                          <w:top w:val="dotted" w:sz="2" w:space="0" w:color="C0C0C0"/>
                          <w:left w:val="dotted" w:sz="2" w:space="0" w:color="C0C0C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61" w:type="dxa"/>
                        <w:tcBorders>
                          <w:top w:val="dotted" w:sz="2" w:space="0" w:color="C0C0C0"/>
                          <w:left w:val="dott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7" w:hRule="atLeast"/>
                    </w:trPr>
                    <w:tc>
                      <w:tcPr>
                        <w:tcW w:w="1642" w:type="dxa"/>
                        <w:tcBorders>
                          <w:right w:val="dotted" w:sz="2" w:space="0" w:color="C0C0C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0" w:type="dxa"/>
                        <w:tcBorders>
                          <w:top w:val="dotted" w:sz="2" w:space="0" w:color="000000"/>
                          <w:left w:val="dotted" w:sz="2" w:space="0" w:color="C0C0C0"/>
                          <w:bottom w:val="dotted" w:sz="2" w:space="0" w:color="C0C0C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2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C0C0C0"/>
                          <w:right w:val="dotted" w:sz="2" w:space="0" w:color="C0C0C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1" w:type="dxa"/>
                        <w:tcBorders>
                          <w:top w:val="dotted" w:sz="2" w:space="0" w:color="000000"/>
                          <w:left w:val="dotted" w:sz="2" w:space="0" w:color="C0C0C0"/>
                          <w:bottom w:val="dotted" w:sz="2" w:space="0" w:color="C0C0C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61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C0C0C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39" w:hRule="atLeast"/>
                    </w:trPr>
                    <w:tc>
                      <w:tcPr>
                        <w:tcW w:w="164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0" w:type="dxa"/>
                        <w:tcBorders>
                          <w:top w:val="dotted" w:sz="2" w:space="0" w:color="C0C0C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2" w:type="dxa"/>
                        <w:tcBorders>
                          <w:top w:val="dotted" w:sz="2" w:space="0" w:color="C0C0C0"/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51" w:type="dxa"/>
                        <w:tcBorders>
                          <w:top w:val="dotted" w:sz="2" w:space="0" w:color="C0C0C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61" w:type="dxa"/>
                        <w:tcBorders>
                          <w:top w:val="dotted" w:sz="2" w:space="0" w:color="C0C0C0"/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16"/>
          <w:w w:val="110"/>
          <w:sz w:val="18"/>
        </w:rPr>
        <w:t>10</w:t>
      </w:r>
      <w:r>
        <w:rPr>
          <w:spacing w:val="-12"/>
          <w:sz w:val="18"/>
        </w:rPr>
        <w:t> </w:t>
      </w:r>
    </w:p>
    <w:p>
      <w:pPr>
        <w:pStyle w:val="BodyText"/>
        <w:spacing w:before="4"/>
        <w:rPr>
          <w:sz w:val="28"/>
        </w:rPr>
      </w:pPr>
    </w:p>
    <w:p>
      <w:pPr>
        <w:spacing w:before="0"/>
        <w:ind w:left="0" w:right="8846" w:firstLine="0"/>
        <w:jc w:val="right"/>
        <w:rPr>
          <w:sz w:val="18"/>
        </w:rPr>
      </w:pPr>
      <w:r>
        <w:rPr>
          <w:w w:val="111"/>
          <w:sz w:val="18"/>
        </w:rPr>
        <w:t>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0"/>
        <w:ind w:left="0" w:right="8846" w:firstLine="0"/>
        <w:jc w:val="right"/>
        <w:rPr>
          <w:sz w:val="18"/>
        </w:rPr>
      </w:pPr>
      <w:r>
        <w:rPr/>
        <w:pict>
          <v:shape style="position:absolute;margin-left:110.560959pt;margin-top:25.624172pt;width:14.75pt;height:51.7pt;mso-position-horizontal-relative:page;mso-position-vertical-relative:paragraph;z-index:15892992" type="#_x0000_t202" filled="false" stroked="true" strokeweight=".195952pt" strokecolor="#ff0000">
            <v:textbox inset="0,0,0,0" style="layout-flow:vertical;mso-layout-flow-alt:bottom-to-top">
              <w:txbxContent>
                <w:p>
                  <w:pPr>
                    <w:spacing w:before="49"/>
                    <w:ind w:left="-24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0"/>
                      <w:sz w:val="20"/>
                    </w:rPr>
                    <w:t>C</w:t>
                  </w:r>
                  <w:r>
                    <w:rPr>
                      <w:b/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D</w:t>
                  </w:r>
                  <w:r>
                    <w:rPr>
                      <w:b/>
                      <w:spacing w:val="2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[m</w:t>
                  </w:r>
                  <w:r>
                    <w:rPr>
                      <w:b/>
                      <w:spacing w:val="5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d</w:t>
                  </w:r>
                  <w:r>
                    <w:rPr>
                      <w:b/>
                      <w:spacing w:val="8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eg</w:t>
                  </w:r>
                  <w:r>
                    <w:rPr>
                      <w:b/>
                      <w:spacing w:val="-10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]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110"/>
          <w:sz w:val="18"/>
        </w:rPr>
        <w:t>-2</w:t>
      </w:r>
      <w:r>
        <w:rPr>
          <w:spacing w:val="-1"/>
          <w:w w:val="110"/>
          <w:sz w:val="18"/>
        </w:rPr>
        <w:t> </w:t>
      </w:r>
      <w:r>
        <w:rPr>
          <w:w w:val="110"/>
          <w:sz w:val="18"/>
        </w:rPr>
        <w:t>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9"/>
        <w:ind w:left="0" w:right="8846" w:firstLine="0"/>
        <w:jc w:val="right"/>
        <w:rPr>
          <w:sz w:val="18"/>
        </w:rPr>
      </w:pPr>
      <w:r>
        <w:rPr>
          <w:w w:val="110"/>
          <w:sz w:val="18"/>
        </w:rPr>
        <w:t>-4</w:t>
      </w:r>
      <w:r>
        <w:rPr>
          <w:spacing w:val="-1"/>
          <w:w w:val="110"/>
          <w:sz w:val="18"/>
        </w:rPr>
        <w:t> </w:t>
      </w:r>
      <w:r>
        <w:rPr>
          <w:w w:val="110"/>
          <w:sz w:val="18"/>
        </w:rPr>
        <w:t>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9"/>
        <w:ind w:left="0" w:right="8846" w:firstLine="0"/>
        <w:jc w:val="right"/>
        <w:rPr>
          <w:sz w:val="18"/>
        </w:rPr>
      </w:pPr>
      <w:r>
        <w:rPr>
          <w:w w:val="110"/>
          <w:sz w:val="18"/>
        </w:rPr>
        <w:t>-6</w:t>
      </w:r>
      <w:r>
        <w:rPr>
          <w:spacing w:val="-1"/>
          <w:w w:val="110"/>
          <w:sz w:val="18"/>
        </w:rPr>
        <w:t> </w:t>
      </w:r>
      <w:r>
        <w:rPr>
          <w:w w:val="110"/>
          <w:sz w:val="18"/>
        </w:rPr>
        <w:t>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0" w:footer="987" w:top="1400" w:bottom="1260" w:left="1520" w:right="160"/>
        </w:sectPr>
      </w:pPr>
    </w:p>
    <w:p>
      <w:pPr>
        <w:spacing w:before="97"/>
        <w:ind w:left="1065" w:right="0" w:firstLine="0"/>
        <w:jc w:val="left"/>
        <w:rPr>
          <w:sz w:val="18"/>
        </w:rPr>
      </w:pPr>
      <w:r>
        <w:rPr>
          <w:w w:val="110"/>
          <w:sz w:val="18"/>
        </w:rPr>
        <w:t>-8</w:t>
      </w:r>
      <w:r>
        <w:rPr>
          <w:spacing w:val="-11"/>
          <w:w w:val="110"/>
          <w:sz w:val="18"/>
        </w:rPr>
        <w:t> </w:t>
      </w:r>
      <w:r>
        <w:rPr>
          <w:w w:val="110"/>
          <w:sz w:val="18"/>
        </w:rPr>
        <w:t>0</w:t>
      </w:r>
    </w:p>
    <w:p>
      <w:pPr>
        <w:spacing w:before="46"/>
        <w:ind w:left="1265" w:right="0" w:firstLine="0"/>
        <w:jc w:val="left"/>
        <w:rPr>
          <w:sz w:val="18"/>
        </w:rPr>
      </w:pPr>
      <w:r>
        <w:rPr>
          <w:w w:val="110"/>
          <w:sz w:val="18"/>
        </w:rPr>
        <w:t>2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0</w:t>
      </w:r>
      <w:r>
        <w:rPr>
          <w:spacing w:val="-17"/>
          <w:w w:val="110"/>
          <w:sz w:val="18"/>
        </w:rPr>
        <w:t> </w:t>
      </w:r>
      <w:r>
        <w:rPr>
          <w:w w:val="110"/>
          <w:sz w:val="18"/>
        </w:rPr>
        <w:t>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tabs>
          <w:tab w:pos="4368" w:val="left" w:leader="none"/>
          <w:tab w:pos="6020" w:val="left" w:leader="none"/>
        </w:tabs>
        <w:spacing w:before="120"/>
        <w:ind w:left="1065" w:right="0" w:firstLine="0"/>
        <w:jc w:val="left"/>
        <w:rPr>
          <w:sz w:val="18"/>
        </w:rPr>
      </w:pPr>
      <w:r>
        <w:rPr>
          <w:w w:val="110"/>
          <w:sz w:val="18"/>
        </w:rPr>
        <w:t>2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1</w:t>
      </w:r>
      <w:r>
        <w:rPr>
          <w:spacing w:val="-17"/>
          <w:w w:val="110"/>
          <w:sz w:val="18"/>
        </w:rPr>
        <w:t> </w:t>
      </w:r>
      <w:r>
        <w:rPr>
          <w:w w:val="110"/>
          <w:sz w:val="18"/>
        </w:rPr>
        <w:t>0</w:t>
        <w:tab/>
        <w:t>2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2</w:t>
      </w:r>
      <w:r>
        <w:rPr>
          <w:spacing w:val="-17"/>
          <w:w w:val="110"/>
          <w:sz w:val="18"/>
        </w:rPr>
        <w:t> </w:t>
      </w:r>
      <w:r>
        <w:rPr>
          <w:w w:val="110"/>
          <w:sz w:val="18"/>
        </w:rPr>
        <w:t>0</w:t>
        <w:tab/>
        <w:t>2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2</w:t>
      </w:r>
    </w:p>
    <w:p>
      <w:pPr>
        <w:spacing w:before="101"/>
        <w:ind w:left="1104" w:right="0" w:firstLine="0"/>
        <w:jc w:val="left"/>
        <w:rPr>
          <w:b/>
          <w:sz w:val="18"/>
        </w:rPr>
      </w:pPr>
      <w:r>
        <w:rPr>
          <w:b/>
          <w:w w:val="110"/>
          <w:sz w:val="18"/>
        </w:rPr>
        <w:t>W</w:t>
      </w:r>
      <w:r>
        <w:rPr>
          <w:b/>
          <w:spacing w:val="21"/>
          <w:w w:val="110"/>
          <w:sz w:val="18"/>
        </w:rPr>
        <w:t> </w:t>
      </w:r>
      <w:r>
        <w:rPr>
          <w:b/>
          <w:w w:val="110"/>
          <w:sz w:val="18"/>
        </w:rPr>
        <w:t>a</w:t>
      </w:r>
      <w:r>
        <w:rPr>
          <w:b/>
          <w:spacing w:val="-14"/>
          <w:w w:val="110"/>
          <w:sz w:val="18"/>
        </w:rPr>
        <w:t> </w:t>
      </w:r>
      <w:r>
        <w:rPr>
          <w:b/>
          <w:w w:val="110"/>
          <w:sz w:val="18"/>
        </w:rPr>
        <w:t>v</w:t>
      </w:r>
      <w:r>
        <w:rPr>
          <w:b/>
          <w:spacing w:val="-14"/>
          <w:w w:val="110"/>
          <w:sz w:val="18"/>
        </w:rPr>
        <w:t> </w:t>
      </w:r>
      <w:r>
        <w:rPr>
          <w:b/>
          <w:spacing w:val="14"/>
          <w:w w:val="110"/>
          <w:sz w:val="18"/>
        </w:rPr>
        <w:t>elen</w:t>
      </w:r>
      <w:r>
        <w:rPr>
          <w:b/>
          <w:spacing w:val="3"/>
          <w:w w:val="110"/>
          <w:sz w:val="18"/>
        </w:rPr>
        <w:t> </w:t>
      </w:r>
      <w:r>
        <w:rPr>
          <w:b/>
          <w:w w:val="110"/>
          <w:sz w:val="18"/>
        </w:rPr>
        <w:t>g</w:t>
      </w:r>
      <w:r>
        <w:rPr>
          <w:b/>
          <w:spacing w:val="-14"/>
          <w:w w:val="110"/>
          <w:sz w:val="18"/>
        </w:rPr>
        <w:t> </w:t>
      </w:r>
      <w:r>
        <w:rPr>
          <w:b/>
          <w:w w:val="110"/>
          <w:sz w:val="18"/>
        </w:rPr>
        <w:t>th</w:t>
      </w:r>
      <w:r>
        <w:rPr>
          <w:b/>
          <w:spacing w:val="40"/>
          <w:w w:val="110"/>
          <w:sz w:val="18"/>
        </w:rPr>
        <w:t> </w:t>
      </w:r>
      <w:r>
        <w:rPr>
          <w:b/>
          <w:w w:val="110"/>
          <w:sz w:val="18"/>
        </w:rPr>
        <w:t>[n</w:t>
      </w:r>
      <w:r>
        <w:rPr>
          <w:b/>
          <w:spacing w:val="3"/>
          <w:w w:val="110"/>
          <w:sz w:val="18"/>
        </w:rPr>
        <w:t> </w:t>
      </w:r>
      <w:r>
        <w:rPr>
          <w:b/>
          <w:w w:val="110"/>
          <w:sz w:val="18"/>
        </w:rPr>
        <w:t>m</w:t>
      </w:r>
      <w:r>
        <w:rPr>
          <w:b/>
          <w:spacing w:val="1"/>
          <w:w w:val="110"/>
          <w:sz w:val="18"/>
        </w:rPr>
        <w:t> </w:t>
      </w:r>
      <w:r>
        <w:rPr>
          <w:b/>
          <w:w w:val="110"/>
          <w:sz w:val="18"/>
        </w:rPr>
        <w:t>]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320" w:bottom="1260" w:left="1520" w:right="160"/>
          <w:cols w:num="2" w:equalWidth="0">
            <w:col w:w="1672" w:space="1832"/>
            <w:col w:w="672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Heading3"/>
        <w:spacing w:before="1"/>
        <w:ind w:left="1751"/>
      </w:pPr>
      <w:r>
        <w:rPr/>
        <w:t>Figure</w:t>
      </w:r>
      <w:r>
        <w:rPr>
          <w:spacing w:val="-3"/>
        </w:rPr>
        <w:t> </w:t>
      </w:r>
      <w:r>
        <w:rPr/>
        <w:t>4.20:</w:t>
      </w:r>
      <w:r>
        <w:rPr>
          <w:spacing w:val="-1"/>
        </w:rPr>
        <w:t> </w:t>
      </w:r>
      <w:r>
        <w:rPr/>
        <w:t>Overlay</w:t>
      </w:r>
      <w:r>
        <w:rPr>
          <w:spacing w:val="-1"/>
        </w:rPr>
        <w:t> </w:t>
      </w:r>
      <w:r>
        <w:rPr/>
        <w:t>CD</w:t>
      </w:r>
      <w:r>
        <w:rPr>
          <w:spacing w:val="-2"/>
        </w:rPr>
        <w:t> </w:t>
      </w:r>
      <w:r>
        <w:rPr/>
        <w:t>spectra</w:t>
      </w:r>
      <w:r>
        <w:rPr>
          <w:spacing w:val="-1"/>
        </w:rPr>
        <w:t> </w:t>
      </w:r>
      <w:r>
        <w:rPr/>
        <w:t>of GEL,</w:t>
      </w:r>
      <w:r>
        <w:rPr>
          <w:spacing w:val="-2"/>
        </w:rPr>
        <w:t> </w:t>
      </w:r>
      <w:r>
        <w:rPr/>
        <w:t>SGS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F-SGS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92"/>
        <w:ind w:left="465"/>
      </w:pPr>
      <w:r>
        <w:rPr/>
        <w:t>Key:-</w:t>
      </w:r>
    </w:p>
    <w:p>
      <w:pPr>
        <w:pStyle w:val="BodyText"/>
        <w:spacing w:line="412" w:lineRule="auto" w:before="201"/>
        <w:ind w:left="465" w:right="8084"/>
      </w:pPr>
      <w:r>
        <w:rPr/>
        <w:t>GEL: Gelatin</w:t>
      </w:r>
      <w:r>
        <w:rPr>
          <w:spacing w:val="1"/>
        </w:rPr>
        <w:t> </w:t>
      </w:r>
      <w:r>
        <w:rPr/>
        <w:t>SGS:</w:t>
      </w:r>
      <w:r>
        <w:rPr>
          <w:spacing w:val="-13"/>
        </w:rPr>
        <w:t> </w:t>
      </w:r>
      <w:r>
        <w:rPr/>
        <w:t>StarGelaSil</w:t>
      </w:r>
    </w:p>
    <w:p>
      <w:pPr>
        <w:pStyle w:val="BodyText"/>
        <w:spacing w:before="1"/>
        <w:ind w:left="465"/>
      </w:pPr>
      <w:r>
        <w:rPr/>
        <w:t>F-SGS:</w:t>
      </w:r>
      <w:r>
        <w:rPr>
          <w:spacing w:val="-3"/>
        </w:rPr>
        <w:t> </w:t>
      </w:r>
      <w:r>
        <w:rPr/>
        <w:t>StarGelaSil</w:t>
      </w:r>
      <w:r>
        <w:rPr>
          <w:spacing w:val="-2"/>
        </w:rPr>
        <w:t> </w:t>
      </w:r>
      <w:r>
        <w:rPr/>
        <w:t>prepared</w:t>
      </w:r>
      <w:r>
        <w:rPr>
          <w:spacing w:val="-3"/>
        </w:rPr>
        <w:t> </w:t>
      </w:r>
      <w:r>
        <w:rPr/>
        <w:t>with gelatin</w:t>
      </w:r>
      <w:r>
        <w:rPr>
          <w:spacing w:val="-2"/>
        </w:rPr>
        <w:t> </w:t>
      </w:r>
      <w:r>
        <w:rPr/>
        <w:t>stained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fluoroisothiocyanate</w:t>
      </w:r>
      <w:r>
        <w:rPr>
          <w:spacing w:val="-3"/>
        </w:rPr>
        <w:t> </w:t>
      </w:r>
      <w:r>
        <w:rPr/>
        <w:t>(FITC)</w:t>
      </w:r>
    </w:p>
    <w:p>
      <w:pPr>
        <w:spacing w:after="0"/>
        <w:sectPr>
          <w:type w:val="continuous"/>
          <w:pgSz w:w="11910" w:h="16840"/>
          <w:pgMar w:top="1320" w:bottom="1260" w:left="1520" w:right="160"/>
        </w:sectPr>
      </w:pPr>
    </w:p>
    <w:p>
      <w:pPr>
        <w:pStyle w:val="Heading3"/>
        <w:numPr>
          <w:ilvl w:val="1"/>
          <w:numId w:val="20"/>
        </w:numPr>
        <w:tabs>
          <w:tab w:pos="1185" w:val="left" w:leader="none"/>
          <w:tab w:pos="1186" w:val="left" w:leader="none"/>
        </w:tabs>
        <w:spacing w:line="240" w:lineRule="auto" w:before="76" w:after="0"/>
        <w:ind w:left="1185" w:right="0" w:hanging="721"/>
        <w:jc w:val="left"/>
      </w:pPr>
      <w:bookmarkStart w:name="_TOC_250026" w:id="80"/>
      <w:r>
        <w:rPr/>
        <w:t>Physicomechanical</w:t>
      </w:r>
      <w:r>
        <w:rPr>
          <w:spacing w:val="-4"/>
        </w:rPr>
        <w:t> </w:t>
      </w:r>
      <w:bookmarkEnd w:id="80"/>
      <w:r>
        <w:rPr/>
        <w:t>Properties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1"/>
        <w:jc w:val="both"/>
      </w:pPr>
      <w:r>
        <w:rPr/>
        <w:t>The results of the physicomechanical properties are presented in Table 4.9. The flow</w:t>
      </w:r>
      <w:r>
        <w:rPr>
          <w:spacing w:val="1"/>
        </w:rPr>
        <w:t> </w:t>
      </w:r>
      <w:r>
        <w:rPr/>
        <w:t>properties estimated by measuring the angle of repose ranged from 21.6 – 27.1 ° with</w:t>
      </w:r>
      <w:r>
        <w:rPr>
          <w:spacing w:val="1"/>
        </w:rPr>
        <w:t> </w:t>
      </w:r>
      <w:r>
        <w:rPr/>
        <w:t>SGS</w:t>
      </w:r>
      <w:r>
        <w:rPr>
          <w:spacing w:val="28"/>
        </w:rPr>
        <w:t> </w:t>
      </w:r>
      <w:r>
        <w:rPr/>
        <w:t>having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least</w:t>
      </w:r>
      <w:r>
        <w:rPr>
          <w:spacing w:val="28"/>
        </w:rPr>
        <w:t> </w:t>
      </w:r>
      <w:r>
        <w:rPr/>
        <w:t>value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21.6</w:t>
      </w:r>
      <w:r>
        <w:rPr>
          <w:spacing w:val="30"/>
        </w:rPr>
        <w:t> </w:t>
      </w:r>
      <w:r>
        <w:rPr/>
        <w:t>°.</w:t>
      </w:r>
      <w:r>
        <w:rPr>
          <w:spacing w:val="25"/>
        </w:rPr>
        <w:t> </w:t>
      </w:r>
      <w:r>
        <w:rPr/>
        <w:t>Compared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CS</w:t>
      </w:r>
      <w:r>
        <w:rPr>
          <w:spacing w:val="28"/>
        </w:rPr>
        <w:t> </w:t>
      </w:r>
      <w:r>
        <w:rPr/>
        <w:t>and</w:t>
      </w:r>
      <w:r>
        <w:rPr>
          <w:spacing w:val="25"/>
        </w:rPr>
        <w:t> </w:t>
      </w:r>
      <w:r>
        <w:rPr/>
        <w:t>SGS-PM,</w:t>
      </w:r>
      <w:r>
        <w:rPr>
          <w:spacing w:val="27"/>
        </w:rPr>
        <w:t> </w:t>
      </w:r>
      <w:r>
        <w:rPr/>
        <w:t>flow</w:t>
      </w:r>
      <w:r>
        <w:rPr>
          <w:spacing w:val="27"/>
        </w:rPr>
        <w:t> </w:t>
      </w:r>
      <w:r>
        <w:rPr/>
        <w:t>behaviour</w:t>
      </w:r>
      <w:r>
        <w:rPr>
          <w:spacing w:val="-57"/>
        </w:rPr>
        <w:t> </w:t>
      </w:r>
      <w:r>
        <w:rPr/>
        <w:t>was enhanced as a result of co-processing. This was well correlated with the values</w:t>
      </w:r>
      <w:r>
        <w:rPr>
          <w:spacing w:val="1"/>
        </w:rPr>
        <w:t> </w:t>
      </w:r>
      <w:r>
        <w:rPr/>
        <w:t>obtained for CI and HR in the following order, SLC &lt; PSV &lt; SGS for CI and HR</w:t>
      </w:r>
      <w:r>
        <w:rPr>
          <w:spacing w:val="1"/>
        </w:rPr>
        <w:t> </w:t>
      </w:r>
      <w:r>
        <w:rPr/>
        <w:t>respectively. Again, comparing the values obtained with SGS to CS and SGS-PM, there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an improvement in flow properties.</w:t>
      </w:r>
    </w:p>
    <w:p>
      <w:pPr>
        <w:pStyle w:val="BodyText"/>
        <w:spacing w:line="480" w:lineRule="auto" w:before="121"/>
        <w:ind w:left="465" w:right="1257"/>
        <w:jc w:val="both"/>
      </w:pPr>
      <w:r>
        <w:rPr/>
        <w:t>True density values recorded ranged from 1.45 – 1.57 g/cm</w:t>
      </w:r>
      <w:r>
        <w:rPr>
          <w:vertAlign w:val="superscript"/>
        </w:rPr>
        <w:t>3</w:t>
      </w:r>
      <w:r>
        <w:rPr>
          <w:vertAlign w:val="baseline"/>
        </w:rPr>
        <w:t> with SGS having a lesser</w:t>
      </w:r>
      <w:r>
        <w:rPr>
          <w:spacing w:val="1"/>
          <w:vertAlign w:val="baseline"/>
        </w:rPr>
        <w:t> </w:t>
      </w:r>
      <w:r>
        <w:rPr>
          <w:vertAlign w:val="baseline"/>
        </w:rPr>
        <w:t>value compared to CS. The pH values were tending to neutral for all</w:t>
      </w:r>
      <w:r>
        <w:rPr>
          <w:spacing w:val="60"/>
          <w:vertAlign w:val="baseline"/>
        </w:rPr>
        <w:t> </w:t>
      </w:r>
      <w:r>
        <w:rPr>
          <w:vertAlign w:val="baseline"/>
        </w:rPr>
        <w:t>the materials</w:t>
      </w:r>
      <w:r>
        <w:rPr>
          <w:spacing w:val="1"/>
          <w:vertAlign w:val="baseline"/>
        </w:rPr>
        <w:t> </w:t>
      </w:r>
      <w:r>
        <w:rPr>
          <w:vertAlign w:val="baseline"/>
        </w:rPr>
        <w:t>except for</w:t>
      </w:r>
      <w:r>
        <w:rPr>
          <w:spacing w:val="-1"/>
          <w:vertAlign w:val="baseline"/>
        </w:rPr>
        <w:t> </w:t>
      </w:r>
      <w:r>
        <w:rPr>
          <w:vertAlign w:val="baseline"/>
        </w:rPr>
        <w:t>SGS</w:t>
      </w:r>
      <w:r>
        <w:rPr>
          <w:spacing w:val="-1"/>
          <w:vertAlign w:val="baseline"/>
        </w:rPr>
        <w:t> </w:t>
      </w:r>
      <w:r>
        <w:rPr>
          <w:vertAlign w:val="baseline"/>
        </w:rPr>
        <w:t>which was weakly</w:t>
      </w:r>
      <w:r>
        <w:rPr>
          <w:spacing w:val="-5"/>
          <w:vertAlign w:val="baseline"/>
        </w:rPr>
        <w:t> </w:t>
      </w:r>
      <w:r>
        <w:rPr>
          <w:vertAlign w:val="baseline"/>
        </w:rPr>
        <w:t>acidic</w:t>
      </w:r>
      <w:r>
        <w:rPr>
          <w:spacing w:val="1"/>
          <w:vertAlign w:val="baseline"/>
        </w:rPr>
        <w:t> </w:t>
      </w:r>
      <w:r>
        <w:rPr>
          <w:vertAlign w:val="baseline"/>
        </w:rPr>
        <w:t>(pH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5.5).</w:t>
      </w:r>
    </w:p>
    <w:p>
      <w:pPr>
        <w:pStyle w:val="BodyText"/>
        <w:spacing w:line="480" w:lineRule="auto" w:before="120"/>
        <w:ind w:left="465" w:right="1254"/>
        <w:jc w:val="both"/>
      </w:pPr>
      <w:r>
        <w:rPr/>
        <w:t>The data collected on swelling index shows a marginal increase in swelling of SGS over</w:t>
      </w:r>
      <w:r>
        <w:rPr>
          <w:spacing w:val="-57"/>
        </w:rPr>
        <w:t> </w:t>
      </w:r>
      <w:r>
        <w:rPr/>
        <w:t>CS, probably due to the presence of gelatin in the starch matrix. The cellulose derived</w:t>
      </w:r>
      <w:r>
        <w:rPr>
          <w:spacing w:val="1"/>
        </w:rPr>
        <w:t> </w:t>
      </w:r>
      <w:r>
        <w:rPr/>
        <w:t>co-processed excipient (PSV) exhibited the highest degree of swelling while SLC did</w:t>
      </w:r>
      <w:r>
        <w:rPr>
          <w:spacing w:val="1"/>
        </w:rPr>
        <w:t> </w:t>
      </w:r>
      <w:r>
        <w:rPr/>
        <w:t>not swell due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solubility</w:t>
      </w:r>
      <w:r>
        <w:rPr>
          <w:spacing w:val="-8"/>
        </w:rPr>
        <w:t> </w:t>
      </w:r>
      <w:r>
        <w:rPr/>
        <w:t>of lactose in water.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ind w:left="465"/>
      </w:pPr>
      <w:r>
        <w:rPr/>
        <w:pict>
          <v:shape style="position:absolute;margin-left:93.414001pt;margin-top:23.783148pt;width:436.55pt;height:331.15pt;mso-position-horizontal-relative:page;mso-position-vertical-relative:paragraph;z-index:158940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2"/>
                    <w:gridCol w:w="1494"/>
                    <w:gridCol w:w="1375"/>
                    <w:gridCol w:w="1532"/>
                    <w:gridCol w:w="1415"/>
                    <w:gridCol w:w="1454"/>
                  </w:tblGrid>
                  <w:tr>
                    <w:trPr>
                      <w:trHeight w:val="253" w:hRule="atLeast"/>
                    </w:trPr>
                    <w:tc>
                      <w:tcPr>
                        <w:tcW w:w="1462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94" w:type="dxa"/>
                        <w:tcBorders>
                          <w:top w:val="single" w:sz="12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75" w:type="dxa"/>
                        <w:tcBorders>
                          <w:top w:val="single" w:sz="12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32" w:type="dxa"/>
                        <w:tcBorders>
                          <w:top w:val="single" w:sz="12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33" w:lineRule="exact"/>
                          <w:ind w:left="180" w:right="182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Material</w:t>
                        </w:r>
                      </w:p>
                    </w:tc>
                    <w:tc>
                      <w:tcPr>
                        <w:tcW w:w="1415" w:type="dxa"/>
                        <w:tcBorders>
                          <w:top w:val="single" w:sz="12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54" w:type="dxa"/>
                        <w:tcBorders>
                          <w:top w:val="single" w:sz="12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1462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113" w:right="104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Parameters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single" w:sz="8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140" w:right="181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CS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8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181" w:right="181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SGS</w:t>
                        </w:r>
                      </w:p>
                    </w:tc>
                    <w:tc>
                      <w:tcPr>
                        <w:tcW w:w="1532" w:type="dxa"/>
                        <w:tcBorders>
                          <w:top w:val="single" w:sz="8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178" w:right="182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SGS-PM</w:t>
                        </w:r>
                      </w:p>
                    </w:tc>
                    <w:tc>
                      <w:tcPr>
                        <w:tcW w:w="1415" w:type="dxa"/>
                        <w:tcBorders>
                          <w:top w:val="single" w:sz="8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180" w:right="221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PSV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8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219" w:right="221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SLC</w:t>
                        </w:r>
                      </w:p>
                    </w:tc>
                  </w:tr>
                  <w:tr>
                    <w:trPr>
                      <w:trHeight w:val="570" w:hRule="atLeast"/>
                    </w:trPr>
                    <w:tc>
                      <w:tcPr>
                        <w:tcW w:w="1462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ind w:left="284" w:right="270" w:firstLine="55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Angle of</w:t>
                        </w:r>
                        <w:r>
                          <w:rPr>
                            <w:b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repose</w:t>
                        </w:r>
                        <w:r>
                          <w:rPr>
                            <w:b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(°)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23"/>
                          <w:ind w:left="142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Not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passable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23"/>
                          <w:ind w:left="181" w:righ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21.6 (0.29)</w:t>
                        </w:r>
                      </w:p>
                    </w:tc>
                    <w:tc>
                      <w:tcPr>
                        <w:tcW w:w="1532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23"/>
                          <w:ind w:left="180" w:righ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Not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passable</w:t>
                        </w:r>
                      </w:p>
                    </w:tc>
                    <w:tc>
                      <w:tcPr>
                        <w:tcW w:w="1415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23"/>
                          <w:ind w:left="180" w:right="22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27.1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(0.1)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23"/>
                          <w:ind w:left="220" w:right="22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25.9 (0.25)</w:t>
                        </w:r>
                      </w:p>
                    </w:tc>
                  </w:tr>
                  <w:tr>
                    <w:trPr>
                      <w:trHeight w:val="626" w:hRule="atLeast"/>
                    </w:trPr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56"/>
                          <w:ind w:left="400" w:right="119" w:hanging="257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Bulk density</w:t>
                        </w:r>
                        <w:r>
                          <w:rPr>
                            <w:b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(g/cm</w:t>
                        </w:r>
                        <w:r>
                          <w:rPr>
                            <w:b/>
                            <w:sz w:val="22"/>
                            <w:vertAlign w:val="superscript"/>
                          </w:rPr>
                          <w:t>3</w:t>
                        </w:r>
                        <w:r>
                          <w:rPr>
                            <w:b/>
                            <w:sz w:val="22"/>
                            <w:vertAlign w:val="baseline"/>
                          </w:rPr>
                          <w:t>)</w:t>
                        </w: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76"/>
                          <w:ind w:left="142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0.51 (0.02)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before="176"/>
                          <w:ind w:left="181" w:righ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0.48 (0.01)</w:t>
                        </w:r>
                      </w:p>
                    </w:tc>
                    <w:tc>
                      <w:tcPr>
                        <w:tcW w:w="1532" w:type="dxa"/>
                      </w:tcPr>
                      <w:p>
                        <w:pPr>
                          <w:pStyle w:val="TableParagraph"/>
                          <w:spacing w:before="176"/>
                          <w:ind w:left="180" w:righ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0.54 (0.02)</w:t>
                        </w:r>
                      </w:p>
                    </w:tc>
                    <w:tc>
                      <w:tcPr>
                        <w:tcW w:w="1415" w:type="dxa"/>
                      </w:tcPr>
                      <w:p>
                        <w:pPr>
                          <w:pStyle w:val="TableParagraph"/>
                          <w:spacing w:before="176"/>
                          <w:ind w:left="180" w:right="22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0.48 (0.01)</w:t>
                        </w:r>
                      </w:p>
                    </w:tc>
                    <w:tc>
                      <w:tcPr>
                        <w:tcW w:w="1454" w:type="dxa"/>
                      </w:tcPr>
                      <w:p>
                        <w:pPr>
                          <w:pStyle w:val="TableParagraph"/>
                          <w:spacing w:before="176"/>
                          <w:ind w:left="220" w:right="22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0.64 (0.02)</w:t>
                        </w:r>
                      </w:p>
                    </w:tc>
                  </w:tr>
                  <w:tr>
                    <w:trPr>
                      <w:trHeight w:val="878" w:hRule="atLeast"/>
                    </w:trPr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56"/>
                          <w:ind w:left="397" w:right="363" w:hanging="24"/>
                          <w:jc w:val="both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Tapped</w:t>
                        </w:r>
                        <w:r>
                          <w:rPr>
                            <w:b/>
                            <w:spacing w:val="-5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density</w:t>
                        </w:r>
                        <w:r>
                          <w:rPr>
                            <w:b/>
                            <w:spacing w:val="-5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(g/m</w:t>
                        </w:r>
                        <w:r>
                          <w:rPr>
                            <w:b/>
                            <w:sz w:val="22"/>
                            <w:vertAlign w:val="superscript"/>
                          </w:rPr>
                          <w:t>3</w:t>
                        </w:r>
                        <w:r>
                          <w:rPr>
                            <w:b/>
                            <w:sz w:val="22"/>
                            <w:vertAlign w:val="baseline"/>
                          </w:rPr>
                          <w:t>)</w:t>
                        </w: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42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0.65 (0.02)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81" w:righ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0.57 (0.02)</w:t>
                        </w:r>
                      </w:p>
                    </w:tc>
                    <w:tc>
                      <w:tcPr>
                        <w:tcW w:w="1532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80" w:righ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0.70 (0.03)</w:t>
                        </w:r>
                      </w:p>
                    </w:tc>
                    <w:tc>
                      <w:tcPr>
                        <w:tcW w:w="1415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80" w:right="22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0.56 (0.00)</w:t>
                        </w:r>
                      </w:p>
                    </w:tc>
                    <w:tc>
                      <w:tcPr>
                        <w:tcW w:w="1454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20" w:right="22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0.71 (0.00)</w:t>
                        </w:r>
                      </w:p>
                    </w:tc>
                  </w:tr>
                  <w:tr>
                    <w:trPr>
                      <w:trHeight w:val="627" w:hRule="atLeast"/>
                    </w:trPr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56"/>
                          <w:ind w:left="551" w:right="112" w:hanging="41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Carr’s index</w:t>
                        </w:r>
                        <w:r>
                          <w:rPr>
                            <w:b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(%)</w:t>
                        </w: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78"/>
                          <w:ind w:left="139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(2.64)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before="178"/>
                          <w:ind w:left="181" w:righ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14.7 (2.34)</w:t>
                        </w:r>
                      </w:p>
                    </w:tc>
                    <w:tc>
                      <w:tcPr>
                        <w:tcW w:w="1532" w:type="dxa"/>
                      </w:tcPr>
                      <w:p>
                        <w:pPr>
                          <w:pStyle w:val="TableParagraph"/>
                          <w:spacing w:before="178"/>
                          <w:ind w:left="180" w:righ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23.2 (2.76)</w:t>
                        </w:r>
                      </w:p>
                    </w:tc>
                    <w:tc>
                      <w:tcPr>
                        <w:tcW w:w="1415" w:type="dxa"/>
                      </w:tcPr>
                      <w:p>
                        <w:pPr>
                          <w:pStyle w:val="TableParagraph"/>
                          <w:spacing w:before="178"/>
                          <w:ind w:left="180" w:right="22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12.9 (2.47)</w:t>
                        </w:r>
                      </w:p>
                    </w:tc>
                    <w:tc>
                      <w:tcPr>
                        <w:tcW w:w="1454" w:type="dxa"/>
                      </w:tcPr>
                      <w:p>
                        <w:pPr>
                          <w:pStyle w:val="TableParagraph"/>
                          <w:spacing w:before="178"/>
                          <w:ind w:left="220" w:right="22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10.6 (3.37)</w:t>
                        </w:r>
                      </w:p>
                    </w:tc>
                  </w:tr>
                  <w:tr>
                    <w:trPr>
                      <w:trHeight w:val="622" w:hRule="atLeast"/>
                    </w:trPr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56"/>
                          <w:ind w:left="508" w:right="225" w:hanging="257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Hausner’s</w:t>
                        </w:r>
                        <w:r>
                          <w:rPr>
                            <w:b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ratio</w:t>
                        </w: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76"/>
                          <w:ind w:left="142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1.28 (0.04)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before="176"/>
                          <w:ind w:left="181" w:righ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1.17 (0.03)</w:t>
                        </w:r>
                      </w:p>
                    </w:tc>
                    <w:tc>
                      <w:tcPr>
                        <w:tcW w:w="1532" w:type="dxa"/>
                      </w:tcPr>
                      <w:p>
                        <w:pPr>
                          <w:pStyle w:val="TableParagraph"/>
                          <w:spacing w:before="176"/>
                          <w:ind w:left="180" w:righ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1.30 (0.05)</w:t>
                        </w:r>
                      </w:p>
                    </w:tc>
                    <w:tc>
                      <w:tcPr>
                        <w:tcW w:w="1415" w:type="dxa"/>
                      </w:tcPr>
                      <w:p>
                        <w:pPr>
                          <w:pStyle w:val="TableParagraph"/>
                          <w:spacing w:before="176"/>
                          <w:ind w:left="180" w:right="22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1.15 (0.03)</w:t>
                        </w:r>
                      </w:p>
                    </w:tc>
                    <w:tc>
                      <w:tcPr>
                        <w:tcW w:w="1454" w:type="dxa"/>
                      </w:tcPr>
                      <w:p>
                        <w:pPr>
                          <w:pStyle w:val="TableParagraph"/>
                          <w:spacing w:before="176"/>
                          <w:ind w:left="220" w:right="22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1.12 (0.04)</w:t>
                        </w:r>
                      </w:p>
                    </w:tc>
                  </w:tr>
                  <w:tr>
                    <w:trPr>
                      <w:trHeight w:val="373" w:hRule="atLeast"/>
                    </w:trPr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57"/>
                          <w:ind w:left="113" w:right="109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Porosity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(%)</w:t>
                        </w: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52"/>
                          <w:ind w:left="14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66.5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before="52"/>
                          <w:ind w:left="181" w:righ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66.6</w:t>
                        </w:r>
                      </w:p>
                    </w:tc>
                    <w:tc>
                      <w:tcPr>
                        <w:tcW w:w="1532" w:type="dxa"/>
                      </w:tcPr>
                      <w:p>
                        <w:pPr>
                          <w:pStyle w:val="TableParagraph"/>
                          <w:spacing w:before="52"/>
                          <w:ind w:left="179" w:righ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63.3</w:t>
                        </w:r>
                      </w:p>
                    </w:tc>
                    <w:tc>
                      <w:tcPr>
                        <w:tcW w:w="1415" w:type="dxa"/>
                      </w:tcPr>
                      <w:p>
                        <w:pPr>
                          <w:pStyle w:val="TableParagraph"/>
                          <w:spacing w:before="52"/>
                          <w:ind w:left="178" w:right="22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69.4</w:t>
                        </w:r>
                      </w:p>
                    </w:tc>
                    <w:tc>
                      <w:tcPr>
                        <w:tcW w:w="1454" w:type="dxa"/>
                      </w:tcPr>
                      <w:p>
                        <w:pPr>
                          <w:pStyle w:val="TableParagraph"/>
                          <w:spacing w:before="52"/>
                          <w:ind w:left="220" w:right="22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59.3</w:t>
                        </w:r>
                      </w:p>
                    </w:tc>
                  </w:tr>
                  <w:tr>
                    <w:trPr>
                      <w:trHeight w:val="375" w:hRule="atLeast"/>
                    </w:trPr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58"/>
                          <w:ind w:left="113" w:right="104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True density</w:t>
                        </w: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54"/>
                          <w:ind w:left="142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1.52 (0.02)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before="54"/>
                          <w:ind w:left="181" w:righ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1.45 (0.02)</w:t>
                        </w:r>
                      </w:p>
                    </w:tc>
                    <w:tc>
                      <w:tcPr>
                        <w:tcW w:w="1532" w:type="dxa"/>
                      </w:tcPr>
                      <w:p>
                        <w:pPr>
                          <w:pStyle w:val="TableParagraph"/>
                          <w:spacing w:before="54"/>
                          <w:ind w:left="180" w:righ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1.46 (0.01)</w:t>
                        </w:r>
                      </w:p>
                    </w:tc>
                    <w:tc>
                      <w:tcPr>
                        <w:tcW w:w="1415" w:type="dxa"/>
                      </w:tcPr>
                      <w:p>
                        <w:pPr>
                          <w:pStyle w:val="TableParagraph"/>
                          <w:spacing w:before="54"/>
                          <w:ind w:left="180" w:right="22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1.58 (0.01)</w:t>
                        </w:r>
                      </w:p>
                    </w:tc>
                    <w:tc>
                      <w:tcPr>
                        <w:tcW w:w="1454" w:type="dxa"/>
                      </w:tcPr>
                      <w:p>
                        <w:pPr>
                          <w:pStyle w:val="TableParagraph"/>
                          <w:spacing w:before="54"/>
                          <w:ind w:left="220" w:right="22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1.57 (0.02)</w:t>
                        </w:r>
                      </w:p>
                    </w:tc>
                  </w:tr>
                  <w:tr>
                    <w:trPr>
                      <w:trHeight w:val="623" w:hRule="atLeast"/>
                    </w:trPr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55"/>
                          <w:ind w:left="265" w:right="255" w:firstLine="6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Swelling</w:t>
                        </w:r>
                        <w:r>
                          <w:rPr>
                            <w:b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index</w:t>
                        </w:r>
                        <w:r>
                          <w:rPr>
                            <w:b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(%)</w:t>
                        </w: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77"/>
                          <w:ind w:left="14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7.14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before="177"/>
                          <w:ind w:left="181" w:righ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9.09</w:t>
                        </w:r>
                      </w:p>
                    </w:tc>
                    <w:tc>
                      <w:tcPr>
                        <w:tcW w:w="1532" w:type="dxa"/>
                      </w:tcPr>
                      <w:p>
                        <w:pPr>
                          <w:pStyle w:val="TableParagraph"/>
                          <w:spacing w:before="177"/>
                          <w:ind w:left="177" w:righ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ND</w:t>
                        </w:r>
                      </w:p>
                    </w:tc>
                    <w:tc>
                      <w:tcPr>
                        <w:tcW w:w="1415" w:type="dxa"/>
                      </w:tcPr>
                      <w:p>
                        <w:pPr>
                          <w:pStyle w:val="TableParagraph"/>
                          <w:spacing w:before="177"/>
                          <w:ind w:left="176" w:right="22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55</w:t>
                        </w:r>
                      </w:p>
                    </w:tc>
                    <w:tc>
                      <w:tcPr>
                        <w:tcW w:w="1454" w:type="dxa"/>
                      </w:tcPr>
                      <w:p>
                        <w:pPr>
                          <w:pStyle w:val="TableParagraph"/>
                          <w:spacing w:before="177"/>
                          <w:ind w:left="219" w:right="22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-16.7</w:t>
                        </w:r>
                      </w:p>
                    </w:tc>
                  </w:tr>
                  <w:tr>
                    <w:trPr>
                      <w:trHeight w:val="374" w:hRule="atLeast"/>
                    </w:trPr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57"/>
                          <w:ind w:left="113" w:right="107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pH</w:t>
                        </w: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52"/>
                          <w:ind w:left="142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6.4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(0.01)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before="52"/>
                          <w:ind w:left="181" w:righ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5.5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(0.01)</w:t>
                        </w:r>
                      </w:p>
                    </w:tc>
                    <w:tc>
                      <w:tcPr>
                        <w:tcW w:w="1532" w:type="dxa"/>
                      </w:tcPr>
                      <w:p>
                        <w:pPr>
                          <w:pStyle w:val="TableParagraph"/>
                          <w:spacing w:before="52"/>
                          <w:ind w:left="177" w:righ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ND</w:t>
                        </w:r>
                      </w:p>
                    </w:tc>
                    <w:tc>
                      <w:tcPr>
                        <w:tcW w:w="1415" w:type="dxa"/>
                      </w:tcPr>
                      <w:p>
                        <w:pPr>
                          <w:pStyle w:val="TableParagraph"/>
                          <w:spacing w:before="52"/>
                          <w:ind w:left="180" w:right="22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6.6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(0.02)</w:t>
                        </w:r>
                      </w:p>
                    </w:tc>
                    <w:tc>
                      <w:tcPr>
                        <w:tcW w:w="1454" w:type="dxa"/>
                      </w:tcPr>
                      <w:p>
                        <w:pPr>
                          <w:pStyle w:val="TableParagraph"/>
                          <w:spacing w:before="52"/>
                          <w:ind w:left="220" w:right="22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6.5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(0.01)</w:t>
                        </w:r>
                      </w:p>
                    </w:tc>
                  </w:tr>
                  <w:tr>
                    <w:trPr>
                      <w:trHeight w:val="937" w:hRule="atLeast"/>
                    </w:trPr>
                    <w:tc>
                      <w:tcPr>
                        <w:tcW w:w="1462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91" w:right="184" w:firstLine="2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Effective</w:t>
                        </w:r>
                        <w:r>
                          <w:rPr>
                            <w:b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pore radius</w:t>
                        </w:r>
                        <w:r>
                          <w:rPr>
                            <w:b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(μm)</w:t>
                        </w:r>
                      </w:p>
                    </w:tc>
                    <w:tc>
                      <w:tcPr>
                        <w:tcW w:w="149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41" w:right="18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4.59</w:t>
                        </w:r>
                      </w:p>
                    </w:tc>
                    <w:tc>
                      <w:tcPr>
                        <w:tcW w:w="1375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81" w:righ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5.23</w:t>
                        </w:r>
                      </w:p>
                    </w:tc>
                    <w:tc>
                      <w:tcPr>
                        <w:tcW w:w="1532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77" w:righ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ND</w:t>
                        </w:r>
                      </w:p>
                    </w:tc>
                    <w:tc>
                      <w:tcPr>
                        <w:tcW w:w="1415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78" w:right="22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5.54</w:t>
                        </w:r>
                      </w:p>
                    </w:tc>
                    <w:tc>
                      <w:tcPr>
                        <w:tcW w:w="145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20" w:right="22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4.76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4.9:</w:t>
      </w:r>
      <w:r>
        <w:rPr>
          <w:spacing w:val="-2"/>
        </w:rPr>
        <w:t> </w:t>
      </w:r>
      <w:r>
        <w:rPr/>
        <w:t>Physicomechanical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CS,</w:t>
      </w:r>
      <w:r>
        <w:rPr>
          <w:spacing w:val="-2"/>
        </w:rPr>
        <w:t> </w:t>
      </w:r>
      <w:r>
        <w:rPr/>
        <w:t>SGS,</w:t>
      </w:r>
      <w:r>
        <w:rPr>
          <w:spacing w:val="-2"/>
        </w:rPr>
        <w:t> </w:t>
      </w:r>
      <w:r>
        <w:rPr/>
        <w:t>SGS-PM,</w:t>
      </w:r>
      <w:r>
        <w:rPr>
          <w:spacing w:val="1"/>
        </w:rPr>
        <w:t> </w:t>
      </w:r>
      <w:r>
        <w:rPr/>
        <w:t>PSV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SLC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1185" w:val="left" w:leader="none"/>
        </w:tabs>
        <w:spacing w:line="670" w:lineRule="atLeast" w:before="186"/>
        <w:ind w:left="465" w:right="7542"/>
      </w:pPr>
      <w:r>
        <w:rPr/>
        <w:t>ND</w:t>
        <w:tab/>
        <w:t>Not determined</w:t>
      </w:r>
      <w:r>
        <w:rPr>
          <w:spacing w:val="-57"/>
        </w:rPr>
        <w:t> </w:t>
      </w:r>
      <w:r>
        <w:rPr/>
        <w:t>Key:-</w:t>
      </w:r>
    </w:p>
    <w:p>
      <w:pPr>
        <w:pStyle w:val="BodyText"/>
        <w:spacing w:line="343" w:lineRule="auto" w:before="122"/>
        <w:ind w:left="465" w:right="7865"/>
      </w:pPr>
      <w:r>
        <w:rPr/>
        <w:t>CS: Cassava Starch</w:t>
      </w:r>
      <w:r>
        <w:rPr>
          <w:spacing w:val="-57"/>
        </w:rPr>
        <w:t> </w:t>
      </w:r>
      <w:r>
        <w:rPr/>
        <w:t>SGS:</w:t>
      </w:r>
      <w:r>
        <w:rPr>
          <w:spacing w:val="-1"/>
        </w:rPr>
        <w:t> </w:t>
      </w:r>
      <w:r>
        <w:rPr/>
        <w:t>StarGelaSil</w:t>
      </w:r>
    </w:p>
    <w:p>
      <w:pPr>
        <w:pStyle w:val="BodyText"/>
        <w:spacing w:line="343" w:lineRule="auto" w:before="3"/>
        <w:ind w:left="465" w:right="5978"/>
      </w:pPr>
      <w:r>
        <w:rPr/>
        <w:t>SGS-PM: StarGelaSil physical mixture</w:t>
      </w:r>
      <w:r>
        <w:rPr>
          <w:spacing w:val="-57"/>
        </w:rPr>
        <w:t> </w:t>
      </w:r>
      <w:r>
        <w:rPr/>
        <w:t>PSV: Prosolv</w:t>
      </w:r>
      <w:r>
        <w:rPr>
          <w:vertAlign w:val="superscript"/>
        </w:rPr>
        <w:t>®</w:t>
      </w:r>
    </w:p>
    <w:p>
      <w:pPr>
        <w:pStyle w:val="BodyText"/>
        <w:spacing w:before="3"/>
        <w:ind w:left="465"/>
      </w:pPr>
      <w:r>
        <w:rPr/>
        <w:t>SLC:</w:t>
      </w:r>
      <w:r>
        <w:rPr>
          <w:spacing w:val="-2"/>
        </w:rPr>
        <w:t> </w:t>
      </w:r>
      <w:r>
        <w:rPr/>
        <w:t>StarLac</w:t>
      </w:r>
      <w:r>
        <w:rPr>
          <w:vertAlign w:val="superscript"/>
        </w:rPr>
        <w:t>®</w:t>
      </w:r>
    </w:p>
    <w:p>
      <w:pPr>
        <w:spacing w:after="0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numPr>
          <w:ilvl w:val="1"/>
          <w:numId w:val="20"/>
        </w:numPr>
        <w:tabs>
          <w:tab w:pos="1185" w:val="left" w:leader="none"/>
          <w:tab w:pos="1186" w:val="left" w:leader="none"/>
        </w:tabs>
        <w:spacing w:line="240" w:lineRule="auto" w:before="76" w:after="0"/>
        <w:ind w:left="1185" w:right="0" w:hanging="721"/>
        <w:jc w:val="left"/>
      </w:pPr>
      <w:bookmarkStart w:name="_TOC_250025" w:id="81"/>
      <w:r>
        <w:rPr/>
        <w:t>Compaction</w:t>
      </w:r>
      <w:r>
        <w:rPr>
          <w:spacing w:val="-2"/>
        </w:rPr>
        <w:t> </w:t>
      </w:r>
      <w:bookmarkEnd w:id="81"/>
      <w:r>
        <w:rPr/>
        <w:t>Studies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3"/>
        <w:jc w:val="both"/>
      </w:pPr>
      <w:r>
        <w:rPr/>
        <w:t>The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SGS-PM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Heckel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Kawakita</w:t>
      </w:r>
      <w:r>
        <w:rPr>
          <w:spacing w:val="28"/>
        </w:rPr>
        <w:t> </w:t>
      </w:r>
      <w:r>
        <w:rPr/>
        <w:t>equations</w:t>
      </w:r>
      <w:r>
        <w:rPr>
          <w:spacing w:val="30"/>
        </w:rPr>
        <w:t> </w:t>
      </w:r>
      <w:r>
        <w:rPr/>
        <w:t>and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results</w:t>
      </w:r>
      <w:r>
        <w:rPr>
          <w:spacing w:val="29"/>
        </w:rPr>
        <w:t> </w:t>
      </w:r>
      <w:r>
        <w:rPr/>
        <w:t>obtained</w:t>
      </w:r>
      <w:r>
        <w:rPr>
          <w:spacing w:val="29"/>
        </w:rPr>
        <w:t> </w:t>
      </w:r>
      <w:r>
        <w:rPr/>
        <w:t>are</w:t>
      </w:r>
      <w:r>
        <w:rPr>
          <w:spacing w:val="30"/>
        </w:rPr>
        <w:t> </w:t>
      </w:r>
      <w:r>
        <w:rPr/>
        <w:t>presented</w:t>
      </w:r>
      <w:r>
        <w:rPr>
          <w:spacing w:val="28"/>
        </w:rPr>
        <w:t> </w:t>
      </w:r>
      <w:r>
        <w:rPr/>
        <w:t>on</w:t>
      </w:r>
      <w:r>
        <w:rPr>
          <w:spacing w:val="29"/>
        </w:rPr>
        <w:t> </w:t>
      </w:r>
      <w:r>
        <w:rPr/>
        <w:t>Table</w:t>
      </w:r>
      <w:r>
        <w:rPr>
          <w:spacing w:val="34"/>
        </w:rPr>
        <w:t> </w:t>
      </w:r>
      <w:r>
        <w:rPr/>
        <w:t>4.10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Figures</w:t>
      </w:r>
    </w:p>
    <w:p>
      <w:pPr>
        <w:pStyle w:val="BodyText"/>
        <w:ind w:left="465"/>
      </w:pPr>
      <w:r>
        <w:rPr/>
        <w:t>4.21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4.22</w:t>
      </w:r>
      <w:r>
        <w:rPr>
          <w:spacing w:val="-1"/>
        </w:rPr>
        <w:t> </w:t>
      </w:r>
      <w:r>
        <w:rPr/>
        <w:t>respectively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Heckel and</w:t>
      </w:r>
      <w:r>
        <w:rPr>
          <w:spacing w:val="-1"/>
        </w:rPr>
        <w:t> </w:t>
      </w:r>
      <w:r>
        <w:rPr/>
        <w:t>Kawakita plots.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465" w:right="1253"/>
        <w:jc w:val="both"/>
      </w:pPr>
      <w:r>
        <w:rPr/>
        <w:t>The material yield pressure, P</w:t>
      </w:r>
      <w:r>
        <w:rPr>
          <w:vertAlign w:val="subscript"/>
        </w:rPr>
        <w:t>Y</w:t>
      </w:r>
      <w:r>
        <w:rPr>
          <w:vertAlign w:val="baseline"/>
        </w:rPr>
        <w:t>, which is a reflection of the degree of plasticity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onset of plastic deformation, was extrapolated from Heckel plot using the reciprocal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slope,</w:t>
      </w:r>
      <w:r>
        <w:rPr>
          <w:spacing w:val="1"/>
          <w:vertAlign w:val="baseline"/>
        </w:rPr>
        <w:t> </w:t>
      </w:r>
      <w:r>
        <w:rPr>
          <w:vertAlign w:val="baseline"/>
        </w:rPr>
        <w:t>K.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revealed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SGS-PM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faster</w:t>
      </w:r>
      <w:r>
        <w:rPr>
          <w:spacing w:val="1"/>
          <w:vertAlign w:val="baseline"/>
        </w:rPr>
        <w:t> </w:t>
      </w:r>
      <w:r>
        <w:rPr>
          <w:vertAlign w:val="baseline"/>
        </w:rPr>
        <w:t>onset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deformation due to its lower yield pressure (83.77 MN/m</w:t>
      </w:r>
      <w:r>
        <w:rPr>
          <w:vertAlign w:val="superscript"/>
        </w:rPr>
        <w:t>2</w:t>
      </w:r>
      <w:r>
        <w:rPr>
          <w:vertAlign w:val="baseline"/>
        </w:rPr>
        <w:t>). However, greater degree of</w:t>
      </w:r>
      <w:r>
        <w:rPr>
          <w:spacing w:val="1"/>
          <w:vertAlign w:val="baseline"/>
        </w:rPr>
        <w:t> </w:t>
      </w:r>
      <w:r>
        <w:rPr>
          <w:vertAlign w:val="baseline"/>
        </w:rPr>
        <w:t>plastic deformation was obtained with SGS on the basis of D</w:t>
      </w:r>
      <w:r>
        <w:rPr>
          <w:vertAlign w:val="subscript"/>
        </w:rPr>
        <w:t>A</w:t>
      </w:r>
      <w:r>
        <w:rPr>
          <w:vertAlign w:val="baseline"/>
        </w:rPr>
        <w:t> (0.903). The extent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fragmentation occurring in SGS was greater than that of SGS-PM due to its higher D</w:t>
      </w:r>
      <w:r>
        <w:rPr>
          <w:vertAlign w:val="subscript"/>
        </w:rPr>
        <w:t>B</w:t>
      </w:r>
      <w:r>
        <w:rPr>
          <w:spacing w:val="1"/>
          <w:vertAlign w:val="baseline"/>
        </w:rPr>
        <w:t> </w:t>
      </w:r>
      <w:r>
        <w:rPr>
          <w:vertAlign w:val="baseline"/>
        </w:rPr>
        <w:t>value of</w:t>
      </w:r>
      <w:r>
        <w:rPr>
          <w:spacing w:val="-3"/>
          <w:vertAlign w:val="baseline"/>
        </w:rPr>
        <w:t> </w:t>
      </w:r>
      <w:r>
        <w:rPr>
          <w:vertAlign w:val="baseline"/>
        </w:rPr>
        <w:t>0.573.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ind w:left="465"/>
      </w:pPr>
      <w:r>
        <w:rPr/>
        <w:t>Table</w:t>
      </w:r>
      <w:r>
        <w:rPr>
          <w:spacing w:val="-2"/>
        </w:rPr>
        <w:t> </w:t>
      </w:r>
      <w:r>
        <w:rPr/>
        <w:t>4.10:</w:t>
      </w:r>
      <w:r>
        <w:rPr>
          <w:spacing w:val="-1"/>
        </w:rPr>
        <w:t> </w:t>
      </w:r>
      <w:r>
        <w:rPr/>
        <w:t>Heckel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Kawakita</w:t>
      </w:r>
      <w:r>
        <w:rPr>
          <w:spacing w:val="-2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SGS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SGS-PM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1018"/>
        <w:gridCol w:w="1418"/>
        <w:gridCol w:w="1094"/>
        <w:gridCol w:w="859"/>
        <w:gridCol w:w="1006"/>
        <w:gridCol w:w="1007"/>
        <w:gridCol w:w="1146"/>
      </w:tblGrid>
      <w:tr>
        <w:trPr>
          <w:trHeight w:val="580" w:hRule="atLeast"/>
        </w:trPr>
        <w:tc>
          <w:tcPr>
            <w:tcW w:w="8966" w:type="dxa"/>
            <w:gridSpan w:val="8"/>
            <w:tcBorders>
              <w:top w:val="single" w:sz="12" w:space="0" w:color="000000"/>
            </w:tcBorders>
          </w:tcPr>
          <w:p>
            <w:pPr>
              <w:pStyle w:val="TableParagraph"/>
              <w:spacing w:before="161"/>
              <w:ind w:left="4193"/>
              <w:rPr>
                <w:b/>
                <w:sz w:val="22"/>
              </w:rPr>
            </w:pPr>
            <w:r>
              <w:rPr>
                <w:b/>
                <w:sz w:val="22"/>
              </w:rPr>
              <w:t>Compaction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Analysis</w:t>
            </w:r>
          </w:p>
        </w:tc>
      </w:tr>
      <w:tr>
        <w:trPr>
          <w:trHeight w:val="580" w:hRule="atLeast"/>
        </w:trPr>
        <w:tc>
          <w:tcPr>
            <w:tcW w:w="8966" w:type="dxa"/>
            <w:gridSpan w:val="8"/>
            <w:tcBorders>
              <w:bottom w:val="single" w:sz="12" w:space="0" w:color="000000"/>
            </w:tcBorders>
          </w:tcPr>
          <w:p>
            <w:pPr>
              <w:pStyle w:val="TableParagraph"/>
              <w:spacing w:before="161"/>
              <w:ind w:left="4296"/>
              <w:rPr>
                <w:b/>
                <w:sz w:val="22"/>
              </w:rPr>
            </w:pPr>
            <w:r>
              <w:rPr>
                <w:b/>
                <w:sz w:val="22"/>
              </w:rPr>
              <w:t>Heckel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Parameters</w:t>
            </w:r>
          </w:p>
        </w:tc>
      </w:tr>
      <w:tr>
        <w:trPr>
          <w:trHeight w:val="903" w:hRule="atLeast"/>
        </w:trPr>
        <w:tc>
          <w:tcPr>
            <w:tcW w:w="141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Material</w:t>
            </w:r>
          </w:p>
        </w:tc>
        <w:tc>
          <w:tcPr>
            <w:tcW w:w="101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Slope</w:t>
            </w:r>
          </w:p>
        </w:tc>
        <w:tc>
          <w:tcPr>
            <w:tcW w:w="141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394"/>
              <w:rPr>
                <w:b/>
                <w:sz w:val="22"/>
              </w:rPr>
            </w:pPr>
            <w:r>
              <w:rPr>
                <w:b/>
                <w:sz w:val="22"/>
              </w:rPr>
              <w:t>Intercept</w:t>
            </w:r>
          </w:p>
        </w:tc>
        <w:tc>
          <w:tcPr>
            <w:tcW w:w="109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97"/>
              <w:ind w:left="157" w:right="89"/>
              <w:rPr>
                <w:b/>
                <w:sz w:val="22"/>
              </w:rPr>
            </w:pPr>
            <w:r>
              <w:rPr>
                <w:b/>
                <w:sz w:val="22"/>
              </w:rPr>
              <w:t>P</w:t>
            </w:r>
            <w:r>
              <w:rPr>
                <w:b/>
                <w:sz w:val="22"/>
                <w:vertAlign w:val="subscript"/>
              </w:rPr>
              <w:t>Y</w:t>
            </w:r>
            <w:r>
              <w:rPr>
                <w:b/>
                <w:spacing w:val="1"/>
                <w:sz w:val="22"/>
                <w:vertAlign w:val="baseline"/>
              </w:rPr>
              <w:t> </w:t>
            </w:r>
            <w:r>
              <w:rPr>
                <w:b/>
                <w:sz w:val="22"/>
                <w:vertAlign w:val="baseline"/>
              </w:rPr>
              <w:t>(MN/m</w:t>
            </w:r>
            <w:r>
              <w:rPr>
                <w:b/>
                <w:sz w:val="22"/>
                <w:vertAlign w:val="superscript"/>
              </w:rPr>
              <w:t>2</w:t>
            </w:r>
            <w:r>
              <w:rPr>
                <w:b/>
                <w:sz w:val="22"/>
                <w:vertAlign w:val="baseline"/>
              </w:rPr>
              <w:t>)</w:t>
            </w:r>
          </w:p>
        </w:tc>
        <w:tc>
          <w:tcPr>
            <w:tcW w:w="85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14"/>
              </w:rPr>
            </w:pPr>
            <w:r>
              <w:rPr>
                <w:b/>
                <w:position w:val="-9"/>
                <w:sz w:val="22"/>
              </w:rPr>
              <w:t>R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00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254"/>
              <w:rPr>
                <w:b/>
                <w:sz w:val="22"/>
              </w:rPr>
            </w:pPr>
            <w:r>
              <w:rPr>
                <w:b/>
                <w:sz w:val="22"/>
              </w:rPr>
              <w:t>D</w:t>
            </w:r>
            <w:r>
              <w:rPr>
                <w:b/>
                <w:sz w:val="22"/>
                <w:vertAlign w:val="subscript"/>
              </w:rPr>
              <w:t>A</w:t>
            </w:r>
          </w:p>
        </w:tc>
        <w:tc>
          <w:tcPr>
            <w:tcW w:w="100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254"/>
              <w:rPr>
                <w:b/>
                <w:sz w:val="22"/>
              </w:rPr>
            </w:pPr>
            <w:r>
              <w:rPr>
                <w:b/>
                <w:sz w:val="22"/>
              </w:rPr>
              <w:t>D</w:t>
            </w:r>
            <w:r>
              <w:rPr>
                <w:b/>
                <w:sz w:val="22"/>
                <w:vertAlign w:val="subscript"/>
              </w:rPr>
              <w:t>0</w:t>
            </w:r>
          </w:p>
        </w:tc>
        <w:tc>
          <w:tcPr>
            <w:tcW w:w="114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255"/>
              <w:rPr>
                <w:b/>
                <w:sz w:val="22"/>
              </w:rPr>
            </w:pPr>
            <w:r>
              <w:rPr>
                <w:b/>
                <w:sz w:val="22"/>
              </w:rPr>
              <w:t>D</w:t>
            </w:r>
            <w:r>
              <w:rPr>
                <w:b/>
                <w:sz w:val="22"/>
                <w:vertAlign w:val="subscript"/>
              </w:rPr>
              <w:t>B</w:t>
            </w:r>
          </w:p>
        </w:tc>
      </w:tr>
      <w:tr>
        <w:trPr>
          <w:trHeight w:val="526" w:hRule="atLeast"/>
        </w:trPr>
        <w:tc>
          <w:tcPr>
            <w:tcW w:w="141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3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SGS</w:t>
            </w:r>
          </w:p>
        </w:tc>
        <w:tc>
          <w:tcPr>
            <w:tcW w:w="101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99"/>
              <w:ind w:left="108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141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99"/>
              <w:ind w:left="394"/>
              <w:rPr>
                <w:sz w:val="22"/>
              </w:rPr>
            </w:pPr>
            <w:r>
              <w:rPr>
                <w:sz w:val="22"/>
              </w:rPr>
              <w:t>2.33</w:t>
            </w:r>
          </w:p>
        </w:tc>
        <w:tc>
          <w:tcPr>
            <w:tcW w:w="109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99"/>
              <w:ind w:left="157"/>
              <w:rPr>
                <w:sz w:val="22"/>
              </w:rPr>
            </w:pPr>
            <w:r>
              <w:rPr>
                <w:sz w:val="22"/>
              </w:rPr>
              <w:t>104.96</w:t>
            </w:r>
          </w:p>
        </w:tc>
        <w:tc>
          <w:tcPr>
            <w:tcW w:w="85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99"/>
              <w:ind w:left="107"/>
              <w:rPr>
                <w:sz w:val="22"/>
              </w:rPr>
            </w:pPr>
            <w:r>
              <w:rPr>
                <w:sz w:val="22"/>
              </w:rPr>
              <w:t>0.918</w:t>
            </w:r>
          </w:p>
        </w:tc>
        <w:tc>
          <w:tcPr>
            <w:tcW w:w="100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99"/>
              <w:ind w:left="254"/>
              <w:rPr>
                <w:sz w:val="22"/>
              </w:rPr>
            </w:pPr>
            <w:r>
              <w:rPr>
                <w:sz w:val="22"/>
              </w:rPr>
              <w:t>0.903</w:t>
            </w:r>
          </w:p>
        </w:tc>
        <w:tc>
          <w:tcPr>
            <w:tcW w:w="100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99"/>
              <w:ind w:left="254"/>
              <w:rPr>
                <w:sz w:val="22"/>
              </w:rPr>
            </w:pPr>
            <w:r>
              <w:rPr>
                <w:sz w:val="22"/>
              </w:rPr>
              <w:t>0.330</w:t>
            </w:r>
          </w:p>
        </w:tc>
        <w:tc>
          <w:tcPr>
            <w:tcW w:w="114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99"/>
              <w:ind w:left="255"/>
              <w:rPr>
                <w:sz w:val="22"/>
              </w:rPr>
            </w:pPr>
            <w:r>
              <w:rPr>
                <w:sz w:val="22"/>
              </w:rPr>
              <w:t>0.573</w:t>
            </w:r>
          </w:p>
        </w:tc>
      </w:tr>
      <w:tr>
        <w:trPr>
          <w:trHeight w:val="651" w:hRule="atLeast"/>
        </w:trPr>
        <w:tc>
          <w:tcPr>
            <w:tcW w:w="141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65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SGS-PM</w:t>
            </w:r>
          </w:p>
        </w:tc>
        <w:tc>
          <w:tcPr>
            <w:tcW w:w="101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60"/>
              <w:ind w:left="108"/>
              <w:rPr>
                <w:sz w:val="22"/>
              </w:rPr>
            </w:pPr>
            <w:r>
              <w:rPr>
                <w:sz w:val="22"/>
              </w:rPr>
              <w:t>0.012</w:t>
            </w: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60"/>
              <w:ind w:left="394"/>
              <w:rPr>
                <w:sz w:val="22"/>
              </w:rPr>
            </w:pPr>
            <w:r>
              <w:rPr>
                <w:sz w:val="22"/>
              </w:rPr>
              <w:t>1.50</w:t>
            </w:r>
          </w:p>
        </w:tc>
        <w:tc>
          <w:tcPr>
            <w:tcW w:w="109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60"/>
              <w:ind w:left="157"/>
              <w:rPr>
                <w:sz w:val="22"/>
              </w:rPr>
            </w:pPr>
            <w:r>
              <w:rPr>
                <w:sz w:val="22"/>
              </w:rPr>
              <w:t>83.77</w:t>
            </w:r>
          </w:p>
        </w:tc>
        <w:tc>
          <w:tcPr>
            <w:tcW w:w="85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60"/>
              <w:ind w:left="107"/>
              <w:rPr>
                <w:sz w:val="22"/>
              </w:rPr>
            </w:pPr>
            <w:r>
              <w:rPr>
                <w:sz w:val="22"/>
              </w:rPr>
              <w:t>0.994</w:t>
            </w:r>
          </w:p>
        </w:tc>
        <w:tc>
          <w:tcPr>
            <w:tcW w:w="100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60"/>
              <w:ind w:left="254"/>
              <w:rPr>
                <w:sz w:val="22"/>
              </w:rPr>
            </w:pPr>
            <w:r>
              <w:rPr>
                <w:sz w:val="22"/>
              </w:rPr>
              <w:t>0.776</w:t>
            </w:r>
          </w:p>
        </w:tc>
        <w:tc>
          <w:tcPr>
            <w:tcW w:w="100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60"/>
              <w:ind w:left="254"/>
              <w:rPr>
                <w:sz w:val="22"/>
              </w:rPr>
            </w:pPr>
            <w:r>
              <w:rPr>
                <w:sz w:val="22"/>
              </w:rPr>
              <w:t>0.369</w:t>
            </w:r>
          </w:p>
        </w:tc>
        <w:tc>
          <w:tcPr>
            <w:tcW w:w="114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60"/>
              <w:ind w:left="255"/>
              <w:rPr>
                <w:sz w:val="22"/>
              </w:rPr>
            </w:pPr>
            <w:r>
              <w:rPr>
                <w:sz w:val="22"/>
              </w:rPr>
              <w:t>0.407</w:t>
            </w:r>
          </w:p>
        </w:tc>
      </w:tr>
      <w:tr>
        <w:trPr>
          <w:trHeight w:val="579" w:hRule="atLeast"/>
        </w:trPr>
        <w:tc>
          <w:tcPr>
            <w:tcW w:w="8966" w:type="dxa"/>
            <w:gridSpan w:val="8"/>
            <w:tcBorders>
              <w:top w:val="single" w:sz="12" w:space="0" w:color="000000"/>
            </w:tcBorders>
          </w:tcPr>
          <w:p>
            <w:pPr>
              <w:pStyle w:val="TableParagraph"/>
              <w:spacing w:before="163"/>
              <w:ind w:left="4162"/>
              <w:rPr>
                <w:b/>
                <w:sz w:val="22"/>
              </w:rPr>
            </w:pPr>
            <w:r>
              <w:rPr>
                <w:b/>
                <w:sz w:val="22"/>
              </w:rPr>
              <w:t>Kawakita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Parameters</w:t>
            </w:r>
          </w:p>
        </w:tc>
      </w:tr>
      <w:tr>
        <w:trPr>
          <w:trHeight w:val="906" w:hRule="atLeast"/>
        </w:trPr>
        <w:tc>
          <w:tcPr>
            <w:tcW w:w="141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Material</w:t>
            </w:r>
          </w:p>
        </w:tc>
        <w:tc>
          <w:tcPr>
            <w:tcW w:w="1018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Slope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394"/>
              <w:rPr>
                <w:b/>
                <w:sz w:val="22"/>
              </w:rPr>
            </w:pPr>
            <w:r>
              <w:rPr>
                <w:b/>
                <w:sz w:val="22"/>
              </w:rPr>
              <w:t>Intercept</w:t>
            </w:r>
          </w:p>
        </w:tc>
        <w:tc>
          <w:tcPr>
            <w:tcW w:w="1094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57"/>
              <w:rPr>
                <w:b/>
                <w:sz w:val="14"/>
              </w:rPr>
            </w:pPr>
            <w:r>
              <w:rPr>
                <w:b/>
                <w:position w:val="-9"/>
                <w:sz w:val="22"/>
              </w:rPr>
              <w:t>R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859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w w:val="100"/>
                <w:sz w:val="22"/>
              </w:rPr>
              <w:t>a</w:t>
            </w:r>
          </w:p>
        </w:tc>
        <w:tc>
          <w:tcPr>
            <w:tcW w:w="1006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254"/>
              <w:rPr>
                <w:b/>
                <w:i/>
                <w:sz w:val="22"/>
              </w:rPr>
            </w:pPr>
            <w:r>
              <w:rPr>
                <w:b/>
                <w:i/>
                <w:w w:val="100"/>
                <w:sz w:val="22"/>
              </w:rPr>
              <w:t>b</w:t>
            </w:r>
          </w:p>
        </w:tc>
        <w:tc>
          <w:tcPr>
            <w:tcW w:w="1007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25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ab</w:t>
            </w:r>
          </w:p>
        </w:tc>
        <w:tc>
          <w:tcPr>
            <w:tcW w:w="1146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255"/>
              <w:rPr>
                <w:b/>
                <w:i/>
                <w:sz w:val="22"/>
              </w:rPr>
            </w:pPr>
            <w:r>
              <w:rPr>
                <w:b/>
                <w:sz w:val="22"/>
              </w:rPr>
              <w:t>1/</w:t>
            </w:r>
            <w:r>
              <w:rPr>
                <w:b/>
                <w:i/>
                <w:sz w:val="22"/>
              </w:rPr>
              <w:t>b </w:t>
            </w:r>
            <w:r>
              <w:rPr>
                <w:b/>
                <w:sz w:val="22"/>
              </w:rPr>
              <w:t>=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P</w:t>
            </w:r>
            <w:r>
              <w:rPr>
                <w:b/>
                <w:i/>
                <w:sz w:val="22"/>
                <w:vertAlign w:val="subscript"/>
              </w:rPr>
              <w:t>K</w:t>
            </w:r>
          </w:p>
        </w:tc>
      </w:tr>
      <w:tr>
        <w:trPr>
          <w:trHeight w:val="533" w:hRule="atLeast"/>
        </w:trPr>
        <w:tc>
          <w:tcPr>
            <w:tcW w:w="141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11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SGS</w:t>
            </w:r>
          </w:p>
        </w:tc>
        <w:tc>
          <w:tcPr>
            <w:tcW w:w="101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6"/>
              <w:ind w:left="108"/>
              <w:rPr>
                <w:sz w:val="22"/>
              </w:rPr>
            </w:pPr>
            <w:r>
              <w:rPr>
                <w:sz w:val="22"/>
              </w:rPr>
              <w:t>1.542</w:t>
            </w:r>
          </w:p>
        </w:tc>
        <w:tc>
          <w:tcPr>
            <w:tcW w:w="141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6"/>
              <w:ind w:left="394"/>
              <w:rPr>
                <w:sz w:val="22"/>
              </w:rPr>
            </w:pPr>
            <w:r>
              <w:rPr>
                <w:sz w:val="22"/>
              </w:rPr>
              <w:t>1.953</w:t>
            </w:r>
          </w:p>
        </w:tc>
        <w:tc>
          <w:tcPr>
            <w:tcW w:w="109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6"/>
              <w:ind w:left="157"/>
              <w:rPr>
                <w:sz w:val="22"/>
              </w:rPr>
            </w:pPr>
            <w:r>
              <w:rPr>
                <w:sz w:val="22"/>
              </w:rPr>
              <w:t>0.999</w:t>
            </w:r>
          </w:p>
        </w:tc>
        <w:tc>
          <w:tcPr>
            <w:tcW w:w="85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6"/>
              <w:ind w:left="107"/>
              <w:rPr>
                <w:sz w:val="22"/>
              </w:rPr>
            </w:pPr>
            <w:r>
              <w:rPr>
                <w:sz w:val="22"/>
              </w:rPr>
              <w:t>0.648</w:t>
            </w:r>
          </w:p>
        </w:tc>
        <w:tc>
          <w:tcPr>
            <w:tcW w:w="100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6"/>
              <w:ind w:left="254"/>
              <w:rPr>
                <w:sz w:val="22"/>
              </w:rPr>
            </w:pPr>
            <w:r>
              <w:rPr>
                <w:sz w:val="22"/>
              </w:rPr>
              <w:t>0.790</w:t>
            </w:r>
          </w:p>
        </w:tc>
        <w:tc>
          <w:tcPr>
            <w:tcW w:w="100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6"/>
              <w:ind w:left="254"/>
              <w:rPr>
                <w:sz w:val="22"/>
              </w:rPr>
            </w:pPr>
            <w:r>
              <w:rPr>
                <w:sz w:val="22"/>
              </w:rPr>
              <w:t>0.512</w:t>
            </w:r>
          </w:p>
        </w:tc>
        <w:tc>
          <w:tcPr>
            <w:tcW w:w="114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6"/>
              <w:ind w:left="255"/>
              <w:rPr>
                <w:sz w:val="22"/>
              </w:rPr>
            </w:pPr>
            <w:r>
              <w:rPr>
                <w:sz w:val="22"/>
              </w:rPr>
              <w:t>1.266</w:t>
            </w:r>
          </w:p>
        </w:tc>
      </w:tr>
      <w:tr>
        <w:trPr>
          <w:trHeight w:val="643" w:hRule="atLeast"/>
        </w:trPr>
        <w:tc>
          <w:tcPr>
            <w:tcW w:w="141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65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SGS-PM</w:t>
            </w:r>
          </w:p>
        </w:tc>
        <w:tc>
          <w:tcPr>
            <w:tcW w:w="101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60"/>
              <w:ind w:left="108"/>
              <w:rPr>
                <w:sz w:val="22"/>
              </w:rPr>
            </w:pPr>
            <w:r>
              <w:rPr>
                <w:sz w:val="22"/>
              </w:rPr>
              <w:t>1.681</w:t>
            </w: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60"/>
              <w:ind w:left="394"/>
              <w:rPr>
                <w:sz w:val="22"/>
              </w:rPr>
            </w:pPr>
            <w:r>
              <w:rPr>
                <w:sz w:val="22"/>
              </w:rPr>
              <w:t>3.284</w:t>
            </w:r>
          </w:p>
        </w:tc>
        <w:tc>
          <w:tcPr>
            <w:tcW w:w="109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60"/>
              <w:ind w:left="157"/>
              <w:rPr>
                <w:sz w:val="22"/>
              </w:rPr>
            </w:pPr>
            <w:r>
              <w:rPr>
                <w:sz w:val="22"/>
              </w:rPr>
              <w:t>0.999</w:t>
            </w:r>
          </w:p>
        </w:tc>
        <w:tc>
          <w:tcPr>
            <w:tcW w:w="85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60"/>
              <w:ind w:left="107"/>
              <w:rPr>
                <w:sz w:val="22"/>
              </w:rPr>
            </w:pPr>
            <w:r>
              <w:rPr>
                <w:sz w:val="22"/>
              </w:rPr>
              <w:t>0.595</w:t>
            </w:r>
          </w:p>
        </w:tc>
        <w:tc>
          <w:tcPr>
            <w:tcW w:w="100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60"/>
              <w:ind w:left="254"/>
              <w:rPr>
                <w:sz w:val="22"/>
              </w:rPr>
            </w:pPr>
            <w:r>
              <w:rPr>
                <w:sz w:val="22"/>
              </w:rPr>
              <w:t>0.512</w:t>
            </w:r>
          </w:p>
        </w:tc>
        <w:tc>
          <w:tcPr>
            <w:tcW w:w="100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60"/>
              <w:ind w:left="254"/>
              <w:rPr>
                <w:sz w:val="22"/>
              </w:rPr>
            </w:pPr>
            <w:r>
              <w:rPr>
                <w:sz w:val="22"/>
              </w:rPr>
              <w:t>0.305</w:t>
            </w:r>
          </w:p>
        </w:tc>
        <w:tc>
          <w:tcPr>
            <w:tcW w:w="114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60"/>
              <w:ind w:left="255"/>
              <w:rPr>
                <w:sz w:val="22"/>
              </w:rPr>
            </w:pPr>
            <w:r>
              <w:rPr>
                <w:sz w:val="22"/>
              </w:rPr>
              <w:t>1.953</w:t>
            </w:r>
          </w:p>
        </w:tc>
      </w:tr>
    </w:tbl>
    <w:p>
      <w:pPr>
        <w:pStyle w:val="BodyText"/>
        <w:spacing w:before="112"/>
        <w:ind w:left="465"/>
      </w:pPr>
      <w:r>
        <w:rPr/>
        <w:t>Key:-</w:t>
      </w:r>
    </w:p>
    <w:p>
      <w:pPr>
        <w:pStyle w:val="BodyText"/>
        <w:spacing w:line="343" w:lineRule="auto" w:before="120"/>
        <w:ind w:left="465" w:right="6659"/>
      </w:pPr>
      <w:r>
        <w:rPr/>
        <w:t>P</w:t>
      </w:r>
      <w:r>
        <w:rPr>
          <w:vertAlign w:val="subscript"/>
        </w:rPr>
        <w:t>Y</w:t>
      </w:r>
      <w:r>
        <w:rPr>
          <w:vertAlign w:val="baseline"/>
        </w:rPr>
        <w:t>:</w:t>
      </w:r>
      <w:r>
        <w:rPr>
          <w:spacing w:val="2"/>
          <w:vertAlign w:val="baseline"/>
        </w:rPr>
        <w:t> </w:t>
      </w:r>
      <w:r>
        <w:rPr>
          <w:vertAlign w:val="baseline"/>
        </w:rPr>
        <w:t>Material‟s</w:t>
      </w:r>
      <w:r>
        <w:rPr>
          <w:spacing w:val="6"/>
          <w:vertAlign w:val="baseline"/>
        </w:rPr>
        <w:t> </w:t>
      </w:r>
      <w:r>
        <w:rPr>
          <w:vertAlign w:val="baseline"/>
        </w:rPr>
        <w:t>yield</w:t>
      </w:r>
      <w:r>
        <w:rPr>
          <w:spacing w:val="3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vertAlign w:val="baseline"/>
        </w:rPr>
        <w:t>:</w:t>
      </w:r>
      <w:r>
        <w:rPr>
          <w:spacing w:val="-5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determination</w:t>
      </w:r>
    </w:p>
    <w:p>
      <w:pPr>
        <w:pStyle w:val="BodyText"/>
        <w:spacing w:before="3"/>
        <w:ind w:left="465"/>
      </w:pPr>
      <w:r>
        <w:rPr/>
        <w:t>D</w:t>
      </w:r>
      <w:r>
        <w:rPr>
          <w:vertAlign w:val="subscript"/>
        </w:rPr>
        <w:t>A</w:t>
      </w:r>
      <w:r>
        <w:rPr>
          <w:vertAlign w:val="baseline"/>
        </w:rPr>
        <w:t>:</w:t>
      </w:r>
      <w:r>
        <w:rPr>
          <w:spacing w:val="-2"/>
          <w:vertAlign w:val="baseline"/>
        </w:rPr>
        <w:t> </w:t>
      </w:r>
      <w:r>
        <w:rPr>
          <w:vertAlign w:val="baseline"/>
        </w:rPr>
        <w:t>Total</w:t>
      </w:r>
      <w:r>
        <w:rPr>
          <w:spacing w:val="-1"/>
          <w:vertAlign w:val="baseline"/>
        </w:rPr>
        <w:t> </w:t>
      </w:r>
      <w:r>
        <w:rPr>
          <w:vertAlign w:val="baseline"/>
        </w:rPr>
        <w:t>degree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densification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occurring</w:t>
      </w:r>
      <w:r>
        <w:rPr>
          <w:spacing w:val="-4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low</w:t>
      </w:r>
      <w:r>
        <w:rPr>
          <w:spacing w:val="-1"/>
          <w:vertAlign w:val="baseline"/>
        </w:rPr>
        <w:t> </w:t>
      </w:r>
      <w:r>
        <w:rPr>
          <w:vertAlign w:val="baseline"/>
        </w:rPr>
        <w:t>pressures</w:t>
      </w:r>
    </w:p>
    <w:p>
      <w:pPr>
        <w:pStyle w:val="BodyText"/>
        <w:spacing w:before="120"/>
        <w:ind w:left="465"/>
      </w:pPr>
      <w:r>
        <w:rPr/>
        <w:t>D</w:t>
      </w:r>
      <w:r>
        <w:rPr>
          <w:vertAlign w:val="subscript"/>
        </w:rPr>
        <w:t>B</w:t>
      </w:r>
      <w:r>
        <w:rPr>
          <w:vertAlign w:val="baseline"/>
        </w:rPr>
        <w:t>:</w:t>
      </w:r>
      <w:r>
        <w:rPr>
          <w:spacing w:val="-1"/>
          <w:vertAlign w:val="baseline"/>
        </w:rPr>
        <w:t> </w:t>
      </w:r>
      <w:r>
        <w:rPr>
          <w:vertAlign w:val="baseline"/>
        </w:rPr>
        <w:t>Degree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densification occurring</w:t>
      </w:r>
      <w:r>
        <w:rPr>
          <w:spacing w:val="-3"/>
          <w:vertAlign w:val="baseline"/>
        </w:rPr>
        <w:t> </w:t>
      </w:r>
      <w:r>
        <w:rPr>
          <w:vertAlign w:val="baseline"/>
        </w:rPr>
        <w:t>due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particle fragmentation</w:t>
      </w:r>
    </w:p>
    <w:p>
      <w:pPr>
        <w:pStyle w:val="BodyText"/>
        <w:spacing w:before="120"/>
        <w:ind w:left="465" w:right="1257"/>
      </w:pPr>
      <w:r>
        <w:rPr/>
        <w:t>D</w:t>
      </w:r>
      <w:r>
        <w:rPr>
          <w:vertAlign w:val="subscript"/>
        </w:rPr>
        <w:t>0</w:t>
      </w:r>
      <w:r>
        <w:rPr>
          <w:vertAlign w:val="baseline"/>
        </w:rPr>
        <w:t>:</w:t>
      </w:r>
      <w:r>
        <w:rPr>
          <w:spacing w:val="12"/>
          <w:vertAlign w:val="baseline"/>
        </w:rPr>
        <w:t> </w:t>
      </w:r>
      <w:r>
        <w:rPr>
          <w:vertAlign w:val="baseline"/>
        </w:rPr>
        <w:t>Degree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densification</w:t>
      </w:r>
      <w:r>
        <w:rPr>
          <w:spacing w:val="13"/>
          <w:vertAlign w:val="baseline"/>
        </w:rPr>
        <w:t> </w:t>
      </w:r>
      <w:r>
        <w:rPr>
          <w:vertAlign w:val="baseline"/>
        </w:rPr>
        <w:t>occurring</w:t>
      </w:r>
      <w:r>
        <w:rPr>
          <w:spacing w:val="10"/>
          <w:vertAlign w:val="baseline"/>
        </w:rPr>
        <w:t> </w:t>
      </w:r>
      <w:r>
        <w:rPr>
          <w:vertAlign w:val="baseline"/>
        </w:rPr>
        <w:t>due</w:t>
      </w:r>
      <w:r>
        <w:rPr>
          <w:spacing w:val="12"/>
          <w:vertAlign w:val="baseline"/>
        </w:rPr>
        <w:t> </w:t>
      </w:r>
      <w:r>
        <w:rPr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vertAlign w:val="baseline"/>
        </w:rPr>
        <w:t>slippage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particle</w:t>
      </w:r>
      <w:r>
        <w:rPr>
          <w:spacing w:val="11"/>
          <w:vertAlign w:val="baseline"/>
        </w:rPr>
        <w:t> </w:t>
      </w:r>
      <w:r>
        <w:rPr>
          <w:vertAlign w:val="baseline"/>
        </w:rPr>
        <w:t>rearrangement</w:t>
      </w:r>
      <w:r>
        <w:rPr>
          <w:spacing w:val="13"/>
          <w:vertAlign w:val="baseline"/>
        </w:rPr>
        <w:t> </w:t>
      </w:r>
      <w:r>
        <w:rPr>
          <w:vertAlign w:val="baseline"/>
        </w:rPr>
        <w:t>at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early</w:t>
      </w:r>
      <w:r>
        <w:rPr>
          <w:spacing w:val="-5"/>
          <w:vertAlign w:val="baseline"/>
        </w:rPr>
        <w:t> </w:t>
      </w:r>
      <w:r>
        <w:rPr>
          <w:vertAlign w:val="baseline"/>
        </w:rPr>
        <w:t>stages of compression.</w:t>
      </w:r>
    </w:p>
    <w:p>
      <w:pPr>
        <w:pStyle w:val="BodyText"/>
        <w:spacing w:before="120"/>
        <w:ind w:left="465"/>
      </w:pPr>
      <w:r>
        <w:rPr>
          <w:i/>
        </w:rPr>
        <w:t>a</w:t>
      </w:r>
      <w:r>
        <w:rPr/>
        <w:t>:</w:t>
      </w:r>
      <w:r>
        <w:rPr>
          <w:spacing w:val="-1"/>
        </w:rPr>
        <w:t> </w:t>
      </w:r>
      <w:r>
        <w:rPr/>
        <w:t>Compressibility</w:t>
      </w:r>
    </w:p>
    <w:p>
      <w:pPr>
        <w:pStyle w:val="BodyText"/>
        <w:spacing w:before="120"/>
        <w:ind w:left="465"/>
      </w:pPr>
      <w:r>
        <w:rPr>
          <w:i/>
        </w:rPr>
        <w:t>b</w:t>
      </w:r>
      <w:r>
        <w:rPr/>
        <w:t>:</w:t>
      </w:r>
      <w:r>
        <w:rPr>
          <w:spacing w:val="1"/>
        </w:rPr>
        <w:t> </w:t>
      </w:r>
      <w:r>
        <w:rPr/>
        <w:t>Inverse</w:t>
      </w:r>
      <w:r>
        <w:rPr>
          <w:spacing w:val="-3"/>
        </w:rPr>
        <w:t> </w:t>
      </w:r>
      <w:r>
        <w:rPr/>
        <w:t>measure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amount of</w:t>
      </w:r>
      <w:r>
        <w:rPr>
          <w:spacing w:val="-1"/>
        </w:rPr>
        <w:t> </w:t>
      </w:r>
      <w:r>
        <w:rPr/>
        <w:t>plastic</w:t>
      </w:r>
      <w:r>
        <w:rPr>
          <w:spacing w:val="-1"/>
        </w:rPr>
        <w:t> </w:t>
      </w:r>
      <w:r>
        <w:rPr/>
        <w:t>deformation</w:t>
      </w:r>
      <w:r>
        <w:rPr>
          <w:spacing w:val="-1"/>
        </w:rPr>
        <w:t> </w:t>
      </w:r>
      <w:r>
        <w:rPr/>
        <w:t>occurring</w:t>
      </w:r>
      <w:r>
        <w:rPr>
          <w:spacing w:val="-4"/>
        </w:rPr>
        <w:t> </w:t>
      </w:r>
      <w:r>
        <w:rPr/>
        <w:t>in the material</w:t>
      </w:r>
    </w:p>
    <w:p>
      <w:pPr>
        <w:spacing w:after="0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90"/>
        <w:ind w:left="1855"/>
      </w:pPr>
      <w:r>
        <w:rPr/>
        <w:pict>
          <v:group style="position:absolute;margin-left:181.440002pt;margin-top:-1.316887pt;width:248.9pt;height:289.45pt;mso-position-horizontal-relative:page;mso-position-vertical-relative:paragraph;z-index:15894528" coordorigin="3629,-26" coordsize="4978,5789">
            <v:shape style="position:absolute;left:3628;top:235;width:4964;height:5528" coordorigin="3629,235" coordsize="4964,5528" path="m3698,5690l3698,235m3629,5690l3698,5690m3629,4781l3698,4781m3629,3871l3698,3871m3629,2964l3698,2964m3629,2054l3698,2054m3629,1145l3698,1145m3629,235l3698,235m3698,5690l8592,5690m3698,5690l3698,5762m4514,5690l4514,5762m5330,5690l5330,5762m6146,5690l6146,5762m6960,5690l6960,5762m7776,5690l7776,5762m8592,5690l8592,5762e" filled="false" stroked="true" strokeweight="1.44pt" strokecolor="#000000">
              <v:path arrowok="t"/>
              <v:stroke dashstyle="solid"/>
            </v:shape>
            <v:shape style="position:absolute;left:4060;top:1110;width:3982;height:2586" coordorigin="4061,1111" coordsize="3982,2586" path="m4061,3696l4089,3623,4116,3551,4144,3480,4172,3408,4200,3337,4228,3266,4256,3194,4284,3122,4311,3049,4339,2974,4367,2898,4395,2821,4423,2741,4447,2669,4471,2592,4495,2512,4519,2429,4543,2344,4568,2259,4592,2173,4616,2089,4640,2006,4664,1927,4688,1851,4712,1780,4736,1714,4761,1655,4841,1513,4902,1447,4966,1399,5029,1364,5091,1336,5147,1311,5219,1286,5291,1274,5364,1269,5436,1264,5509,1250,5581,1224,5653,1190,5726,1155,5798,1126,5871,1111,5943,1113,6015,1128,6088,1149,6160,1169,6233,1182,6305,1184,6377,1179,6450,1173,6522,1172,6595,1181,6667,1207,6739,1249,6812,1292,6884,1326,6957,1339,7017,1326,7077,1293,7138,1251,7198,1209,7258,1178,7318,1167,7379,1183,7439,1218,7499,1264,7560,1311,7620,1348,7680,1368,7753,1364,7825,1343,7898,1312,7970,1278,8042,1249e" filled="false" stroked="true" strokeweight="2.16pt" strokecolor="#497dba">
              <v:path arrowok="t"/>
              <v:stroke dashstyle="solid"/>
            </v:shape>
            <v:shape style="position:absolute;left:3984;top:3618;width:155;height:155" type="#_x0000_t75" stroked="false">
              <v:imagedata r:id="rId188" o:title=""/>
            </v:shape>
            <v:shape style="position:absolute;left:4345;top:2664;width:155;height:155" type="#_x0000_t75" stroked="false">
              <v:imagedata r:id="rId188" o:title=""/>
            </v:shape>
            <v:shape style="position:absolute;left:4707;top:1526;width:155;height:155" type="#_x0000_t75" stroked="false">
              <v:imagedata r:id="rId189" o:title=""/>
            </v:shape>
            <v:shape style="position:absolute;left:5069;top:1234;width:155;height:155" type="#_x0000_t75" stroked="false">
              <v:imagedata r:id="rId190" o:title=""/>
            </v:shape>
            <v:shape style="position:absolute;left:5431;top:1174;width:155;height:155" type="#_x0000_t75" stroked="false">
              <v:imagedata r:id="rId190" o:title=""/>
            </v:shape>
            <v:shape style="position:absolute;left:5793;top:1034;width:155;height:155" type="#_x0000_t75" stroked="false">
              <v:imagedata r:id="rId188" o:title=""/>
            </v:shape>
            <v:shape style="position:absolute;left:6155;top:1106;width:155;height:155" type="#_x0000_t75" stroked="false">
              <v:imagedata r:id="rId191" o:title=""/>
            </v:shape>
            <v:shape style="position:absolute;left:6517;top:1104;width:155;height:155" type="#_x0000_t75" stroked="false">
              <v:imagedata r:id="rId188" o:title=""/>
            </v:shape>
            <v:shape style="position:absolute;left:6879;top:1263;width:155;height:155" type="#_x0000_t75" stroked="false">
              <v:imagedata r:id="rId188" o:title=""/>
            </v:shape>
            <v:shape style="position:absolute;left:7241;top:1091;width:155;height:155" type="#_x0000_t75" stroked="false">
              <v:imagedata r:id="rId192" o:title=""/>
            </v:shape>
            <v:shape style="position:absolute;left:7603;top:1291;width:155;height:155" type="#_x0000_t75" stroked="false">
              <v:imagedata r:id="rId193" o:title=""/>
            </v:shape>
            <v:shape style="position:absolute;left:7964;top:1172;width:155;height:155" type="#_x0000_t75" stroked="false">
              <v:imagedata r:id="rId188" o:title=""/>
            </v:shape>
            <v:shape style="position:absolute;left:4423;top:1754;width:3620;height:1424" coordorigin="4423,1754" coordsize="3620,1424" path="m4423,3178l4443,3133,4467,3072,4496,3000,4528,2918,4563,2832,4600,2743,4638,2654,4677,2571,4714,2494,4751,2429,4785,2377,4845,2316,4905,2282,4966,2265,5027,2257,5087,2246,5147,2223,5219,2181,5292,2133,5364,2083,5437,2034,5509,1989,5581,1945,5654,1898,5726,1855,5798,1825,5871,1813,5931,1828,5992,1863,6052,1908,6112,1953,6172,1986,6233,1998,6293,1981,6353,1944,6414,1895,6474,1845,6534,1805,6595,1784,6667,1790,6740,1818,6812,1854,6884,1888,6957,1906,7029,1904,7101,1892,7174,1874,7246,1855,7319,1839,7391,1827,7463,1814,7536,1802,7608,1791,7680,1781,7753,1774,7825,1768,7898,1764,7970,1759,8042,1754e" filled="false" stroked="true" strokeweight="2.16pt" strokecolor="#bd4a47">
              <v:path arrowok="t"/>
              <v:stroke dashstyle="solid"/>
            </v:shape>
            <v:rect style="position:absolute;left:4353;top:3110;width:140;height:140" filled="true" fillcolor="#c0504d" stroked="false">
              <v:fill type="solid"/>
            </v:rect>
            <v:rect style="position:absolute;left:4353;top:3110;width:140;height:140" filled="false" stroked="true" strokeweight=".72pt" strokecolor="#bd4a47">
              <v:stroke dashstyle="solid"/>
            </v:rect>
            <v:rect style="position:absolute;left:4716;top:2306;width:140;height:142" filled="true" fillcolor="#c0504d" stroked="false">
              <v:fill type="solid"/>
            </v:rect>
            <v:rect style="position:absolute;left:4716;top:2306;width:140;height:142" filled="false" stroked="true" strokeweight=".72pt" strokecolor="#bd4a47">
              <v:stroke dashstyle="solid"/>
            </v:rect>
            <v:rect style="position:absolute;left:5078;top:2152;width:140;height:140" filled="true" fillcolor="#c0504d" stroked="false">
              <v:fill type="solid"/>
            </v:rect>
            <v:rect style="position:absolute;left:5078;top:2152;width:140;height:140" filled="false" stroked="true" strokeweight=".72pt" strokecolor="#bd4a47">
              <v:stroke dashstyle="solid"/>
            </v:rect>
            <v:rect style="position:absolute;left:5438;top:1917;width:142;height:142" filled="true" fillcolor="#c0504d" stroked="false">
              <v:fill type="solid"/>
            </v:rect>
            <v:rect style="position:absolute;left:5438;top:1917;width:142;height:142" filled="false" stroked="true" strokeweight=".72pt" strokecolor="#bd4a47">
              <v:stroke dashstyle="solid"/>
            </v:rect>
            <v:rect style="position:absolute;left:5800;top:1742;width:140;height:140" filled="true" fillcolor="#c0504d" stroked="false">
              <v:fill type="solid"/>
            </v:rect>
            <v:rect style="position:absolute;left:5800;top:1742;width:140;height:140" filled="false" stroked="true" strokeweight=".72pt" strokecolor="#bd4a47">
              <v:stroke dashstyle="solid"/>
            </v:rect>
            <v:rect style="position:absolute;left:6163;top:1927;width:140;height:140" filled="true" fillcolor="#c0504d" stroked="false">
              <v:fill type="solid"/>
            </v:rect>
            <v:rect style="position:absolute;left:6163;top:1927;width:140;height:140" filled="false" stroked="true" strokeweight=".72pt" strokecolor="#bd4a47">
              <v:stroke dashstyle="solid"/>
            </v:rect>
            <v:rect style="position:absolute;left:6525;top:1711;width:140;height:142" filled="true" fillcolor="#c0504d" stroked="false">
              <v:fill type="solid"/>
            </v:rect>
            <v:rect style="position:absolute;left:6525;top:1711;width:140;height:142" filled="false" stroked="true" strokeweight=".72pt" strokecolor="#bd4a47">
              <v:stroke dashstyle="solid"/>
            </v:rect>
            <v:rect style="position:absolute;left:6885;top:1833;width:142;height:142" filled="true" fillcolor="#c0504d" stroked="false">
              <v:fill type="solid"/>
            </v:rect>
            <v:rect style="position:absolute;left:6885;top:1833;width:142;height:142" filled="false" stroked="true" strokeweight=".72pt" strokecolor="#bd4a47">
              <v:stroke dashstyle="solid"/>
            </v:rect>
            <v:rect style="position:absolute;left:7248;top:1766;width:140;height:142" filled="true" fillcolor="#c0504d" stroked="false">
              <v:fill type="solid"/>
            </v:rect>
            <v:rect style="position:absolute;left:7248;top:1766;width:140;height:142" filled="false" stroked="true" strokeweight=".72pt" strokecolor="#bd4a47">
              <v:stroke dashstyle="solid"/>
            </v:rect>
            <v:rect style="position:absolute;left:7610;top:1708;width:140;height:142" filled="true" fillcolor="#c0504d" stroked="false">
              <v:fill type="solid"/>
            </v:rect>
            <v:rect style="position:absolute;left:7610;top:1708;width:140;height:142" filled="false" stroked="true" strokeweight=".72pt" strokecolor="#bd4a47">
              <v:stroke dashstyle="solid"/>
            </v:rect>
            <v:rect style="position:absolute;left:7972;top:1682;width:140;height:140" filled="true" fillcolor="#c0504d" stroked="false">
              <v:fill type="solid"/>
            </v:rect>
            <v:rect style="position:absolute;left:7972;top:1682;width:140;height:140" filled="false" stroked="true" strokeweight=".72pt" strokecolor="#bd4a47">
              <v:stroke dashstyle="solid"/>
            </v:rect>
            <v:shape style="position:absolute;left:5061;top:237;width:384;height:156" type="#_x0000_t75" stroked="false">
              <v:imagedata r:id="rId194" o:title=""/>
            </v:shape>
            <v:line style="position:absolute" from="6305,317" to="6689,317" stroked="true" strokeweight="2.16pt" strokecolor="#bd4a47">
              <v:stroke dashstyle="solid"/>
            </v:line>
            <v:rect style="position:absolute;left:6427;top:244;width:140;height:142" filled="true" fillcolor="#c0504d" stroked="false">
              <v:fill type="solid"/>
            </v:rect>
            <v:rect style="position:absolute;left:6427;top:244;width:140;height:142" filled="false" stroked="true" strokeweight=".72pt" strokecolor="#bd4a47">
              <v:stroke dashstyle="solid"/>
            </v:rect>
            <v:shape style="position:absolute;left:4672;top:-20;width:3240;height:670" type="#_x0000_t202" filled="false" stroked="true" strokeweight=".72pt" strokecolor="#000000">
              <v:textbox inset="0,0,0,0">
                <w:txbxContent>
                  <w:p>
                    <w:pPr>
                      <w:tabs>
                        <w:tab w:pos="2052" w:val="left" w:leader="none"/>
                      </w:tabs>
                      <w:spacing w:before="187"/>
                      <w:ind w:left="80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SGS</w:t>
                      <w:tab/>
                      <w:t>SGS-PM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100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90"/>
        <w:ind w:left="1676"/>
      </w:pPr>
      <w:r>
        <w:rPr/>
        <w:t>2.5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90"/>
        <w:ind w:left="1855"/>
      </w:pPr>
      <w:r>
        <w:rPr/>
        <w:t>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90"/>
        <w:ind w:left="1676"/>
      </w:pPr>
      <w:r>
        <w:rPr/>
        <w:pict>
          <v:shape style="position:absolute;margin-left:132.93985pt;margin-top:-7.552861pt;width:20.45pt;height:38.65pt;mso-position-horizontal-relative:page;mso-position-vertical-relative:paragraph;z-index:15895040" type="#_x0000_t202" filled="false" stroked="false">
            <v:textbox inset="0,0,0,0" style="layout-flow:vertical;mso-layout-flow-alt:bottom-to-top">
              <w:txbxContent>
                <w:p>
                  <w:pPr>
                    <w:spacing w:before="58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95"/>
                      <w:sz w:val="24"/>
                    </w:rPr>
                    <w:t>ln</w:t>
                  </w:r>
                  <w:r>
                    <w:rPr>
                      <w:b/>
                      <w:spacing w:val="9"/>
                      <w:w w:val="95"/>
                      <w:sz w:val="24"/>
                    </w:rPr>
                    <w:t> </w:t>
                  </w:r>
                  <w:r>
                    <w:rPr>
                      <w:b/>
                      <w:w w:val="95"/>
                      <w:sz w:val="24"/>
                    </w:rPr>
                    <w:t>(1/</w:t>
                  </w:r>
                  <w:r>
                    <w:rPr>
                      <w:rFonts w:ascii="Arial" w:hAnsi="Arial"/>
                      <w:b/>
                      <w:w w:val="95"/>
                      <w:sz w:val="24"/>
                    </w:rPr>
                    <w:t>Ɛ</w:t>
                  </w:r>
                  <w:r>
                    <w:rPr>
                      <w:b/>
                      <w:w w:val="95"/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t>1.5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90"/>
        <w:ind w:left="1855"/>
      </w:pPr>
      <w:r>
        <w:rPr/>
        <w:t>1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90"/>
        <w:ind w:left="1676"/>
      </w:pPr>
      <w:r>
        <w:rPr/>
        <w:t>0.5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90"/>
        <w:ind w:left="1855"/>
      </w:pPr>
      <w:r>
        <w:rPr/>
        <w:t>0</w:t>
      </w:r>
    </w:p>
    <w:p>
      <w:pPr>
        <w:pStyle w:val="BodyText"/>
        <w:tabs>
          <w:tab w:pos="2875" w:val="left" w:leader="none"/>
          <w:tab w:pos="3690" w:val="left" w:leader="none"/>
          <w:tab w:pos="4506" w:val="left" w:leader="none"/>
          <w:tab w:pos="5321" w:val="left" w:leader="none"/>
          <w:tab w:pos="6077" w:val="left" w:leader="none"/>
          <w:tab w:pos="6892" w:val="left" w:leader="none"/>
        </w:tabs>
        <w:spacing w:before="73"/>
        <w:ind w:left="2119"/>
      </w:pPr>
      <w:r>
        <w:rPr/>
        <w:t>0</w:t>
        <w:tab/>
        <w:t>20</w:t>
        <w:tab/>
        <w:t>40</w:t>
        <w:tab/>
        <w:t>60</w:t>
        <w:tab/>
        <w:t>80</w:t>
        <w:tab/>
        <w:t>100</w:t>
        <w:tab/>
        <w:t>120</w:t>
      </w:r>
    </w:p>
    <w:p>
      <w:pPr>
        <w:pStyle w:val="Heading3"/>
        <w:spacing w:before="150"/>
        <w:ind w:left="2950"/>
      </w:pPr>
      <w:r>
        <w:rPr>
          <w:spacing w:val="-1"/>
        </w:rPr>
        <w:t>Compaction</w:t>
      </w:r>
      <w:r>
        <w:rPr>
          <w:spacing w:val="1"/>
        </w:rPr>
        <w:t> </w:t>
      </w:r>
      <w:r>
        <w:rPr>
          <w:spacing w:val="-1"/>
        </w:rPr>
        <w:t>Pressure</w:t>
      </w:r>
      <w:r>
        <w:rPr>
          <w:spacing w:val="7"/>
        </w:rPr>
        <w:t> </w:t>
      </w:r>
      <w:r>
        <w:rPr>
          <w:spacing w:val="-1"/>
        </w:rPr>
        <w:t>P</w:t>
      </w:r>
      <w:r>
        <w:rPr>
          <w:spacing w:val="-15"/>
        </w:rPr>
        <w:t> </w:t>
      </w:r>
      <w:r>
        <w:rPr>
          <w:spacing w:val="-1"/>
        </w:rPr>
        <w:t>(MN/m</w:t>
      </w:r>
      <w:r>
        <w:rPr>
          <w:spacing w:val="-1"/>
          <w:position w:val="7"/>
          <w:sz w:val="16"/>
        </w:rPr>
        <w:t>2</w:t>
      </w:r>
      <w:r>
        <w:rPr>
          <w:spacing w:val="-1"/>
        </w:rPr>
        <w:t>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90"/>
        <w:ind w:left="465" w:right="1624" w:firstLine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Figure 4.21: Heckel plot of SGS and SGS-PM showing the relationship between</w:t>
      </w:r>
      <w:r>
        <w:rPr>
          <w:b/>
          <w:bCs/>
          <w:spacing w:val="-57"/>
          <w:sz w:val="24"/>
          <w:szCs w:val="24"/>
        </w:rPr>
        <w:t> </w:t>
      </w:r>
      <w:r>
        <w:rPr>
          <w:b/>
          <w:bCs/>
          <w:sz w:val="24"/>
          <w:szCs w:val="24"/>
        </w:rPr>
        <w:t>compaction</w:t>
      </w:r>
      <w:r>
        <w:rPr>
          <w:b/>
          <w:bCs/>
          <w:spacing w:val="1"/>
          <w:sz w:val="24"/>
          <w:szCs w:val="24"/>
        </w:rPr>
        <w:t> </w:t>
      </w:r>
      <w:r>
        <w:rPr>
          <w:b/>
          <w:bCs/>
          <w:sz w:val="24"/>
          <w:szCs w:val="24"/>
        </w:rPr>
        <w:t>pressure</w:t>
      </w:r>
      <w:r>
        <w:rPr>
          <w:b/>
          <w:bCs/>
          <w:spacing w:val="2"/>
          <w:sz w:val="24"/>
          <w:szCs w:val="24"/>
        </w:rPr>
        <w:t> </w:t>
      </w:r>
      <w:r>
        <w:rPr>
          <w:b/>
          <w:bCs/>
          <w:sz w:val="24"/>
          <w:szCs w:val="24"/>
        </w:rPr>
        <w:t>P (MN/m</w:t>
      </w:r>
      <w:r>
        <w:rPr>
          <w:b/>
          <w:bCs/>
          <w:sz w:val="24"/>
          <w:szCs w:val="24"/>
          <w:vertAlign w:val="superscript"/>
        </w:rPr>
        <w:t>2</w:t>
      </w:r>
      <w:r>
        <w:rPr>
          <w:b/>
          <w:bCs/>
          <w:sz w:val="24"/>
          <w:szCs w:val="24"/>
          <w:vertAlign w:val="baseline"/>
        </w:rPr>
        <w:t>)</w:t>
      </w:r>
      <w:r>
        <w:rPr>
          <w:b/>
          <w:bCs/>
          <w:spacing w:val="1"/>
          <w:sz w:val="24"/>
          <w:szCs w:val="24"/>
          <w:vertAlign w:val="baseline"/>
        </w:rPr>
        <w:t> </w:t>
      </w:r>
      <w:r>
        <w:rPr>
          <w:b/>
          <w:bCs/>
          <w:sz w:val="24"/>
          <w:szCs w:val="24"/>
          <w:vertAlign w:val="baseline"/>
        </w:rPr>
        <w:t>and</w:t>
      </w:r>
      <w:r>
        <w:rPr>
          <w:b/>
          <w:bCs/>
          <w:spacing w:val="1"/>
          <w:sz w:val="24"/>
          <w:szCs w:val="24"/>
          <w:vertAlign w:val="baseline"/>
        </w:rPr>
        <w:t> </w:t>
      </w:r>
      <w:r>
        <w:rPr>
          <w:b/>
          <w:bCs/>
          <w:sz w:val="24"/>
          <w:szCs w:val="24"/>
          <w:vertAlign w:val="baseline"/>
        </w:rPr>
        <w:t>porosity</w:t>
      </w:r>
      <w:r>
        <w:rPr>
          <w:b/>
          <w:bCs/>
          <w:spacing w:val="1"/>
          <w:sz w:val="24"/>
          <w:szCs w:val="24"/>
          <w:vertAlign w:val="baseline"/>
        </w:rPr>
        <w:t> </w:t>
      </w:r>
      <w:r>
        <w:rPr>
          <w:b/>
          <w:bCs/>
          <w:sz w:val="24"/>
          <w:szCs w:val="24"/>
          <w:vertAlign w:val="baseline"/>
        </w:rPr>
        <w:t>(ln</w:t>
      </w:r>
      <w:r>
        <w:rPr>
          <w:b/>
          <w:bCs/>
          <w:spacing w:val="2"/>
          <w:sz w:val="24"/>
          <w:szCs w:val="24"/>
          <w:vertAlign w:val="baseline"/>
        </w:rPr>
        <w:t> </w:t>
      </w:r>
      <w:r>
        <w:rPr>
          <w:b/>
          <w:bCs/>
          <w:sz w:val="24"/>
          <w:szCs w:val="24"/>
          <w:vertAlign w:val="baseline"/>
        </w:rPr>
        <w:t>(1/Ԑ))</w:t>
      </w:r>
    </w:p>
    <w:p>
      <w:pPr>
        <w:spacing w:after="0"/>
        <w:jc w:val="left"/>
        <w:rPr>
          <w:sz w:val="24"/>
          <w:szCs w:val="24"/>
        </w:rPr>
        <w:sectPr>
          <w:pgSz w:w="11910" w:h="16840"/>
          <w:pgMar w:header="0" w:footer="987" w:top="1580" w:bottom="1260" w:left="152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0" w:footer="987" w:top="1580" w:bottom="1260" w:left="1520" w:right="160"/>
        </w:sectPr>
      </w:pPr>
    </w:p>
    <w:p>
      <w:pPr>
        <w:pStyle w:val="BodyText"/>
        <w:spacing w:before="90"/>
        <w:ind w:right="263"/>
        <w:jc w:val="right"/>
      </w:pPr>
      <w:r>
        <w:rPr/>
        <w:pict>
          <v:group style="position:absolute;margin-left:180.360001pt;margin-top:-14.126853pt;width:267.25pt;height:275.4pt;mso-position-horizontal-relative:page;mso-position-vertical-relative:paragraph;z-index:15895552" coordorigin="3607,-283" coordsize="5345,5508">
            <v:shape style="position:absolute;left:3607;top:235;width:5331;height:4990" coordorigin="3607,236" coordsize="5331,4990" path="m3679,5156l3679,236m3607,5156l3679,5156m3607,4664l3679,4664m3607,4172l3679,4172m3607,3680l3679,3680m3607,3188l3679,3188m3607,2696l3679,2696m3607,2204l3679,2204m3607,1712l3679,1712m3607,1220l3679,1220m3607,728l3679,728m3607,236l3679,236m3679,5156l8938,5156m3679,5156l3679,5225m4555,5156l4555,5225m5431,5156l5431,5225m6310,5156l6310,5225m7186,5156l7186,5225m8062,5156l8062,5225m8938,5156l8938,5225e" filled="false" stroked="true" strokeweight="1.44pt" strokecolor="#000000">
              <v:path arrowok="t"/>
              <v:stroke dashstyle="solid"/>
            </v:shape>
            <v:shape style="position:absolute;left:4068;top:1047;width:4282;height:3675" coordorigin="4068,1047" coordsize="4282,3675" path="m4068,4721l4133,4670,4198,4618,4263,4566,4327,4514,4392,4463,4457,4412,4522,4362,4587,4314,4652,4265,4717,4217,4782,4167,4846,4115,4911,4062,4976,4008,5041,3952,5106,3896,5171,3840,5236,3783,5301,3727,5365,3670,5430,3613,5495,3556,5560,3500,5625,3443,5690,3387,5755,3332,5820,3277,5884,3221,5949,3166,6014,3109,6070,3061,6125,3011,6181,2962,6237,2912,6292,2863,6348,2813,6403,2764,6468,2707,6533,2650,6598,2594,6663,2537,6728,2480,6793,2422,6848,2372,6904,2320,6959,2269,7015,2217,7071,2165,7126,2115,7182,2065,7247,2010,7312,1956,7377,1903,7441,1851,7506,1797,7571,1741,7627,1690,7682,1638,7738,1585,7794,1532,7849,1479,7905,1426,7960,1376,8025,1319,8090,1264,8155,1209,8220,1155,8285,1101,8350,1047e" filled="false" stroked="true" strokeweight="2.16pt" strokecolor="#497dba">
              <v:path arrowok="t"/>
              <v:stroke dashstyle="solid"/>
            </v:shape>
            <v:shape style="position:absolute;left:3991;top:4643;width:155;height:155" type="#_x0000_t75" stroked="false">
              <v:imagedata r:id="rId188" o:title=""/>
            </v:shape>
            <v:shape style="position:absolute;left:4380;top:4334;width:155;height:155" type="#_x0000_t75" stroked="false">
              <v:imagedata r:id="rId188" o:title=""/>
            </v:shape>
            <v:shape style="position:absolute;left:4769;top:4038;width:155;height:155" type="#_x0000_t75" stroked="false">
              <v:imagedata r:id="rId190" o:title=""/>
            </v:shape>
            <v:shape style="position:absolute;left:5158;top:3706;width:155;height:155" type="#_x0000_t75" stroked="false">
              <v:imagedata r:id="rId195" o:title=""/>
            </v:shape>
            <v:shape style="position:absolute;left:5547;top:3365;width:155;height:155" type="#_x0000_t75" stroked="false">
              <v:imagedata r:id="rId193" o:title=""/>
            </v:shape>
            <v:shape style="position:absolute;left:5937;top:3032;width:155;height:155" type="#_x0000_t75" stroked="false">
              <v:imagedata r:id="rId189" o:title=""/>
            </v:shape>
            <v:shape style="position:absolute;left:6326;top:2686;width:155;height:155" type="#_x0000_t75" stroked="false">
              <v:imagedata r:id="rId188" o:title=""/>
            </v:shape>
            <v:shape style="position:absolute;left:6715;top:2345;width:155;height:155" type="#_x0000_t75" stroked="false">
              <v:imagedata r:id="rId190" o:title=""/>
            </v:shape>
            <v:shape style="position:absolute;left:7104;top:1988;width:155;height:155" type="#_x0000_t75" stroked="false">
              <v:imagedata r:id="rId196" o:title=""/>
            </v:shape>
            <v:shape style="position:absolute;left:7493;top:1663;width:155;height:155" type="#_x0000_t75" stroked="false">
              <v:imagedata r:id="rId197" o:title=""/>
            </v:shape>
            <v:shape style="position:absolute;left:7882;top:1299;width:155;height:155" type="#_x0000_t75" stroked="false">
              <v:imagedata r:id="rId197" o:title=""/>
            </v:shape>
            <v:shape style="position:absolute;left:8272;top:970;width:155;height:155" type="#_x0000_t75" stroked="false">
              <v:imagedata r:id="rId190" o:title=""/>
            </v:shape>
            <v:shape style="position:absolute;left:4456;top:660;width:3893;height:3634" coordorigin="4457,661" coordsize="3893,3634" path="m4457,4294l4522,4243,4587,4194,4651,4144,4716,4093,4781,4040,4846,3985,4902,3935,4957,3883,5013,3829,5069,3774,5124,3719,5180,3665,5235,3612,5291,3561,5347,3510,5402,3459,5458,3409,5513,3359,5569,3309,5625,3258,5680,3208,5736,3158,5791,3108,5847,3058,5903,3007,5958,2955,6014,2901,6070,2845,6125,2787,6181,2728,6236,2669,6292,2610,6348,2552,6403,2497,6468,2437,6533,2381,6598,2326,6663,2271,6728,2214,6792,2154,6848,2100,6904,2042,6959,1984,7015,1924,7071,1865,7126,1807,7182,1751,7237,1697,7293,1645,7349,1594,7404,1544,7460,1493,7515,1443,7571,1392,7627,1340,7682,1289,7738,1237,7794,1185,7849,1134,7905,1082,7960,1029,8016,977,8072,925,8127,872,8183,819,8238,766,8294,713,8350,661e" filled="false" stroked="true" strokeweight="2.16pt" strokecolor="#bd4a47">
              <v:path arrowok="t"/>
              <v:stroke dashstyle="solid"/>
            </v:shape>
            <v:rect style="position:absolute;left:4387;top:4224;width:140;height:140" filled="true" fillcolor="#c0504d" stroked="false">
              <v:fill type="solid"/>
            </v:rect>
            <v:rect style="position:absolute;left:4387;top:4224;width:140;height:140" filled="false" stroked="true" strokeweight=".72pt" strokecolor="#bd4a47">
              <v:stroke dashstyle="solid"/>
            </v:rect>
            <v:rect style="position:absolute;left:4776;top:3915;width:142;height:140" filled="true" fillcolor="#c0504d" stroked="false">
              <v:fill type="solid"/>
            </v:rect>
            <v:rect style="position:absolute;left:4776;top:3915;width:142;height:140" filled="false" stroked="true" strokeweight=".72pt" strokecolor="#bd4a47">
              <v:stroke dashstyle="solid"/>
            </v:rect>
            <v:rect style="position:absolute;left:5164;top:3543;width:142;height:140" filled="true" fillcolor="#c0504d" stroked="false">
              <v:fill type="solid"/>
            </v:rect>
            <v:rect style="position:absolute;left:5164;top:3543;width:142;height:140" filled="false" stroked="true" strokeweight=".72pt" strokecolor="#bd4a47">
              <v:stroke dashstyle="solid"/>
            </v:rect>
            <v:rect style="position:absolute;left:5553;top:3187;width:142;height:140" filled="true" fillcolor="#c0504d" stroked="false">
              <v:fill type="solid"/>
            </v:rect>
            <v:rect style="position:absolute;left:5553;top:3187;width:142;height:140" filled="false" stroked="true" strokeweight=".72pt" strokecolor="#bd4a47">
              <v:stroke dashstyle="solid"/>
            </v:rect>
            <v:rect style="position:absolute;left:5944;top:2830;width:140;height:142" filled="true" fillcolor="#c0504d" stroked="false">
              <v:fill type="solid"/>
            </v:rect>
            <v:rect style="position:absolute;left:5944;top:2830;width:140;height:142" filled="false" stroked="true" strokeweight=".72pt" strokecolor="#bd4a47">
              <v:stroke dashstyle="solid"/>
            </v:rect>
            <v:rect style="position:absolute;left:6333;top:2427;width:140;height:140" filled="true" fillcolor="#c0504d" stroked="false">
              <v:fill type="solid"/>
            </v:rect>
            <v:rect style="position:absolute;left:6333;top:2427;width:140;height:140" filled="false" stroked="true" strokeweight=".72pt" strokecolor="#bd4a47">
              <v:stroke dashstyle="solid"/>
            </v:rect>
            <v:rect style="position:absolute;left:6722;top:2083;width:140;height:142" filled="true" fillcolor="#c0504d" stroked="false">
              <v:fill type="solid"/>
            </v:rect>
            <v:rect style="position:absolute;left:6722;top:2083;width:140;height:142" filled="false" stroked="true" strokeweight=".72pt" strokecolor="#bd4a47">
              <v:stroke dashstyle="solid"/>
            </v:rect>
            <v:rect style="position:absolute;left:7111;top:1680;width:142;height:142" filled="true" fillcolor="#c0504d" stroked="false">
              <v:fill type="solid"/>
            </v:rect>
            <v:rect style="position:absolute;left:7111;top:1680;width:142;height:142" filled="false" stroked="true" strokeweight=".72pt" strokecolor="#bd4a47">
              <v:stroke dashstyle="solid"/>
            </v:rect>
            <v:rect style="position:absolute;left:7500;top:1323;width:142;height:140" filled="true" fillcolor="#c0504d" stroked="false">
              <v:fill type="solid"/>
            </v:rect>
            <v:rect style="position:absolute;left:7500;top:1323;width:142;height:140" filled="false" stroked="true" strokeweight=".72pt" strokecolor="#bd4a47">
              <v:stroke dashstyle="solid"/>
            </v:rect>
            <v:rect style="position:absolute;left:7888;top:960;width:142;height:140" filled="true" fillcolor="#c0504d" stroked="false">
              <v:fill type="solid"/>
            </v:rect>
            <v:rect style="position:absolute;left:7888;top:960;width:142;height:140" filled="false" stroked="true" strokeweight=".72pt" strokecolor="#bd4a47">
              <v:stroke dashstyle="solid"/>
            </v:rect>
            <v:rect style="position:absolute;left:8280;top:591;width:140;height:140" filled="true" fillcolor="#c0504d" stroked="false">
              <v:fill type="solid"/>
            </v:rect>
            <v:rect style="position:absolute;left:8280;top:591;width:140;height:140" filled="false" stroked="true" strokeweight=".72pt" strokecolor="#bd4a47">
              <v:stroke dashstyle="solid"/>
            </v:rect>
            <v:shape style="position:absolute;left:4132;top:-276;width:3490;height:644" type="#_x0000_t202" filled="false" stroked="true" strokeweight=".72pt" strokecolor="#000000">
              <v:textbox inset="0,0,0,0">
                <w:txbxContent>
                  <w:p>
                    <w:pPr>
                      <w:tabs>
                        <w:tab w:pos="2217" w:val="left" w:leader="none"/>
                      </w:tabs>
                      <w:spacing w:before="174"/>
                      <w:ind w:left="89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SGS</w:t>
                      <w:tab/>
                      <w:t>SGS-PM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96064">
            <wp:simplePos x="0" y="0"/>
            <wp:positionH relativeFrom="page">
              <wp:posOffset>2923032</wp:posOffset>
            </wp:positionH>
            <wp:positionV relativeFrom="paragraph">
              <wp:posOffset>-19391</wp:posOffset>
            </wp:positionV>
            <wp:extent cx="243840" cy="97536"/>
            <wp:effectExtent l="0" t="0" r="0" b="0"/>
            <wp:wrapNone/>
            <wp:docPr id="149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91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200</w:t>
      </w:r>
    </w:p>
    <w:p>
      <w:pPr>
        <w:pStyle w:val="BodyText"/>
        <w:spacing w:before="216"/>
        <w:ind w:right="263"/>
        <w:jc w:val="right"/>
      </w:pPr>
      <w:r>
        <w:rPr/>
        <w:t>180</w:t>
      </w:r>
    </w:p>
    <w:p>
      <w:pPr>
        <w:pStyle w:val="BodyText"/>
        <w:spacing w:before="216"/>
        <w:ind w:right="263"/>
        <w:jc w:val="right"/>
      </w:pPr>
      <w:r>
        <w:rPr/>
        <w:t>160</w:t>
      </w:r>
    </w:p>
    <w:p>
      <w:pPr>
        <w:pStyle w:val="BodyText"/>
        <w:spacing w:before="216"/>
        <w:ind w:right="263"/>
        <w:jc w:val="right"/>
      </w:pPr>
      <w:r>
        <w:rPr/>
        <w:t>140</w:t>
      </w:r>
    </w:p>
    <w:p>
      <w:pPr>
        <w:pStyle w:val="BodyText"/>
        <w:spacing w:before="216"/>
        <w:ind w:right="263"/>
        <w:jc w:val="right"/>
      </w:pPr>
      <w:r>
        <w:rPr/>
        <w:t>120</w:t>
      </w:r>
    </w:p>
    <w:p>
      <w:pPr>
        <w:pStyle w:val="BodyText"/>
        <w:spacing w:before="216"/>
        <w:ind w:right="263"/>
        <w:jc w:val="right"/>
      </w:pPr>
      <w:r>
        <w:rPr/>
        <w:pict>
          <v:shape style="position:absolute;margin-left:134.036636pt;margin-top:7.485115pt;width:15.3pt;height:21.3pt;mso-position-horizontal-relative:page;mso-position-vertical-relative:paragraph;z-index:15897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P/C</w:t>
                  </w:r>
                </w:p>
              </w:txbxContent>
            </v:textbox>
            <w10:wrap type="none"/>
          </v:shape>
        </w:pict>
      </w:r>
      <w:r>
        <w:rPr/>
        <w:t>100</w:t>
      </w:r>
    </w:p>
    <w:p>
      <w:pPr>
        <w:pStyle w:val="BodyText"/>
        <w:spacing w:before="216"/>
        <w:ind w:right="263"/>
        <w:jc w:val="right"/>
      </w:pPr>
      <w:r>
        <w:rPr/>
        <w:t>80</w:t>
      </w:r>
    </w:p>
    <w:p>
      <w:pPr>
        <w:pStyle w:val="BodyText"/>
        <w:spacing w:before="216"/>
        <w:ind w:right="263"/>
        <w:jc w:val="right"/>
      </w:pPr>
      <w:r>
        <w:rPr/>
        <w:t>60</w:t>
      </w:r>
    </w:p>
    <w:p>
      <w:pPr>
        <w:pStyle w:val="BodyText"/>
        <w:spacing w:before="216"/>
        <w:ind w:right="263"/>
        <w:jc w:val="right"/>
      </w:pPr>
      <w:r>
        <w:rPr/>
        <w:t>40</w:t>
      </w:r>
    </w:p>
    <w:p>
      <w:pPr>
        <w:pStyle w:val="BodyText"/>
        <w:spacing w:before="217"/>
        <w:ind w:right="263"/>
        <w:jc w:val="right"/>
      </w:pPr>
      <w:r>
        <w:rPr/>
        <w:t>20</w:t>
      </w:r>
    </w:p>
    <w:p>
      <w:pPr>
        <w:pStyle w:val="BodyText"/>
        <w:spacing w:before="216"/>
        <w:ind w:left="1836"/>
      </w:pPr>
      <w:r>
        <w:rPr/>
        <w:t>0</w:t>
      </w:r>
    </w:p>
    <w:p>
      <w:pPr>
        <w:pStyle w:val="BodyText"/>
        <w:spacing w:before="72"/>
        <w:ind w:left="2100"/>
      </w:pPr>
      <w:r>
        <w:rPr/>
        <w:t>0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BodyText"/>
        <w:tabs>
          <w:tab w:pos="1533" w:val="left" w:leader="none"/>
          <w:tab w:pos="2409" w:val="left" w:leader="none"/>
          <w:tab w:pos="3286" w:val="left" w:leader="none"/>
        </w:tabs>
        <w:spacing w:before="1"/>
        <w:ind w:left="656"/>
      </w:pPr>
      <w:r>
        <w:rPr/>
        <w:t>20</w:t>
        <w:tab/>
        <w:t>40</w:t>
        <w:tab/>
        <w:t>60</w:t>
        <w:tab/>
      </w:r>
      <w:r>
        <w:rPr>
          <w:spacing w:val="-4"/>
        </w:rPr>
        <w:t>80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BodyText"/>
        <w:tabs>
          <w:tab w:pos="1412" w:val="left" w:leader="none"/>
        </w:tabs>
        <w:spacing w:before="1"/>
        <w:ind w:left="536"/>
      </w:pPr>
      <w:r>
        <w:rPr/>
        <w:t>100</w:t>
        <w:tab/>
        <w:t>120</w:t>
      </w:r>
    </w:p>
    <w:p>
      <w:pPr>
        <w:spacing w:after="0"/>
        <w:sectPr>
          <w:type w:val="continuous"/>
          <w:pgSz w:w="11910" w:h="16840"/>
          <w:pgMar w:top="1320" w:bottom="1260" w:left="1520" w:right="160"/>
          <w:cols w:num="3" w:equalWidth="0">
            <w:col w:w="2221" w:space="40"/>
            <w:col w:w="3527" w:space="39"/>
            <w:col w:w="4403"/>
          </w:cols>
        </w:sectPr>
      </w:pPr>
    </w:p>
    <w:p>
      <w:pPr>
        <w:pStyle w:val="Heading3"/>
        <w:spacing w:before="150"/>
        <w:ind w:left="3114"/>
      </w:pPr>
      <w:r>
        <w:rPr/>
        <w:pict>
          <v:group style="position:absolute;margin-left:296.519989pt;margin-top:159.479980pt;width:19.2pt;height:7.7pt;mso-position-horizontal-relative:page;mso-position-vertical-relative:page;z-index:15896576" coordorigin="5930,3190" coordsize="384,154">
            <v:line style="position:absolute" from="5930,3266" to="6314,3266" stroked="true" strokeweight="2.16pt" strokecolor="#bd4a47">
              <v:stroke dashstyle="solid"/>
            </v:line>
            <v:rect style="position:absolute;left:6052;top:3196;width:140;height:140" filled="true" fillcolor="#c0504d" stroked="false">
              <v:fill type="solid"/>
            </v:rect>
            <v:rect style="position:absolute;left:6052;top:3196;width:140;height:140" filled="false" stroked="true" strokeweight=".72pt" strokecolor="#bd4a47">
              <v:stroke dashstyle="solid"/>
            </v:rect>
            <w10:wrap type="none"/>
          </v:group>
        </w:pict>
      </w:r>
      <w:r>
        <w:rPr>
          <w:spacing w:val="-1"/>
        </w:rPr>
        <w:t>Compaction</w:t>
      </w:r>
      <w:r>
        <w:rPr>
          <w:spacing w:val="1"/>
        </w:rPr>
        <w:t> </w:t>
      </w:r>
      <w:r>
        <w:rPr>
          <w:spacing w:val="-1"/>
        </w:rPr>
        <w:t>Pressure</w:t>
      </w:r>
      <w:r>
        <w:rPr>
          <w:spacing w:val="7"/>
        </w:rPr>
        <w:t> </w:t>
      </w:r>
      <w:r>
        <w:rPr>
          <w:spacing w:val="-1"/>
        </w:rPr>
        <w:t>P</w:t>
      </w:r>
      <w:r>
        <w:rPr>
          <w:spacing w:val="-15"/>
        </w:rPr>
        <w:t> </w:t>
      </w:r>
      <w:r>
        <w:rPr>
          <w:spacing w:val="-1"/>
        </w:rPr>
        <w:t>(MN/m</w:t>
      </w:r>
      <w:r>
        <w:rPr>
          <w:spacing w:val="-1"/>
          <w:position w:val="7"/>
          <w:sz w:val="16"/>
        </w:rPr>
        <w:t>2</w:t>
      </w:r>
      <w:r>
        <w:rPr>
          <w:spacing w:val="-1"/>
        </w:rPr>
        <w:t>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spacing w:before="90"/>
        <w:ind w:left="465" w:right="2124" w:firstLine="0"/>
        <w:jc w:val="left"/>
        <w:rPr>
          <w:b/>
          <w:sz w:val="24"/>
        </w:rPr>
      </w:pPr>
      <w:r>
        <w:rPr>
          <w:b/>
          <w:sz w:val="24"/>
        </w:rPr>
        <w:t>Figure 4.22: Kawakita plot for SGS and SGS-PM showing the relationship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compaction pressure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(MN/m</w:t>
      </w:r>
      <w:r>
        <w:rPr>
          <w:b/>
          <w:sz w:val="24"/>
          <w:vertAlign w:val="superscript"/>
        </w:rPr>
        <w:t>2</w:t>
      </w:r>
      <w:r>
        <w:rPr>
          <w:b/>
          <w:sz w:val="24"/>
          <w:vertAlign w:val="baseline"/>
        </w:rPr>
        <w:t>) and P/C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20" w:bottom="1260" w:left="1520" w:right="160"/>
        </w:sectPr>
      </w:pPr>
    </w:p>
    <w:p>
      <w:pPr>
        <w:pStyle w:val="BodyText"/>
        <w:spacing w:line="480" w:lineRule="auto" w:before="72"/>
        <w:ind w:left="465" w:right="1253"/>
        <w:jc w:val="both"/>
      </w:pPr>
      <w:r>
        <w:rPr/>
        <w:t>The compressibility plot of SGS and SGS-PM is presented as Figure 4.23. The porosity</w:t>
      </w:r>
      <w:r>
        <w:rPr>
          <w:spacing w:val="1"/>
        </w:rPr>
        <w:t> </w:t>
      </w:r>
      <w:r>
        <w:rPr/>
        <w:t>of the material was found to decrease as the compression pressure was increasing and a</w:t>
      </w:r>
      <w:r>
        <w:rPr>
          <w:spacing w:val="1"/>
        </w:rPr>
        <w:t> </w:t>
      </w:r>
      <w:r>
        <w:rPr/>
        <w:t>greater</w:t>
      </w:r>
      <w:r>
        <w:rPr>
          <w:spacing w:val="-1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reduction in porosity</w:t>
      </w:r>
      <w:r>
        <w:rPr>
          <w:spacing w:val="-5"/>
        </w:rPr>
        <w:t> </w:t>
      </w:r>
      <w:r>
        <w:rPr/>
        <w:t>was observed with SGS compared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SGS-PM.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90"/>
        <w:ind w:left="1631"/>
      </w:pPr>
      <w:r>
        <w:rPr/>
        <w:pict>
          <v:group style="position:absolute;margin-left:179.160004pt;margin-top:11.073134pt;width:311.4pt;height:362.9pt;mso-position-horizontal-relative:page;mso-position-vertical-relative:paragraph;z-index:15897600" coordorigin="3583,221" coordsize="6228,7258">
            <v:shape style="position:absolute;left:3583;top:235;width:6214;height:7244" coordorigin="3583,236" coordsize="6214,7244" path="m3653,7409l3653,236m3583,7409l3653,7409m3583,6512l3653,6512m3583,5617l3653,5617m3583,4719l3653,4719m3583,3824l3653,3824m3583,2926l3653,2926m3583,2029l3653,2029m3583,1133l3653,1133m3583,236l3653,236m3653,7409l9797,7409m3653,7409l3653,7479m4678,7409l4678,7479m5700,7409l5700,7479m6725,7409l6725,7479m7750,7409l7750,7479m8772,7409l8772,7479m9797,7409l9797,7479e" filled="false" stroked="true" strokeweight="1.44pt" strokecolor="#000000">
              <v:path arrowok="t"/>
              <v:stroke dashstyle="solid"/>
            </v:shape>
            <v:shape style="position:absolute;left:4108;top:1416;width:5002;height:4545" coordorigin="4109,1417" coordsize="5002,4545" path="m4109,1417l4123,1496,4138,1576,4153,1657,4167,1738,4182,1820,4197,1902,4211,1985,4226,2068,4241,2151,4256,2234,4270,2317,4285,2400,4300,2483,4314,2566,4329,2649,4344,2731,4358,2812,4373,2893,4388,2974,4402,3054,4417,3133,4431,3211,4446,3288,4461,3364,4475,3439,4490,3513,4505,3586,4519,3657,4534,3727,4549,3795,4563,3862,4585,3959,4607,4056,4628,4151,4650,4245,4672,4338,4693,4429,4715,4519,4737,4607,4758,4693,4780,4777,4802,4859,4823,4938,4845,5014,4867,5087,4888,5157,4910,5224,4932,5288,4953,5348,4975,5404,5018,5504,5066,5585,5121,5646,5182,5691,5246,5724,5309,5747,5370,5764,5425,5778,5473,5792,5549,5813,5624,5823,5700,5826,5776,5826,5852,5829,5928,5838,6003,5857,6079,5880,6155,5906,6231,5931,6306,5950,6382,5961,6458,5961,6534,5953,6610,5939,6685,5924,6761,5910,6837,5902,6913,5900,6989,5903,7064,5907,7140,5910,7216,5909,7292,5901,7367,5883,7443,5854,7519,5821,7595,5791,7671,5769,7746,5761,7811,5770,7876,5793,7941,5824,8006,5857,8071,5887,8136,5909,8201,5916,8266,5906,8331,5882,8396,5849,8461,5813,8526,5779,8591,5752,8656,5739,8732,5740,8807,5752,8883,5773,8959,5797,9035,5821,9110,5842e" filled="false" stroked="true" strokeweight="2.16pt" strokecolor="#497dba">
              <v:path arrowok="t"/>
              <v:stroke dashstyle="solid"/>
            </v:shape>
            <v:shape style="position:absolute;left:4032;top:1337;width:155;height:155" type="#_x0000_t75" stroked="false">
              <v:imagedata r:id="rId189" o:title=""/>
            </v:shape>
            <v:shape style="position:absolute;left:4486;top:3784;width:155;height:155" type="#_x0000_t75" stroked="false">
              <v:imagedata r:id="rId199" o:title=""/>
            </v:shape>
            <v:shape style="position:absolute;left:4941;top:5427;width:155;height:155" type="#_x0000_t75" stroked="false">
              <v:imagedata r:id="rId193" o:title=""/>
            </v:shape>
            <v:shape style="position:absolute;left:5395;top:5715;width:155;height:155" type="#_x0000_t75" stroked="false">
              <v:imagedata r:id="rId190" o:title=""/>
            </v:shape>
            <v:shape style="position:absolute;left:5850;top:5761;width:155;height:155" type="#_x0000_t75" stroked="false">
              <v:imagedata r:id="rId200" o:title=""/>
            </v:shape>
            <v:shape style="position:absolute;left:6305;top:5884;width:155;height:155" type="#_x0000_t75" stroked="false">
              <v:imagedata r:id="rId193" o:title=""/>
            </v:shape>
            <v:shape style="position:absolute;left:6759;top:5825;width:155;height:155" type="#_x0000_t75" stroked="false">
              <v:imagedata r:id="rId197" o:title=""/>
            </v:shape>
            <v:shape style="position:absolute;left:7214;top:5824;width:155;height:155" type="#_x0000_t75" stroked="false">
              <v:imagedata r:id="rId197" o:title=""/>
            </v:shape>
            <v:shape style="position:absolute;left:7669;top:5683;width:155;height:155" type="#_x0000_t75" stroked="false">
              <v:imagedata r:id="rId193" o:title=""/>
            </v:shape>
            <v:shape style="position:absolute;left:8123;top:5839;width:155;height:155" type="#_x0000_t75" stroked="false">
              <v:imagedata r:id="rId197" o:title=""/>
            </v:shape>
            <v:shape style="position:absolute;left:8578;top:5662;width:155;height:155" type="#_x0000_t75" stroked="false">
              <v:imagedata r:id="rId193" o:title=""/>
            </v:shape>
            <v:shape style="position:absolute;left:9032;top:5764;width:155;height:155" type="#_x0000_t75" stroked="false">
              <v:imagedata r:id="rId197" o:title=""/>
            </v:shape>
            <v:shape style="position:absolute;left:4562;top:2902;width:4548;height:2448" coordorigin="4562,2902" coordsize="4548,2448" path="m4562,2902l4584,2980,4606,3061,4627,3144,4649,3228,4671,3315,4692,3401,4714,3489,4736,3576,4757,3663,4779,3749,4801,3834,4822,3917,4844,3997,4866,4075,4887,4150,4909,4221,4931,4289,4952,4351,4974,4409,5017,4508,5065,4580,5120,4629,5181,4661,5245,4680,5308,4691,5369,4700,5425,4713,5537,4776,5602,4823,5667,4874,5732,4925,5797,4976,5862,5023,5927,5065,5992,5106,6057,5149,6122,5190,6187,5226,6252,5256,6317,5275,6382,5282,6447,5268,6512,5235,6577,5189,6641,5140,6706,5096,6771,5064,6836,5053,6901,5069,6966,5105,7031,5154,7096,5208,7161,5258,7226,5297,7291,5316,7356,5313,7421,5292,7486,5261,7551,5224,7616,5189,7681,5162,7746,5148,7822,5150,7898,5162,7973,5182,8049,5206,8125,5229,8201,5247,8277,5261,8352,5274,8428,5287,8504,5299,8580,5310,8656,5319,8731,5327,8807,5333,8883,5337,8959,5341,9035,5346,9110,5350e" filled="false" stroked="true" strokeweight="2.16pt" strokecolor="#bd4a47">
              <v:path arrowok="t"/>
              <v:stroke dashstyle="solid"/>
            </v:shape>
            <v:rect style="position:absolute;left:4492;top:2830;width:140;height:140" filled="true" fillcolor="#c0504d" stroked="false">
              <v:fill type="solid"/>
            </v:rect>
            <v:rect style="position:absolute;left:4492;top:2830;width:140;height:140" filled="false" stroked="true" strokeweight=".72pt" strokecolor="#bd4a47">
              <v:stroke dashstyle="solid"/>
            </v:rect>
            <v:rect style="position:absolute;left:4946;top:4438;width:142;height:140" filled="true" fillcolor="#c0504d" stroked="false">
              <v:fill type="solid"/>
            </v:rect>
            <v:rect style="position:absolute;left:4946;top:4438;width:142;height:140" filled="false" stroked="true" strokeweight=".72pt" strokecolor="#bd4a47">
              <v:stroke dashstyle="solid"/>
            </v:rect>
            <v:rect style="position:absolute;left:5402;top:4661;width:140;height:142" filled="true" fillcolor="#c0504d" stroked="false">
              <v:fill type="solid"/>
            </v:rect>
            <v:rect style="position:absolute;left:5402;top:4661;width:140;height:142" filled="false" stroked="true" strokeweight=".72pt" strokecolor="#bd4a47">
              <v:stroke dashstyle="solid"/>
            </v:rect>
            <v:rect style="position:absolute;left:5856;top:4995;width:142;height:140" filled="true" fillcolor="#c0504d" stroked="false">
              <v:fill type="solid"/>
            </v:rect>
            <v:rect style="position:absolute;left:5856;top:4995;width:142;height:140" filled="false" stroked="true" strokeweight=".72pt" strokecolor="#bd4a47">
              <v:stroke dashstyle="solid"/>
            </v:rect>
            <v:rect style="position:absolute;left:6312;top:5211;width:140;height:140" filled="true" fillcolor="#c0504d" stroked="false">
              <v:fill type="solid"/>
            </v:rect>
            <v:rect style="position:absolute;left:6312;top:5211;width:140;height:140" filled="false" stroked="true" strokeweight=".72pt" strokecolor="#bd4a47">
              <v:stroke dashstyle="solid"/>
            </v:rect>
            <v:rect style="position:absolute;left:6765;top:4983;width:142;height:140" filled="true" fillcolor="#c0504d" stroked="false">
              <v:fill type="solid"/>
            </v:rect>
            <v:rect style="position:absolute;left:6765;top:4983;width:142;height:140" filled="false" stroked="true" strokeweight=".72pt" strokecolor="#bd4a47">
              <v:stroke dashstyle="solid"/>
            </v:rect>
            <v:rect style="position:absolute;left:7221;top:5247;width:140;height:140" filled="true" fillcolor="#c0504d" stroked="false">
              <v:fill type="solid"/>
            </v:rect>
            <v:rect style="position:absolute;left:7221;top:5247;width:140;height:140" filled="false" stroked="true" strokeweight=".72pt" strokecolor="#bd4a47">
              <v:stroke dashstyle="solid"/>
            </v:rect>
            <v:rect style="position:absolute;left:7675;top:5076;width:142;height:142" filled="true" fillcolor="#c0504d" stroked="false">
              <v:fill type="solid"/>
            </v:rect>
            <v:rect style="position:absolute;left:7675;top:5076;width:142;height:142" filled="false" stroked="true" strokeweight=".72pt" strokecolor="#bd4a47">
              <v:stroke dashstyle="solid"/>
            </v:rect>
            <v:rect style="position:absolute;left:8131;top:5175;width:140;height:142" filled="true" fillcolor="#c0504d" stroked="false">
              <v:fill type="solid"/>
            </v:rect>
            <v:rect style="position:absolute;left:8131;top:5175;width:140;height:142" filled="false" stroked="true" strokeweight=".72pt" strokecolor="#bd4a47">
              <v:stroke dashstyle="solid"/>
            </v:rect>
            <v:rect style="position:absolute;left:8584;top:5249;width:142;height:140" filled="true" fillcolor="#c0504d" stroked="false">
              <v:fill type="solid"/>
            </v:rect>
            <v:rect style="position:absolute;left:8584;top:5249;width:142;height:140" filled="false" stroked="true" strokeweight=".72pt" strokecolor="#bd4a47">
              <v:stroke dashstyle="solid"/>
            </v:rect>
            <v:rect style="position:absolute;left:9040;top:5280;width:140;height:140" filled="true" fillcolor="#c0504d" stroked="false">
              <v:fill type="solid"/>
            </v:rect>
            <v:rect style="position:absolute;left:9040;top:5280;width:140;height:140" filled="false" stroked="true" strokeweight=".72pt" strokecolor="#bd4a47">
              <v:stroke dashstyle="solid"/>
            </v:rect>
            <v:shape style="position:absolute;left:5347;top:1121;width:384;height:154" type="#_x0000_t75" stroked="false">
              <v:imagedata r:id="rId201" o:title=""/>
            </v:shape>
            <v:line style="position:absolute" from="6574,1198" to="6958,1198" stroked="true" strokeweight="2.16pt" strokecolor="#bd4a47">
              <v:stroke dashstyle="solid"/>
            </v:line>
            <v:rect style="position:absolute;left:6696;top:1128;width:140;height:140" filled="true" fillcolor="#c0504d" stroked="false">
              <v:fill type="solid"/>
            </v:rect>
            <v:rect style="position:absolute;left:6696;top:1128;width:140;height:140" filled="false" stroked="true" strokeweight=".72pt" strokecolor="#bd4a47">
              <v:stroke dashstyle="solid"/>
            </v:rect>
            <v:shape style="position:absolute;left:4977;top:879;width:3188;height:636" type="#_x0000_t202" filled="false" stroked="true" strokeweight=".72pt" strokecolor="#000000">
              <v:textbox inset="0,0,0,0">
                <w:txbxContent>
                  <w:p>
                    <w:pPr>
                      <w:tabs>
                        <w:tab w:pos="2016" w:val="left" w:leader="none"/>
                      </w:tabs>
                      <w:spacing w:before="171"/>
                      <w:ind w:left="78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SGS</w:t>
                      <w:tab/>
                      <w:t>SGS-PM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0.4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90"/>
        <w:ind w:left="1511"/>
      </w:pPr>
      <w:r>
        <w:rPr/>
        <w:t>0.35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90"/>
        <w:ind w:left="1631"/>
      </w:pPr>
      <w:r>
        <w:rPr/>
        <w:pict>
          <v:shape style="position:absolute;margin-left:125.779846pt;margin-top:16.657131pt;width:20.45pt;height:61.8pt;mso-position-horizontal-relative:page;mso-position-vertical-relative:paragraph;z-index:15898112" type="#_x0000_t202" filled="false" stroked="false">
            <v:textbox inset="0,0,0,0" style="layout-flow:vertical;mso-layout-flow-alt:bottom-to-top">
              <w:txbxContent>
                <w:p>
                  <w:pPr>
                    <w:spacing w:before="58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Porosity</w:t>
                  </w:r>
                  <w:r>
                    <w:rPr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spacing w:val="-1"/>
                      <w:sz w:val="24"/>
                    </w:rPr>
                    <w:t>(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Ɛ</w:t>
                  </w:r>
                  <w:r>
                    <w:rPr>
                      <w:b/>
                      <w:spacing w:val="-1"/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t>0.3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90"/>
        <w:ind w:left="1511"/>
      </w:pPr>
      <w:r>
        <w:rPr/>
        <w:t>0.25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90"/>
        <w:ind w:left="1631"/>
      </w:pPr>
      <w:r>
        <w:rPr/>
        <w:t>0.2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90"/>
        <w:ind w:left="1511"/>
      </w:pPr>
      <w:r>
        <w:rPr/>
        <w:t>0.15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90"/>
        <w:ind w:left="1631"/>
      </w:pPr>
      <w:r>
        <w:rPr/>
        <w:t>0.1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90"/>
        <w:ind w:left="1511"/>
      </w:pPr>
      <w:r>
        <w:rPr/>
        <w:t>0.05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90"/>
        <w:ind w:left="1810"/>
      </w:pPr>
      <w:r>
        <w:rPr/>
        <w:t>0</w:t>
      </w:r>
    </w:p>
    <w:p>
      <w:pPr>
        <w:pStyle w:val="BodyText"/>
        <w:tabs>
          <w:tab w:pos="3038" w:val="left" w:leader="none"/>
          <w:tab w:pos="4062" w:val="left" w:leader="none"/>
          <w:tab w:pos="5087" w:val="left" w:leader="none"/>
          <w:tab w:pos="6111" w:val="left" w:leader="none"/>
          <w:tab w:pos="7075" w:val="left" w:leader="none"/>
          <w:tab w:pos="8099" w:val="left" w:leader="none"/>
        </w:tabs>
        <w:spacing w:before="72"/>
        <w:ind w:left="2074"/>
      </w:pPr>
      <w:r>
        <w:rPr/>
        <w:t>0</w:t>
        <w:tab/>
        <w:t>20</w:t>
        <w:tab/>
        <w:t>40</w:t>
        <w:tab/>
        <w:t>60</w:t>
        <w:tab/>
        <w:t>80</w:t>
        <w:tab/>
        <w:t>100</w:t>
        <w:tab/>
        <w:t>120</w:t>
      </w:r>
    </w:p>
    <w:p>
      <w:pPr>
        <w:pStyle w:val="Heading3"/>
        <w:spacing w:before="150"/>
        <w:ind w:left="657" w:right="470"/>
        <w:jc w:val="center"/>
      </w:pPr>
      <w:r>
        <w:rPr>
          <w:spacing w:val="-1"/>
        </w:rPr>
        <w:t>Compaction</w:t>
      </w:r>
      <w:r>
        <w:rPr>
          <w:spacing w:val="1"/>
        </w:rPr>
        <w:t> </w:t>
      </w:r>
      <w:r>
        <w:rPr>
          <w:spacing w:val="-1"/>
        </w:rPr>
        <w:t>Pressure</w:t>
      </w:r>
      <w:r>
        <w:rPr>
          <w:spacing w:val="7"/>
        </w:rPr>
        <w:t> </w:t>
      </w:r>
      <w:r>
        <w:rPr>
          <w:spacing w:val="-1"/>
        </w:rPr>
        <w:t>P</w:t>
      </w:r>
      <w:r>
        <w:rPr>
          <w:spacing w:val="-15"/>
        </w:rPr>
        <w:t> </w:t>
      </w:r>
      <w:r>
        <w:rPr>
          <w:spacing w:val="-1"/>
        </w:rPr>
        <w:t>(MN/m</w:t>
      </w:r>
      <w:r>
        <w:rPr>
          <w:spacing w:val="-1"/>
          <w:position w:val="7"/>
          <w:sz w:val="16"/>
        </w:rPr>
        <w:t>2</w:t>
      </w:r>
      <w:r>
        <w:rPr>
          <w:spacing w:val="-1"/>
        </w:rPr>
        <w:t>)</w:t>
      </w:r>
    </w:p>
    <w:p>
      <w:pPr>
        <w:pStyle w:val="BodyText"/>
        <w:spacing w:before="1"/>
        <w:rPr>
          <w:b/>
        </w:rPr>
      </w:pPr>
    </w:p>
    <w:p>
      <w:pPr>
        <w:spacing w:before="90"/>
        <w:ind w:left="465" w:right="1497" w:firstLine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Figure 4.23: Compressibility plot for SGS and SGS-PM showing the relationship</w:t>
      </w:r>
      <w:r>
        <w:rPr>
          <w:b/>
          <w:bCs/>
          <w:spacing w:val="-57"/>
          <w:sz w:val="24"/>
          <w:szCs w:val="24"/>
        </w:rPr>
        <w:t> </w:t>
      </w:r>
      <w:r>
        <w:rPr>
          <w:b/>
          <w:bCs/>
          <w:sz w:val="24"/>
          <w:szCs w:val="24"/>
        </w:rPr>
        <w:t>between</w:t>
      </w:r>
      <w:r>
        <w:rPr>
          <w:b/>
          <w:bCs/>
          <w:spacing w:val="1"/>
          <w:sz w:val="24"/>
          <w:szCs w:val="24"/>
        </w:rPr>
        <w:t> </w:t>
      </w:r>
      <w:r>
        <w:rPr>
          <w:b/>
          <w:bCs/>
          <w:sz w:val="24"/>
          <w:szCs w:val="24"/>
        </w:rPr>
        <w:t>compression</w:t>
      </w:r>
      <w:r>
        <w:rPr>
          <w:b/>
          <w:bCs/>
          <w:spacing w:val="1"/>
          <w:sz w:val="24"/>
          <w:szCs w:val="24"/>
        </w:rPr>
        <w:t> </w:t>
      </w:r>
      <w:r>
        <w:rPr>
          <w:b/>
          <w:bCs/>
          <w:sz w:val="24"/>
          <w:szCs w:val="24"/>
        </w:rPr>
        <w:t>pressure</w:t>
      </w:r>
      <w:r>
        <w:rPr>
          <w:b/>
          <w:bCs/>
          <w:spacing w:val="2"/>
          <w:sz w:val="24"/>
          <w:szCs w:val="24"/>
        </w:rPr>
        <w:t> </w:t>
      </w:r>
      <w:r>
        <w:rPr>
          <w:b/>
          <w:bCs/>
          <w:sz w:val="24"/>
          <w:szCs w:val="24"/>
        </w:rPr>
        <w:t>P</w:t>
      </w:r>
      <w:r>
        <w:rPr>
          <w:b/>
          <w:bCs/>
          <w:spacing w:val="-2"/>
          <w:sz w:val="24"/>
          <w:szCs w:val="24"/>
        </w:rPr>
        <w:t> </w:t>
      </w:r>
      <w:r>
        <w:rPr>
          <w:b/>
          <w:bCs/>
          <w:sz w:val="24"/>
          <w:szCs w:val="24"/>
        </w:rPr>
        <w:t>(MN/m</w:t>
      </w:r>
      <w:r>
        <w:rPr>
          <w:b/>
          <w:bCs/>
          <w:sz w:val="24"/>
          <w:szCs w:val="24"/>
          <w:vertAlign w:val="superscript"/>
        </w:rPr>
        <w:t>2</w:t>
      </w:r>
      <w:r>
        <w:rPr>
          <w:b/>
          <w:bCs/>
          <w:sz w:val="24"/>
          <w:szCs w:val="24"/>
          <w:vertAlign w:val="baseline"/>
        </w:rPr>
        <w:t>)</w:t>
      </w:r>
      <w:r>
        <w:rPr>
          <w:b/>
          <w:bCs/>
          <w:spacing w:val="1"/>
          <w:sz w:val="24"/>
          <w:szCs w:val="24"/>
          <w:vertAlign w:val="baseline"/>
        </w:rPr>
        <w:t> </w:t>
      </w:r>
      <w:r>
        <w:rPr>
          <w:b/>
          <w:bCs/>
          <w:sz w:val="24"/>
          <w:szCs w:val="24"/>
          <w:vertAlign w:val="baseline"/>
        </w:rPr>
        <w:t>and</w:t>
      </w:r>
      <w:r>
        <w:rPr>
          <w:b/>
          <w:bCs/>
          <w:spacing w:val="1"/>
          <w:sz w:val="24"/>
          <w:szCs w:val="24"/>
          <w:vertAlign w:val="baseline"/>
        </w:rPr>
        <w:t> </w:t>
      </w:r>
      <w:r>
        <w:rPr>
          <w:b/>
          <w:bCs/>
          <w:sz w:val="24"/>
          <w:szCs w:val="24"/>
          <w:vertAlign w:val="baseline"/>
        </w:rPr>
        <w:t>porosity</w:t>
      </w:r>
      <w:r>
        <w:rPr>
          <w:b/>
          <w:bCs/>
          <w:spacing w:val="3"/>
          <w:sz w:val="24"/>
          <w:szCs w:val="24"/>
          <w:vertAlign w:val="baseline"/>
        </w:rPr>
        <w:t> </w:t>
      </w:r>
      <w:r>
        <w:rPr>
          <w:b/>
          <w:bCs/>
          <w:sz w:val="24"/>
          <w:szCs w:val="24"/>
          <w:vertAlign w:val="baseline"/>
        </w:rPr>
        <w:t>(Ԑ)</w:t>
      </w:r>
    </w:p>
    <w:p>
      <w:pPr>
        <w:spacing w:after="0"/>
        <w:jc w:val="left"/>
        <w:rPr>
          <w:sz w:val="24"/>
          <w:szCs w:val="24"/>
        </w:rPr>
        <w:sectPr>
          <w:pgSz w:w="11910" w:h="16840"/>
          <w:pgMar w:header="0" w:footer="987" w:top="1580" w:bottom="1260" w:left="1520" w:right="160"/>
        </w:sectPr>
      </w:pPr>
    </w:p>
    <w:p>
      <w:pPr>
        <w:pStyle w:val="BodyText"/>
        <w:spacing w:line="480" w:lineRule="auto" w:before="72"/>
        <w:ind w:left="465" w:right="1257"/>
        <w:jc w:val="both"/>
      </w:pPr>
      <w:r>
        <w:rPr/>
        <w:t>The compactibility plot of SGS and SGS-PM is displayed as Figure 4.24. The tensile</w:t>
      </w:r>
      <w:r>
        <w:rPr>
          <w:spacing w:val="1"/>
        </w:rPr>
        <w:t> </w:t>
      </w:r>
      <w:r>
        <w:rPr/>
        <w:t>strength of the compacts of SGS and SGS-PM was found to increase as the porosity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compact</w:t>
      </w:r>
      <w:r>
        <w:rPr>
          <w:spacing w:val="1"/>
        </w:rPr>
        <w:t> </w:t>
      </w:r>
      <w:r>
        <w:rPr/>
        <w:t>increased.</w:t>
      </w:r>
      <w:r>
        <w:rPr>
          <w:spacing w:val="1"/>
        </w:rPr>
        <w:t> </w:t>
      </w:r>
      <w:r>
        <w:rPr/>
        <w:t>SGS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compacts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 SGS-PM at</w:t>
      </w:r>
      <w:r>
        <w:rPr>
          <w:spacing w:val="1"/>
        </w:rPr>
        <w:t> </w:t>
      </w:r>
      <w:r>
        <w:rPr/>
        <w:t>the same porosity.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tabs>
          <w:tab w:pos="4592" w:val="left" w:leader="none"/>
        </w:tabs>
        <w:spacing w:line="158" w:lineRule="exact"/>
        <w:ind w:left="3308" w:right="0" w:firstLine="0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246184" cy="100012"/>
            <wp:effectExtent l="0" t="0" r="0" b="0"/>
            <wp:docPr id="151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95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8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  <w:r>
        <w:rPr>
          <w:position w:val="-2"/>
          <w:sz w:val="15"/>
        </w:rPr>
        <w:tab/>
      </w:r>
      <w:r>
        <w:rPr>
          <w:position w:val="-2"/>
          <w:sz w:val="15"/>
        </w:rPr>
        <w:pict>
          <v:group style="width:19.2pt;height:7.8pt;mso-position-horizontal-relative:char;mso-position-vertical-relative:line" coordorigin="0,0" coordsize="384,156">
            <v:line style="position:absolute" from="0,77" to="384,77" stroked="true" strokeweight="2.16pt" strokecolor="#bd4a47">
              <v:stroke dashstyle="solid"/>
            </v:line>
            <v:rect style="position:absolute;left:122;top:7;width:140;height:142" filled="true" fillcolor="#c0504d" stroked="false">
              <v:fill type="solid"/>
            </v:rect>
            <v:rect style="position:absolute;left:122;top:7;width:140;height:142" filled="false" stroked="true" strokeweight=".72pt" strokecolor="#bd4a47">
              <v:stroke dashstyle="solid"/>
            </v:rect>
          </v:group>
        </w:pict>
      </w:r>
      <w:r>
        <w:rPr>
          <w:position w:val="-2"/>
          <w:sz w:val="15"/>
        </w:rPr>
      </w:r>
    </w:p>
    <w:p>
      <w:pPr>
        <w:pStyle w:val="BodyText"/>
        <w:spacing w:before="38"/>
        <w:ind w:left="1174"/>
      </w:pPr>
      <w:r>
        <w:rPr/>
        <w:pict>
          <v:group style="position:absolute;margin-left:156.479996pt;margin-top:-19.6369pt;width:271.1pt;height:299.9pt;mso-position-horizontal-relative:page;mso-position-vertical-relative:paragraph;z-index:-20741632" coordorigin="3130,-393" coordsize="5422,5998">
            <v:shape style="position:absolute;left:3129;top:183;width:5408;height:5422" coordorigin="3130,183" coordsize="5408,5422" path="m3199,5533l3199,183m3130,5533l3199,5533m3130,4938l3199,4938m3130,4345l3199,4345m3130,3750l3199,3750m3130,3154l3199,3154m3130,2562l3199,2562m3130,1966l3199,1966m3130,1371l3199,1371m3130,778l3199,778m3130,183l3199,183m3199,5533l8537,5533m3199,5533l3199,5605m4534,5533l4534,5605m5868,5533l5868,5605m7202,5533l7202,5605m8537,5533l8537,5605e" filled="false" stroked="true" strokeweight="1.44pt" strokecolor="#000000">
              <v:path arrowok="t"/>
              <v:stroke dashstyle="solid"/>
            </v:shape>
            <v:shape style="position:absolute;left:4365;top:672;width:3293;height:4560" coordorigin="4366,673" coordsize="3293,4560" path="m7658,5233l7585,5212,7511,5194,7436,5177,7361,5162,7285,5148,7209,5135,7132,5123,7055,5111,6978,5099,6902,5087,6825,5075,6749,5062,6673,5047,6598,5032,6523,5015,6450,4995,6377,4974,6305,4950,6234,4923,6164,4893,6096,4859,6029,4822,5964,4780,5900,4735,5839,4684,5790,4640,5741,4591,5692,4538,5644,4482,5596,4422,5549,4359,5502,4293,5455,4225,5409,4154,5363,4082,5318,4008,5274,3932,5230,3855,5187,3778,5145,3700,5104,3621,5064,3543,5024,3465,4986,3387,4949,3310,4912,3234,4877,3160,4843,3087,4810,3017,4778,2948,4748,2882,4719,2819,4691,2759,4665,2702,4640,2648,4617,2599,4571,2497,4536,2403,4510,2316,4490,2235,4477,2160,4468,2088,4462,2019,4458,1952,4454,1885,4449,1818,4442,1749,4433,1674,4425,1596,4418,1516,4411,1435,4405,1352,4400,1267,4395,1183,4390,1097,4386,1011,4381,926,4376,841,4371,756,4366,673e" filled="false" stroked="true" strokeweight="2.16pt" strokecolor="#497dba">
              <v:path arrowok="t"/>
              <v:stroke dashstyle="solid"/>
            </v:shape>
            <v:shape style="position:absolute;left:7583;top:5155;width:155;height:155" type="#_x0000_t75" stroked="false">
              <v:imagedata r:id="rId197" o:title=""/>
            </v:shape>
            <v:shape style="position:absolute;left:5762;top:4606;width:155;height:155" type="#_x0000_t75" stroked="false">
              <v:imagedata r:id="rId203" o:title=""/>
            </v:shape>
            <v:shape style="position:absolute;left:4539;top:2522;width:155;height:155" type="#_x0000_t75" stroked="false">
              <v:imagedata r:id="rId192" o:title=""/>
            </v:shape>
            <v:shape style="position:absolute;left:4365;top:1672;width:155;height:155" type="#_x0000_t75" stroked="false">
              <v:imagedata r:id="rId204" o:title=""/>
            </v:shape>
            <v:shape style="position:absolute;left:4288;top:596;width:155;height:155" type="#_x0000_t75" stroked="false">
              <v:imagedata r:id="rId189" o:title=""/>
            </v:shape>
            <v:shape style="position:absolute;left:4754;top:4018;width:1800;height:1133" coordorigin="4754,4018" coordsize="1800,1133" path="m6554,5151l6478,5117,6398,5081,6315,5044,6231,5006,6146,4968,6061,4929,5976,4891,5892,4853,5810,4817,5731,4781,5656,4747,5585,4716,5519,4686,5458,4659,5358,4614,5301,4590,5216,4557,5131,4533,5061,4518,4994,4500,4943,4476,4915,4442,4902,4402,4894,4359,4882,4315,4845,4220,4808,4131,4780,4070,4767,4045,4754,4018e" filled="false" stroked="true" strokeweight="2.16pt" strokecolor="#bd4a47">
              <v:path arrowok="t"/>
              <v:stroke dashstyle="solid"/>
            </v:shape>
            <v:rect style="position:absolute;left:6484;top:5081;width:140;height:140" filled="true" fillcolor="#c0504d" stroked="false">
              <v:fill type="solid"/>
            </v:rect>
            <v:rect style="position:absolute;left:6484;top:5081;width:140;height:140" filled="false" stroked="true" strokeweight=".72pt" strokecolor="#bd4a47">
              <v:stroke dashstyle="solid"/>
            </v:rect>
            <v:shape style="position:absolute;left:5114;top:4472;width:322;height:221" type="#_x0000_t75" stroked="false">
              <v:imagedata r:id="rId205" o:title=""/>
            </v:shape>
            <v:shape style="position:absolute;left:4804;top:4239;width:216;height:315" type="#_x0000_t75" stroked="false">
              <v:imagedata r:id="rId206" o:title=""/>
            </v:shape>
            <v:shape style="position:absolute;left:4677;top:3941;width:209;height:267" type="#_x0000_t75" stroked="false">
              <v:imagedata r:id="rId207" o:title=""/>
            </v:shape>
            <v:shape style="position:absolute;left:4377;top:-386;width:3428;height:612" type="#_x0000_t202" filled="false" stroked="true" strokeweight=".72pt" strokecolor="#000000">
              <v:textbox inset="0,0,0,0">
                <w:txbxContent>
                  <w:p>
                    <w:pPr>
                      <w:tabs>
                        <w:tab w:pos="2175" w:val="left" w:leader="none"/>
                      </w:tabs>
                      <w:spacing w:before="158"/>
                      <w:ind w:left="86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SGS</w:t>
                      <w:tab/>
                      <w:t>SGS-PM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4.5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0"/>
        <w:ind w:left="1356"/>
      </w:pPr>
      <w:r>
        <w:rPr/>
        <w:t>4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90"/>
        <w:ind w:left="1174"/>
      </w:pPr>
      <w:r>
        <w:rPr/>
        <w:t>3.5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90"/>
        <w:ind w:left="1356"/>
      </w:pPr>
      <w:r>
        <w:rPr/>
        <w:pict>
          <v:shape style="position:absolute;margin-left:112.915451pt;margin-top:-10.192892pt;width:15.4pt;height:133.1pt;mso-position-horizontal-relative:page;mso-position-vertical-relative:paragraph;z-index:1589964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Tensile</w:t>
                  </w:r>
                  <w:r>
                    <w:rPr>
                      <w:b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spacing w:val="-1"/>
                      <w:sz w:val="24"/>
                    </w:rPr>
                    <w:t>Strength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(MN/m</w:t>
                  </w:r>
                  <w:r>
                    <w:rPr>
                      <w:b/>
                      <w:position w:val="7"/>
                      <w:sz w:val="16"/>
                    </w:rPr>
                    <w:t>2</w:t>
                  </w:r>
                  <w:r>
                    <w:rPr>
                      <w:b/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t>3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90"/>
        <w:ind w:left="1174"/>
      </w:pPr>
      <w:r>
        <w:rPr/>
        <w:t>2.5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0"/>
        <w:ind w:left="1356"/>
      </w:pPr>
      <w:r>
        <w:rPr/>
        <w:t>2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0"/>
        <w:ind w:left="1174"/>
      </w:pPr>
      <w:r>
        <w:rPr/>
        <w:t>1.5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0"/>
        <w:ind w:left="1356"/>
      </w:pPr>
      <w:r>
        <w:rPr/>
        <w:t>1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0"/>
        <w:ind w:left="1174"/>
      </w:pPr>
      <w:r>
        <w:rPr/>
        <w:t>0.5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0"/>
        <w:ind w:left="1356"/>
      </w:pPr>
      <w:r>
        <w:rPr/>
        <w:t>0</w:t>
      </w:r>
    </w:p>
    <w:p>
      <w:pPr>
        <w:pStyle w:val="BodyText"/>
        <w:tabs>
          <w:tab w:pos="1243" w:val="left" w:leader="none"/>
          <w:tab w:pos="2578" w:val="left" w:leader="none"/>
          <w:tab w:pos="3913" w:val="left" w:leader="none"/>
          <w:tab w:pos="5247" w:val="left" w:leader="none"/>
        </w:tabs>
        <w:spacing w:before="73"/>
        <w:ind w:right="1436"/>
        <w:jc w:val="center"/>
      </w:pPr>
      <w:r>
        <w:rPr/>
        <w:t>0</w:t>
        <w:tab/>
        <w:t>0.1</w:t>
        <w:tab/>
        <w:t>0.2</w:t>
        <w:tab/>
        <w:t>0.3</w:t>
        <w:tab/>
        <w:t>0.4</w:t>
      </w:r>
    </w:p>
    <w:p>
      <w:pPr>
        <w:pStyle w:val="Heading3"/>
        <w:spacing w:before="190"/>
        <w:ind w:left="535" w:right="2060"/>
        <w:jc w:val="center"/>
      </w:pPr>
      <w:r>
        <w:rPr/>
        <w:t>Porosity</w:t>
      </w:r>
      <w:r>
        <w:rPr>
          <w:spacing w:val="-12"/>
        </w:rPr>
        <w:t> </w:t>
      </w:r>
      <w:r>
        <w:rPr/>
        <w:t>(</w:t>
      </w:r>
      <w:r>
        <w:rPr>
          <w:rFonts w:ascii="Arial" w:hAnsi="Arial"/>
        </w:rPr>
        <w:t>Ɛ</w:t>
      </w:r>
      <w:r>
        <w:rPr/>
        <w:t>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spacing w:before="90"/>
        <w:ind w:left="465" w:right="1537" w:firstLine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Figure 4.24: Compactability plot for SGS and SGS-PM showing the relationship</w:t>
      </w:r>
      <w:r>
        <w:rPr>
          <w:b/>
          <w:bCs/>
          <w:spacing w:val="-57"/>
          <w:sz w:val="24"/>
          <w:szCs w:val="24"/>
        </w:rPr>
        <w:t> </w:t>
      </w:r>
      <w:r>
        <w:rPr>
          <w:b/>
          <w:bCs/>
          <w:sz w:val="24"/>
          <w:szCs w:val="24"/>
        </w:rPr>
        <w:t>between porosity</w:t>
      </w:r>
      <w:r>
        <w:rPr>
          <w:b/>
          <w:bCs/>
          <w:spacing w:val="1"/>
          <w:sz w:val="24"/>
          <w:szCs w:val="24"/>
        </w:rPr>
        <w:t> </w:t>
      </w:r>
      <w:r>
        <w:rPr>
          <w:b/>
          <w:bCs/>
          <w:sz w:val="24"/>
          <w:szCs w:val="24"/>
        </w:rPr>
        <w:t>(Ԑ)</w:t>
      </w:r>
      <w:r>
        <w:rPr>
          <w:b/>
          <w:bCs/>
          <w:spacing w:val="1"/>
          <w:sz w:val="24"/>
          <w:szCs w:val="24"/>
        </w:rPr>
        <w:t> </w:t>
      </w:r>
      <w:r>
        <w:rPr>
          <w:b/>
          <w:bCs/>
          <w:sz w:val="24"/>
          <w:szCs w:val="24"/>
        </w:rPr>
        <w:t>and</w:t>
      </w:r>
      <w:r>
        <w:rPr>
          <w:b/>
          <w:bCs/>
          <w:spacing w:val="1"/>
          <w:sz w:val="24"/>
          <w:szCs w:val="24"/>
        </w:rPr>
        <w:t> </w:t>
      </w:r>
      <w:r>
        <w:rPr>
          <w:b/>
          <w:bCs/>
          <w:sz w:val="24"/>
          <w:szCs w:val="24"/>
        </w:rPr>
        <w:t>tensile strength</w:t>
      </w:r>
      <w:r>
        <w:rPr>
          <w:b/>
          <w:bCs/>
          <w:spacing w:val="1"/>
          <w:sz w:val="24"/>
          <w:szCs w:val="24"/>
        </w:rPr>
        <w:t> </w:t>
      </w:r>
      <w:r>
        <w:rPr>
          <w:b/>
          <w:bCs/>
          <w:sz w:val="24"/>
          <w:szCs w:val="24"/>
        </w:rPr>
        <w:t>(MN/m</w:t>
      </w:r>
      <w:r>
        <w:rPr>
          <w:b/>
          <w:bCs/>
          <w:sz w:val="24"/>
          <w:szCs w:val="24"/>
          <w:vertAlign w:val="superscript"/>
        </w:rPr>
        <w:t>2</w:t>
      </w:r>
      <w:r>
        <w:rPr>
          <w:b/>
          <w:bCs/>
          <w:sz w:val="24"/>
          <w:szCs w:val="24"/>
          <w:vertAlign w:val="baseline"/>
        </w:rPr>
        <w:t>)</w:t>
      </w:r>
    </w:p>
    <w:p>
      <w:pPr>
        <w:spacing w:after="0"/>
        <w:jc w:val="left"/>
        <w:rPr>
          <w:sz w:val="24"/>
          <w:szCs w:val="24"/>
        </w:rPr>
        <w:sectPr>
          <w:pgSz w:w="11910" w:h="16840"/>
          <w:pgMar w:header="0" w:footer="987" w:top="1580" w:bottom="1260" w:left="1520" w:right="160"/>
        </w:sectPr>
      </w:pPr>
    </w:p>
    <w:p>
      <w:pPr>
        <w:pStyle w:val="BodyText"/>
        <w:spacing w:line="480" w:lineRule="auto" w:before="72"/>
        <w:ind w:left="465" w:right="1252"/>
        <w:jc w:val="both"/>
      </w:pPr>
      <w:r>
        <w:rPr/>
        <w:t>Tabletability plot of SGS and SGS-PM is presented as Figure 4.25. The tensile strength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compacts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compacts</w:t>
      </w:r>
      <w:r>
        <w:rPr>
          <w:spacing w:val="13"/>
        </w:rPr>
        <w:t> </w:t>
      </w:r>
      <w:r>
        <w:rPr/>
        <w:t>with</w:t>
      </w:r>
      <w:r>
        <w:rPr>
          <w:spacing w:val="14"/>
        </w:rPr>
        <w:t> </w:t>
      </w:r>
      <w:r>
        <w:rPr/>
        <w:t>superior</w:t>
      </w:r>
      <w:r>
        <w:rPr>
          <w:spacing w:val="13"/>
        </w:rPr>
        <w:t> </w:t>
      </w:r>
      <w:r>
        <w:rPr/>
        <w:t>tensile</w:t>
      </w:r>
      <w:r>
        <w:rPr>
          <w:spacing w:val="13"/>
        </w:rPr>
        <w:t> </w:t>
      </w:r>
      <w:r>
        <w:rPr/>
        <w:t>strength</w:t>
      </w:r>
      <w:r>
        <w:rPr>
          <w:spacing w:val="14"/>
        </w:rPr>
        <w:t> </w:t>
      </w:r>
      <w:r>
        <w:rPr/>
        <w:t>were</w:t>
      </w:r>
      <w:r>
        <w:rPr>
          <w:spacing w:val="14"/>
        </w:rPr>
        <w:t> </w:t>
      </w:r>
      <w:r>
        <w:rPr/>
        <w:t>obtained</w:t>
      </w:r>
      <w:r>
        <w:rPr>
          <w:spacing w:val="13"/>
        </w:rPr>
        <w:t> </w:t>
      </w:r>
      <w:r>
        <w:rPr/>
        <w:t>with</w:t>
      </w:r>
      <w:r>
        <w:rPr>
          <w:spacing w:val="14"/>
        </w:rPr>
        <w:t> </w:t>
      </w:r>
      <w:r>
        <w:rPr/>
        <w:t>SGS</w:t>
      </w:r>
      <w:r>
        <w:rPr>
          <w:spacing w:val="14"/>
        </w:rPr>
        <w:t> </w:t>
      </w:r>
      <w:r>
        <w:rPr/>
        <w:t>compared</w:t>
      </w:r>
      <w:r>
        <w:rPr>
          <w:spacing w:val="16"/>
        </w:rPr>
        <w:t> </w:t>
      </w:r>
      <w:r>
        <w:rPr/>
        <w:t>to</w:t>
      </w:r>
      <w:r>
        <w:rPr>
          <w:spacing w:val="14"/>
        </w:rPr>
        <w:t> </w:t>
      </w:r>
      <w:r>
        <w:rPr/>
        <w:t>SGS-PM</w:t>
      </w:r>
      <w:r>
        <w:rPr>
          <w:spacing w:val="-58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compression pressure.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90"/>
        <w:ind w:left="1757"/>
      </w:pPr>
      <w:r>
        <w:rPr/>
        <w:pict>
          <v:group style="position:absolute;margin-left:185.399994pt;margin-top:-12.756872pt;width:267.6pt;height:322.350pt;mso-position-horizontal-relative:page;mso-position-vertical-relative:paragraph;z-index:15900160" coordorigin="3708,-255" coordsize="5352,6447">
            <v:shape style="position:absolute;left:3708;top:234;width:5338;height:5957" coordorigin="3708,234" coordsize="5338,5957" path="m3780,6119l3780,234m3708,6119l3780,6119m3708,5466l3780,5466m3708,4811l3780,4811m3708,4158l3780,4158m3708,3503l3780,3503m3708,2850l3780,2850m3708,2195l3780,2195m3708,1542l3780,1542m3708,887l3780,887m3708,234l3780,234m3780,6119l9046,6119m3780,6119l3780,6191m4658,6119l4658,6191m5534,6119l5534,6191m6413,6119l6413,6191m7291,6119l7291,6191m8167,6119l8167,6191m9046,6119l9046,6191e" filled="false" stroked="true" strokeweight="1.44pt" strokecolor="#000000">
              <v:path arrowok="t"/>
              <v:stroke dashstyle="solid"/>
            </v:shape>
            <v:shape style="position:absolute;left:4168;top:774;width:4287;height:5014" coordorigin="4169,774" coordsize="4287,5014" path="m4169,5788l4191,5750,4214,5701,4241,5644,4274,5579,4312,5508,4358,5432,4414,5352,4480,5269,4558,5185,4633,5112,4719,5029,4766,4984,4816,4937,4869,4888,4923,4836,4980,4783,5039,4729,5100,4672,5162,4614,5226,4555,5292,4495,5359,4434,5426,4371,5495,4308,5565,4244,5636,4180,5707,4115,5778,4050,5850,3985,5922,3920,5994,3855,6066,3790,6138,3725,6209,3661,6279,3597,6349,3534,6418,3472,6486,3411,6553,3351,6618,3293,6682,3235,6745,3180,6806,3125,6864,3073,6921,3022,6976,2973,7028,2927,7078,2883,7126,2841,7212,2764,7286,2699,7372,2631,7455,2577,7530,2535,7594,2502,7644,2476,7676,2454,7725,2409,7773,2364,7822,2316,7871,2264,7919,2205,7968,2136,8017,2054,8066,1958,8090,1903,8114,1843,8139,1778,8163,1710,8187,1639,8212,1564,8236,1488,8260,1409,8285,1329,8309,1248,8333,1167,8358,1086,8382,1006,8407,927,8431,850,8455,774e" filled="false" stroked="true" strokeweight="2.16pt" strokecolor="#497dba">
              <v:path arrowok="t"/>
              <v:stroke dashstyle="solid"/>
            </v:shape>
            <v:shape style="position:absolute;left:4092;top:5710;width:155;height:155" type="#_x0000_t75" stroked="false">
              <v:imagedata r:id="rId193" o:title=""/>
            </v:shape>
            <v:shape style="position:absolute;left:4481;top:5107;width:155;height:155" type="#_x0000_t75" stroked="false">
              <v:imagedata r:id="rId208" o:title=""/>
            </v:shape>
            <v:shape style="position:absolute;left:7208;top:2622;width:155;height:155" type="#_x0000_t75" stroked="false">
              <v:imagedata r:id="rId204" o:title=""/>
            </v:shape>
            <v:shape style="position:absolute;left:7598;top:2377;width:155;height:155" type="#_x0000_t75" stroked="false">
              <v:imagedata r:id="rId190" o:title=""/>
            </v:shape>
            <v:shape style="position:absolute;left:7988;top:1880;width:155;height:155" type="#_x0000_t75" stroked="false">
              <v:imagedata r:id="rId204" o:title=""/>
            </v:shape>
            <v:shape style="position:absolute;left:8377;top:697;width:155;height:155" type="#_x0000_t75" stroked="false">
              <v:imagedata r:id="rId190" o:title=""/>
            </v:shape>
            <v:shape style="position:absolute;left:4557;top:4453;width:3509;height:1244" coordorigin="4558,4454" coordsize="3509,1244" path="m4558,5697l4601,5629,4644,5556,4688,5481,4731,5407,4774,5334,4818,5266,4861,5204,4904,5151,4947,5108,5056,5066,5134,5057,5228,5048,5337,5035,5445,5021,5509,5013,5578,5004,5652,4995,5731,4986,5814,4976,5900,4965,5989,4955,6080,4944,6172,4933,6265,4921,6359,4910,6452,4898,6544,4887,6635,4875,6724,4864,6810,4852,6893,4841,6972,4830,7046,4819,7115,4809,7179,4799,7287,4779,7385,4752,7468,4715,7536,4674,7591,4634,7638,4600,7677,4577,7755,4548,7832,4522,7910,4499,7988,4477,8066,4454e" filled="false" stroked="true" strokeweight="2.16pt" strokecolor="#bd4a47">
              <v:path arrowok="t"/>
              <v:stroke dashstyle="solid"/>
            </v:shape>
            <v:rect style="position:absolute;left:4488;top:5627;width:140;height:140" filled="true" fillcolor="#c0504d" stroked="false">
              <v:fill type="solid"/>
            </v:rect>
            <v:rect style="position:absolute;left:4488;top:5627;width:140;height:140" filled="false" stroked="true" strokeweight=".72pt" strokecolor="#bd4a47">
              <v:stroke dashstyle="solid"/>
            </v:rect>
            <v:rect style="position:absolute;left:4876;top:5036;width:142;height:142" filled="true" fillcolor="#c0504d" stroked="false">
              <v:fill type="solid"/>
            </v:rect>
            <v:rect style="position:absolute;left:4876;top:5036;width:142;height:142" filled="false" stroked="true" strokeweight=".72pt" strokecolor="#bd4a47">
              <v:stroke dashstyle="solid"/>
            </v:rect>
            <v:rect style="position:absolute;left:5268;top:4964;width:140;height:142" filled="true" fillcolor="#c0504d" stroked="false">
              <v:fill type="solid"/>
            </v:rect>
            <v:rect style="position:absolute;left:5268;top:4964;width:140;height:142" filled="false" stroked="true" strokeweight=".72pt" strokecolor="#bd4a47">
              <v:stroke dashstyle="solid"/>
            </v:rect>
            <v:rect style="position:absolute;left:7216;top:4710;width:140;height:140" filled="true" fillcolor="#c0504d" stroked="false">
              <v:fill type="solid"/>
            </v:rect>
            <v:rect style="position:absolute;left:7216;top:4710;width:140;height:140" filled="false" stroked="true" strokeweight=".72pt" strokecolor="#bd4a47">
              <v:stroke dashstyle="solid"/>
            </v:rect>
            <v:rect style="position:absolute;left:7605;top:4508;width:142;height:140" filled="true" fillcolor="#c0504d" stroked="false">
              <v:fill type="solid"/>
            </v:rect>
            <v:rect style="position:absolute;left:7605;top:4508;width:142;height:140" filled="false" stroked="true" strokeweight=".72pt" strokecolor="#bd4a47">
              <v:stroke dashstyle="solid"/>
            </v:rect>
            <v:rect style="position:absolute;left:7996;top:4384;width:140;height:140" filled="true" fillcolor="#c0504d" stroked="false">
              <v:fill type="solid"/>
            </v:rect>
            <v:rect style="position:absolute;left:7996;top:4384;width:140;height:140" filled="false" stroked="true" strokeweight=".72pt" strokecolor="#bd4a47">
              <v:stroke dashstyle="solid"/>
            </v:rect>
            <v:shape style="position:absolute;left:5241;top:6;width:384;height:154" type="#_x0000_t75" stroked="false">
              <v:imagedata r:id="rId198" o:title=""/>
            </v:shape>
            <v:line style="position:absolute" from="6562,83" to="6946,83" stroked="true" strokeweight="2.16pt" strokecolor="#bd4a47">
              <v:stroke dashstyle="solid"/>
            </v:line>
            <v:rect style="position:absolute;left:6684;top:13;width:140;height:140" filled="true" fillcolor="#c0504d" stroked="false">
              <v:fill type="solid"/>
            </v:rect>
            <v:rect style="position:absolute;left:6684;top:13;width:140;height:140" filled="false" stroked="true" strokeweight=".72pt" strokecolor="#bd4a47">
              <v:stroke dashstyle="solid"/>
            </v:rect>
            <v:shape style="position:absolute;left:4778;top:-248;width:3468;height:663" type="#_x0000_t202" filled="false" stroked="true" strokeweight=".72pt" strokecolor="#000000">
              <v:textbox inset="0,0,0,0">
                <w:txbxContent>
                  <w:p>
                    <w:pPr>
                      <w:tabs>
                        <w:tab w:pos="2203" w:val="left" w:leader="none"/>
                      </w:tabs>
                      <w:spacing w:before="184"/>
                      <w:ind w:left="8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SGS</w:t>
                      <w:tab/>
                      <w:t>SGS-PM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4.5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90"/>
        <w:ind w:left="1935"/>
      </w:pPr>
      <w:r>
        <w:rPr/>
        <w:t>4</w:t>
      </w:r>
    </w:p>
    <w:p>
      <w:pPr>
        <w:pStyle w:val="BodyText"/>
        <w:rPr>
          <w:sz w:val="25"/>
        </w:rPr>
      </w:pPr>
    </w:p>
    <w:p>
      <w:pPr>
        <w:pStyle w:val="BodyText"/>
        <w:spacing w:before="90"/>
        <w:ind w:left="1757"/>
      </w:pPr>
      <w:r>
        <w:rPr/>
        <w:t>3.5</w:t>
      </w:r>
    </w:p>
    <w:p>
      <w:pPr>
        <w:pStyle w:val="BodyText"/>
        <w:rPr>
          <w:sz w:val="25"/>
        </w:rPr>
      </w:pPr>
    </w:p>
    <w:p>
      <w:pPr>
        <w:pStyle w:val="BodyText"/>
        <w:spacing w:before="90"/>
        <w:ind w:left="1935"/>
      </w:pPr>
      <w:r>
        <w:rPr/>
        <w:pict>
          <v:shape style="position:absolute;margin-left:141.935455pt;margin-top:-5.68288pt;width:15.4pt;height:133.1pt;mso-position-horizontal-relative:page;mso-position-vertical-relative:paragraph;z-index:15900672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Tensile</w:t>
                  </w:r>
                  <w:r>
                    <w:rPr>
                      <w:b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spacing w:val="-1"/>
                      <w:sz w:val="24"/>
                    </w:rPr>
                    <w:t>Strength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(MN/m</w:t>
                  </w:r>
                  <w:r>
                    <w:rPr>
                      <w:b/>
                      <w:position w:val="7"/>
                      <w:sz w:val="16"/>
                    </w:rPr>
                    <w:t>2</w:t>
                  </w:r>
                  <w:r>
                    <w:rPr>
                      <w:b/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t>3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90"/>
        <w:ind w:left="1757"/>
      </w:pPr>
      <w:r>
        <w:rPr/>
        <w:t>2.5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90"/>
        <w:ind w:left="1935"/>
      </w:pPr>
      <w:r>
        <w:rPr/>
        <w:t>2</w:t>
      </w:r>
    </w:p>
    <w:p>
      <w:pPr>
        <w:pStyle w:val="BodyText"/>
        <w:rPr>
          <w:sz w:val="25"/>
        </w:rPr>
      </w:pPr>
    </w:p>
    <w:p>
      <w:pPr>
        <w:pStyle w:val="BodyText"/>
        <w:spacing w:before="90"/>
        <w:ind w:left="1757"/>
      </w:pPr>
      <w:r>
        <w:rPr/>
        <w:t>1.5</w:t>
      </w:r>
    </w:p>
    <w:p>
      <w:pPr>
        <w:pStyle w:val="BodyText"/>
        <w:rPr>
          <w:sz w:val="25"/>
        </w:rPr>
      </w:pPr>
    </w:p>
    <w:p>
      <w:pPr>
        <w:pStyle w:val="BodyText"/>
        <w:spacing w:before="90"/>
        <w:ind w:left="1935"/>
      </w:pPr>
      <w:r>
        <w:rPr/>
        <w:t>1</w:t>
      </w:r>
    </w:p>
    <w:p>
      <w:pPr>
        <w:pStyle w:val="BodyText"/>
        <w:rPr>
          <w:sz w:val="25"/>
        </w:rPr>
      </w:pPr>
    </w:p>
    <w:p>
      <w:pPr>
        <w:pStyle w:val="BodyText"/>
        <w:spacing w:before="90"/>
        <w:ind w:left="1757"/>
      </w:pPr>
      <w:r>
        <w:rPr/>
        <w:t>0.5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90"/>
        <w:ind w:left="1935"/>
      </w:pPr>
      <w:r>
        <w:rPr>
          <w:w w:val="100"/>
        </w:rPr>
        <w:t>0</w:t>
      </w:r>
    </w:p>
    <w:p>
      <w:pPr>
        <w:pStyle w:val="BodyText"/>
        <w:tabs>
          <w:tab w:pos="3017" w:val="left" w:leader="none"/>
          <w:tab w:pos="3895" w:val="left" w:leader="none"/>
          <w:tab w:pos="4773" w:val="left" w:leader="none"/>
          <w:tab w:pos="5651" w:val="left" w:leader="none"/>
          <w:tab w:pos="6469" w:val="left" w:leader="none"/>
          <w:tab w:pos="7347" w:val="left" w:leader="none"/>
        </w:tabs>
        <w:spacing w:before="73"/>
        <w:ind w:left="2200"/>
      </w:pPr>
      <w:r>
        <w:rPr/>
        <w:t>0</w:t>
        <w:tab/>
        <w:t>20</w:t>
        <w:tab/>
        <w:t>40</w:t>
        <w:tab/>
        <w:t>60</w:t>
        <w:tab/>
        <w:t>80</w:t>
        <w:tab/>
        <w:t>100</w:t>
        <w:tab/>
        <w:t>120</w:t>
      </w:r>
    </w:p>
    <w:p>
      <w:pPr>
        <w:pStyle w:val="Heading3"/>
        <w:spacing w:before="150"/>
        <w:ind w:left="657" w:right="1094"/>
        <w:jc w:val="center"/>
      </w:pPr>
      <w:r>
        <w:rPr>
          <w:spacing w:val="-1"/>
        </w:rPr>
        <w:t>Compaction</w:t>
      </w:r>
      <w:r>
        <w:rPr>
          <w:spacing w:val="1"/>
        </w:rPr>
        <w:t> </w:t>
      </w:r>
      <w:r>
        <w:rPr>
          <w:spacing w:val="-1"/>
        </w:rPr>
        <w:t>Pressure</w:t>
      </w:r>
      <w:r>
        <w:rPr>
          <w:spacing w:val="7"/>
        </w:rPr>
        <w:t> </w:t>
      </w:r>
      <w:r>
        <w:rPr>
          <w:spacing w:val="-1"/>
        </w:rPr>
        <w:t>P</w:t>
      </w:r>
      <w:r>
        <w:rPr>
          <w:spacing w:val="-15"/>
        </w:rPr>
        <w:t> </w:t>
      </w:r>
      <w:r>
        <w:rPr>
          <w:spacing w:val="-1"/>
        </w:rPr>
        <w:t>(MN/m</w:t>
      </w:r>
      <w:r>
        <w:rPr>
          <w:spacing w:val="-1"/>
          <w:position w:val="7"/>
          <w:sz w:val="16"/>
        </w:rPr>
        <w:t>2</w:t>
      </w:r>
      <w:r>
        <w:rPr>
          <w:spacing w:val="-1"/>
        </w:rPr>
        <w:t>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spacing w:before="90"/>
        <w:ind w:left="465" w:right="1804" w:firstLine="0"/>
        <w:jc w:val="left"/>
        <w:rPr>
          <w:b/>
          <w:sz w:val="24"/>
        </w:rPr>
      </w:pPr>
      <w:r>
        <w:rPr>
          <w:b/>
          <w:sz w:val="24"/>
        </w:rPr>
        <w:t>Figure 4.25: Tabletability plot for SGS and SGS-PM showing the relationship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compression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pressure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(MPa)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 tensile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strength (MN/m</w:t>
      </w:r>
      <w:r>
        <w:rPr>
          <w:b/>
          <w:sz w:val="24"/>
          <w:vertAlign w:val="superscript"/>
        </w:rPr>
        <w:t>2</w:t>
      </w:r>
      <w:r>
        <w:rPr>
          <w:b/>
          <w:sz w:val="24"/>
          <w:vertAlign w:val="baseline"/>
        </w:rPr>
        <w:t>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580" w:bottom="1260" w:left="1520" w:right="160"/>
        </w:sectPr>
      </w:pPr>
    </w:p>
    <w:p>
      <w:pPr>
        <w:pStyle w:val="Heading3"/>
        <w:tabs>
          <w:tab w:pos="1185" w:val="left" w:leader="none"/>
        </w:tabs>
        <w:spacing w:before="77"/>
        <w:ind w:left="465"/>
      </w:pPr>
      <w:bookmarkStart w:name="_TOC_250024" w:id="82"/>
      <w:r>
        <w:rPr/>
        <w:t>4.5</w:t>
        <w:tab/>
        <w:t>Tablet</w:t>
      </w:r>
      <w:r>
        <w:rPr>
          <w:spacing w:val="-5"/>
        </w:rPr>
        <w:t> </w:t>
      </w:r>
      <w:bookmarkEnd w:id="82"/>
      <w:r>
        <w:rPr/>
        <w:t>Properties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5" w:right="1254"/>
        <w:jc w:val="both"/>
      </w:pPr>
      <w:r>
        <w:rPr/>
        <w:t>The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StarGelaSil</w:t>
      </w:r>
      <w:r>
        <w:rPr>
          <w:spacing w:val="1"/>
        </w:rPr>
        <w:t> </w:t>
      </w:r>
      <w:r>
        <w:rPr/>
        <w:t>(SGS),</w:t>
      </w:r>
      <w:r>
        <w:rPr>
          <w:spacing w:val="1"/>
        </w:rPr>
        <w:t> </w:t>
      </w:r>
      <w:r>
        <w:rPr/>
        <w:t>Prosolv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superscript"/>
        </w:rPr>
        <w:t>(</w:t>
      </w:r>
      <w:r>
        <w:rPr>
          <w:vertAlign w:val="baseline"/>
        </w:rPr>
        <w:t>PSV)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StarLac</w:t>
      </w:r>
      <w:r>
        <w:rPr>
          <w:vertAlign w:val="superscript"/>
        </w:rPr>
        <w:t>®</w:t>
      </w:r>
      <w:r>
        <w:rPr>
          <w:vertAlign w:val="baseline"/>
        </w:rPr>
        <w:t> (SLC) as the sole excipient is given in Table 4.11. The difference in weight</w:t>
      </w:r>
      <w:r>
        <w:rPr>
          <w:spacing w:val="1"/>
          <w:vertAlign w:val="baseline"/>
        </w:rPr>
        <w:t> </w:t>
      </w:r>
      <w:r>
        <w:rPr>
          <w:vertAlign w:val="baseline"/>
        </w:rPr>
        <w:t>uniformity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thickness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&lt;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0.05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60"/>
          <w:vertAlign w:val="baseline"/>
        </w:rPr>
        <w:t> </w:t>
      </w:r>
      <w:r>
        <w:rPr>
          <w:vertAlign w:val="baseline"/>
        </w:rPr>
        <w:t>three</w:t>
      </w:r>
      <w:r>
        <w:rPr>
          <w:spacing w:val="60"/>
          <w:vertAlign w:val="baseline"/>
        </w:rPr>
        <w:t> </w:t>
      </w:r>
      <w:r>
        <w:rPr>
          <w:vertAlign w:val="baseline"/>
        </w:rPr>
        <w:t>batches.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 differences were observed for crushing strength, tensile strength, friability,</w:t>
      </w:r>
      <w:r>
        <w:rPr>
          <w:spacing w:val="1"/>
          <w:vertAlign w:val="baseline"/>
        </w:rPr>
        <w:t> </w:t>
      </w:r>
      <w:r>
        <w:rPr>
          <w:vertAlign w:val="baseline"/>
        </w:rPr>
        <w:t>and disintegration time. The tensile strength of SGS was relatively higher than SLC but</w:t>
      </w:r>
      <w:r>
        <w:rPr>
          <w:spacing w:val="1"/>
          <w:vertAlign w:val="baseline"/>
        </w:rPr>
        <w:t> </w:t>
      </w:r>
      <w:r>
        <w:rPr>
          <w:vertAlign w:val="baseline"/>
        </w:rPr>
        <w:t>lower than PSV and this was reflected in the friability of the tablets. Tablets of SGS</w:t>
      </w:r>
      <w:r>
        <w:rPr>
          <w:spacing w:val="1"/>
          <w:vertAlign w:val="baseline"/>
        </w:rPr>
        <w:t> </w:t>
      </w:r>
      <w:r>
        <w:rPr>
          <w:vertAlign w:val="baseline"/>
        </w:rPr>
        <w:t>disintegrated in less than 30 s (0.32 min) compared to PSV (0.99 min) and SLC (0.62</w:t>
      </w:r>
      <w:r>
        <w:rPr>
          <w:spacing w:val="1"/>
          <w:vertAlign w:val="baseline"/>
        </w:rPr>
        <w:t> </w:t>
      </w:r>
      <w:r>
        <w:rPr>
          <w:vertAlign w:val="baseline"/>
        </w:rPr>
        <w:t>min).</w:t>
      </w:r>
    </w:p>
    <w:p>
      <w:pPr>
        <w:spacing w:after="0" w:line="480" w:lineRule="auto"/>
        <w:jc w:val="both"/>
        <w:sectPr>
          <w:pgSz w:w="11910" w:h="16840"/>
          <w:pgMar w:header="0" w:footer="987" w:top="1440" w:bottom="1260" w:left="1520" w:right="160"/>
        </w:sectPr>
      </w:pPr>
    </w:p>
    <w:p>
      <w:pPr>
        <w:pStyle w:val="Heading3"/>
        <w:ind w:left="465"/>
      </w:pPr>
      <w:r>
        <w:rPr/>
        <w:t>Table</w:t>
      </w:r>
      <w:r>
        <w:rPr>
          <w:spacing w:val="-2"/>
        </w:rPr>
        <w:t> </w:t>
      </w:r>
      <w:r>
        <w:rPr/>
        <w:t>4.11:</w:t>
      </w:r>
      <w:r>
        <w:rPr>
          <w:spacing w:val="-3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tablets</w:t>
      </w:r>
      <w:r>
        <w:rPr>
          <w:spacing w:val="-2"/>
        </w:rPr>
        <w:t> </w:t>
      </w:r>
      <w:r>
        <w:rPr/>
        <w:t>prepared</w:t>
      </w:r>
      <w:r>
        <w:rPr>
          <w:spacing w:val="-1"/>
        </w:rPr>
        <w:t> </w:t>
      </w:r>
      <w:r>
        <w:rPr/>
        <w:t>using</w:t>
      </w:r>
      <w:r>
        <w:rPr>
          <w:spacing w:val="2"/>
        </w:rPr>
        <w:t> </w:t>
      </w:r>
      <w:r>
        <w:rPr/>
        <w:t>SGS,</w:t>
      </w:r>
      <w:r>
        <w:rPr>
          <w:spacing w:val="-2"/>
        </w:rPr>
        <w:t> </w:t>
      </w:r>
      <w:r>
        <w:rPr/>
        <w:t>PSV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SLC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945"/>
        <w:gridCol w:w="1277"/>
        <w:gridCol w:w="944"/>
        <w:gridCol w:w="1175"/>
        <w:gridCol w:w="764"/>
        <w:gridCol w:w="815"/>
        <w:gridCol w:w="816"/>
        <w:gridCol w:w="798"/>
        <w:gridCol w:w="832"/>
      </w:tblGrid>
      <w:tr>
        <w:trPr>
          <w:trHeight w:val="495" w:hRule="atLeast"/>
        </w:trPr>
        <w:tc>
          <w:tcPr>
            <w:tcW w:w="9208" w:type="dxa"/>
            <w:gridSpan w:val="10"/>
            <w:tcBorders>
              <w:top w:val="single" w:sz="12" w:space="0" w:color="000000"/>
            </w:tcBorders>
          </w:tcPr>
          <w:p>
            <w:pPr>
              <w:pStyle w:val="TableParagraph"/>
              <w:spacing w:before="120"/>
              <w:ind w:left="4867" w:right="32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Parameters</w:t>
            </w:r>
          </w:p>
        </w:tc>
      </w:tr>
      <w:tr>
        <w:trPr>
          <w:trHeight w:val="1503" w:hRule="atLeast"/>
        </w:trPr>
        <w:tc>
          <w:tcPr>
            <w:tcW w:w="842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Batch</w:t>
            </w:r>
          </w:p>
        </w:tc>
        <w:tc>
          <w:tcPr>
            <w:tcW w:w="945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8" w:right="132"/>
              <w:rPr>
                <w:b/>
                <w:sz w:val="22"/>
              </w:rPr>
            </w:pPr>
            <w:r>
              <w:rPr>
                <w:b/>
                <w:sz w:val="22"/>
              </w:rPr>
              <w:t>Weight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(mg)</w:t>
            </w:r>
          </w:p>
        </w:tc>
        <w:tc>
          <w:tcPr>
            <w:tcW w:w="1277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52" w:right="163"/>
              <w:rPr>
                <w:b/>
                <w:sz w:val="22"/>
              </w:rPr>
            </w:pPr>
            <w:r>
              <w:rPr>
                <w:b/>
                <w:sz w:val="22"/>
              </w:rPr>
              <w:t>Thickness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(mm)</w:t>
            </w:r>
          </w:p>
        </w:tc>
        <w:tc>
          <w:tcPr>
            <w:tcW w:w="944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152"/>
              <w:rPr>
                <w:b/>
                <w:sz w:val="22"/>
              </w:rPr>
            </w:pPr>
            <w:r>
              <w:rPr>
                <w:b/>
                <w:sz w:val="22"/>
              </w:rPr>
              <w:t>CS (N)</w:t>
            </w:r>
          </w:p>
        </w:tc>
        <w:tc>
          <w:tcPr>
            <w:tcW w:w="1175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8"/>
              <w:ind w:left="149" w:right="178"/>
              <w:rPr>
                <w:b/>
                <w:sz w:val="22"/>
              </w:rPr>
            </w:pPr>
            <w:r>
              <w:rPr>
                <w:b/>
                <w:sz w:val="22"/>
              </w:rPr>
              <w:t>TS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(MN/m</w:t>
            </w:r>
            <w:r>
              <w:rPr>
                <w:b/>
                <w:sz w:val="22"/>
                <w:vertAlign w:val="superscript"/>
              </w:rPr>
              <w:t>2</w:t>
            </w:r>
            <w:r>
              <w:rPr>
                <w:b/>
                <w:sz w:val="22"/>
                <w:vertAlign w:val="baseline"/>
              </w:rPr>
              <w:t>)</w:t>
            </w:r>
          </w:p>
        </w:tc>
        <w:tc>
          <w:tcPr>
            <w:tcW w:w="764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126"/>
              <w:rPr>
                <w:b/>
                <w:sz w:val="22"/>
              </w:rPr>
            </w:pPr>
            <w:r>
              <w:rPr>
                <w:b/>
                <w:sz w:val="22"/>
              </w:rPr>
              <w:t>BI</w:t>
            </w:r>
          </w:p>
        </w:tc>
        <w:tc>
          <w:tcPr>
            <w:tcW w:w="815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40" w:right="288"/>
              <w:rPr>
                <w:b/>
                <w:sz w:val="22"/>
              </w:rPr>
            </w:pPr>
            <w:r>
              <w:rPr>
                <w:b/>
                <w:sz w:val="22"/>
              </w:rPr>
              <w:t>FR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line="252" w:lineRule="exact" w:before="1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DT</w:t>
            </w:r>
          </w:p>
          <w:p>
            <w:pPr>
              <w:pStyle w:val="TableParagraph"/>
              <w:spacing w:line="252" w:lineRule="exact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(min)</w:t>
            </w:r>
          </w:p>
        </w:tc>
        <w:tc>
          <w:tcPr>
            <w:tcW w:w="798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8" w:lineRule="exact" w:before="199"/>
              <w:ind w:left="141"/>
              <w:rPr>
                <w:b/>
                <w:sz w:val="14"/>
              </w:rPr>
            </w:pPr>
            <w:r>
              <w:rPr>
                <w:b/>
                <w:position w:val="3"/>
                <w:sz w:val="22"/>
              </w:rPr>
              <w:t>T</w:t>
            </w:r>
            <w:r>
              <w:rPr>
                <w:b/>
                <w:sz w:val="14"/>
              </w:rPr>
              <w:t>50%</w:t>
            </w:r>
          </w:p>
          <w:p>
            <w:pPr>
              <w:pStyle w:val="TableParagraph"/>
              <w:spacing w:line="246" w:lineRule="exact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(min)</w:t>
            </w:r>
          </w:p>
        </w:tc>
        <w:tc>
          <w:tcPr>
            <w:tcW w:w="832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8" w:lineRule="exact" w:before="199"/>
              <w:ind w:left="141"/>
              <w:rPr>
                <w:b/>
                <w:sz w:val="14"/>
              </w:rPr>
            </w:pPr>
            <w:r>
              <w:rPr>
                <w:b/>
                <w:position w:val="3"/>
                <w:sz w:val="22"/>
              </w:rPr>
              <w:t>T</w:t>
            </w:r>
            <w:r>
              <w:rPr>
                <w:b/>
                <w:sz w:val="14"/>
              </w:rPr>
              <w:t>90%</w:t>
            </w:r>
          </w:p>
          <w:p>
            <w:pPr>
              <w:pStyle w:val="TableParagraph"/>
              <w:spacing w:line="246" w:lineRule="exact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(min)</w:t>
            </w:r>
          </w:p>
        </w:tc>
      </w:tr>
      <w:tr>
        <w:trPr>
          <w:trHeight w:val="1118" w:hRule="atLeast"/>
        </w:trPr>
        <w:tc>
          <w:tcPr>
            <w:tcW w:w="84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31"/>
              </w:rPr>
            </w:pPr>
          </w:p>
          <w:p>
            <w:pPr>
              <w:pStyle w:val="TableParagraph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I</w:t>
            </w:r>
          </w:p>
        </w:tc>
        <w:tc>
          <w:tcPr>
            <w:tcW w:w="94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399.7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(4.22)</w:t>
            </w:r>
          </w:p>
        </w:tc>
        <w:tc>
          <w:tcPr>
            <w:tcW w:w="127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33" w:right="132"/>
              <w:jc w:val="center"/>
              <w:rPr>
                <w:sz w:val="22"/>
              </w:rPr>
            </w:pPr>
            <w:r>
              <w:rPr>
                <w:sz w:val="22"/>
              </w:rPr>
              <w:t>3.43 (0.03)</w:t>
            </w:r>
          </w:p>
        </w:tc>
        <w:tc>
          <w:tcPr>
            <w:tcW w:w="94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52"/>
              <w:rPr>
                <w:sz w:val="22"/>
              </w:rPr>
            </w:pPr>
            <w:r>
              <w:rPr>
                <w:sz w:val="22"/>
              </w:rPr>
              <w:t>79.38</w:t>
            </w:r>
          </w:p>
          <w:p>
            <w:pPr>
              <w:pStyle w:val="TableParagraph"/>
              <w:spacing w:before="2"/>
              <w:ind w:left="152"/>
              <w:rPr>
                <w:sz w:val="22"/>
              </w:rPr>
            </w:pPr>
            <w:r>
              <w:rPr>
                <w:sz w:val="22"/>
              </w:rPr>
              <w:t>(7.7)</w:t>
            </w:r>
          </w:p>
        </w:tc>
        <w:tc>
          <w:tcPr>
            <w:tcW w:w="117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49"/>
              <w:rPr>
                <w:sz w:val="22"/>
              </w:rPr>
            </w:pPr>
            <w:r>
              <w:rPr>
                <w:sz w:val="22"/>
              </w:rPr>
              <w:t>1.23</w:t>
            </w:r>
          </w:p>
          <w:p>
            <w:pPr>
              <w:pStyle w:val="TableParagraph"/>
              <w:spacing w:before="2"/>
              <w:ind w:left="149"/>
              <w:rPr>
                <w:sz w:val="22"/>
              </w:rPr>
            </w:pPr>
            <w:r>
              <w:rPr>
                <w:sz w:val="22"/>
              </w:rPr>
              <w:t>(0.12)</w:t>
            </w:r>
          </w:p>
        </w:tc>
        <w:tc>
          <w:tcPr>
            <w:tcW w:w="76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26"/>
              <w:rPr>
                <w:sz w:val="22"/>
              </w:rPr>
            </w:pPr>
            <w:r>
              <w:rPr>
                <w:sz w:val="22"/>
              </w:rPr>
              <w:t>0.015</w:t>
            </w:r>
          </w:p>
        </w:tc>
        <w:tc>
          <w:tcPr>
            <w:tcW w:w="81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40"/>
              <w:rPr>
                <w:sz w:val="22"/>
              </w:rPr>
            </w:pPr>
            <w:r>
              <w:rPr>
                <w:sz w:val="22"/>
              </w:rPr>
              <w:t>0.57</w:t>
            </w:r>
          </w:p>
          <w:p>
            <w:pPr>
              <w:pStyle w:val="TableParagraph"/>
              <w:spacing w:before="2"/>
              <w:ind w:left="140"/>
              <w:rPr>
                <w:sz w:val="22"/>
              </w:rPr>
            </w:pPr>
            <w:r>
              <w:rPr>
                <w:sz w:val="22"/>
              </w:rPr>
              <w:t>(0.07)</w:t>
            </w:r>
          </w:p>
        </w:tc>
        <w:tc>
          <w:tcPr>
            <w:tcW w:w="81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0.32</w:t>
            </w:r>
          </w:p>
          <w:p>
            <w:pPr>
              <w:pStyle w:val="TableParagraph"/>
              <w:spacing w:before="2"/>
              <w:ind w:left="141"/>
              <w:rPr>
                <w:sz w:val="22"/>
              </w:rPr>
            </w:pPr>
            <w:r>
              <w:rPr>
                <w:sz w:val="22"/>
              </w:rPr>
              <w:t>(0.04)</w:t>
            </w:r>
          </w:p>
        </w:tc>
        <w:tc>
          <w:tcPr>
            <w:tcW w:w="7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" w:right="139"/>
              <w:jc w:val="center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  <w:tc>
          <w:tcPr>
            <w:tcW w:w="83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23" w:right="173"/>
              <w:jc w:val="center"/>
              <w:rPr>
                <w:sz w:val="22"/>
              </w:rPr>
            </w:pPr>
            <w:r>
              <w:rPr>
                <w:sz w:val="22"/>
              </w:rPr>
              <w:t>32.00</w:t>
            </w:r>
          </w:p>
        </w:tc>
      </w:tr>
      <w:tr>
        <w:trPr>
          <w:trHeight w:val="1292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II</w:t>
            </w:r>
          </w:p>
        </w:tc>
        <w:tc>
          <w:tcPr>
            <w:tcW w:w="945" w:type="dxa"/>
          </w:tcPr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395.95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(12.47)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5"/>
              <w:ind w:left="133" w:right="132"/>
              <w:jc w:val="center"/>
              <w:rPr>
                <w:sz w:val="22"/>
              </w:rPr>
            </w:pPr>
            <w:r>
              <w:rPr>
                <w:sz w:val="22"/>
              </w:rPr>
              <w:t>3.27 (0.09)</w:t>
            </w:r>
          </w:p>
        </w:tc>
        <w:tc>
          <w:tcPr>
            <w:tcW w:w="944" w:type="dxa"/>
          </w:tcPr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spacing w:line="252" w:lineRule="exact"/>
              <w:ind w:left="152"/>
              <w:rPr>
                <w:sz w:val="22"/>
              </w:rPr>
            </w:pPr>
            <w:r>
              <w:rPr>
                <w:sz w:val="22"/>
              </w:rPr>
              <w:t>117.17</w:t>
            </w:r>
          </w:p>
          <w:p>
            <w:pPr>
              <w:pStyle w:val="TableParagraph"/>
              <w:spacing w:line="252" w:lineRule="exact"/>
              <w:ind w:left="152"/>
              <w:rPr>
                <w:sz w:val="22"/>
              </w:rPr>
            </w:pPr>
            <w:r>
              <w:rPr>
                <w:sz w:val="22"/>
              </w:rPr>
              <w:t>(11.34)</w:t>
            </w:r>
          </w:p>
        </w:tc>
        <w:tc>
          <w:tcPr>
            <w:tcW w:w="117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5"/>
              <w:ind w:left="149"/>
              <w:rPr>
                <w:sz w:val="22"/>
              </w:rPr>
            </w:pPr>
            <w:r>
              <w:rPr>
                <w:sz w:val="22"/>
              </w:rPr>
              <w:t>1.90 (0.13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5"/>
              <w:ind w:left="126"/>
              <w:rPr>
                <w:sz w:val="22"/>
              </w:rPr>
            </w:pPr>
            <w:r>
              <w:rPr>
                <w:sz w:val="22"/>
              </w:rPr>
              <w:t>0.016</w:t>
            </w:r>
          </w:p>
        </w:tc>
        <w:tc>
          <w:tcPr>
            <w:tcW w:w="815" w:type="dxa"/>
          </w:tcPr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spacing w:line="252" w:lineRule="exact"/>
              <w:ind w:left="140"/>
              <w:rPr>
                <w:sz w:val="22"/>
              </w:rPr>
            </w:pPr>
            <w:r>
              <w:rPr>
                <w:sz w:val="22"/>
              </w:rPr>
              <w:t>0.30</w:t>
            </w:r>
          </w:p>
          <w:p>
            <w:pPr>
              <w:pStyle w:val="TableParagraph"/>
              <w:spacing w:line="252" w:lineRule="exact"/>
              <w:ind w:left="140"/>
              <w:rPr>
                <w:sz w:val="22"/>
              </w:rPr>
            </w:pPr>
            <w:r>
              <w:rPr>
                <w:sz w:val="22"/>
              </w:rPr>
              <w:t>(0.07)</w:t>
            </w:r>
          </w:p>
        </w:tc>
        <w:tc>
          <w:tcPr>
            <w:tcW w:w="816" w:type="dxa"/>
          </w:tcPr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spacing w:line="252" w:lineRule="exact"/>
              <w:ind w:left="141"/>
              <w:rPr>
                <w:sz w:val="22"/>
              </w:rPr>
            </w:pPr>
            <w:r>
              <w:rPr>
                <w:sz w:val="22"/>
              </w:rPr>
              <w:t>0.99</w:t>
            </w:r>
          </w:p>
          <w:p>
            <w:pPr>
              <w:pStyle w:val="TableParagraph"/>
              <w:spacing w:line="252" w:lineRule="exact"/>
              <w:ind w:left="141"/>
              <w:rPr>
                <w:sz w:val="22"/>
              </w:rPr>
            </w:pPr>
            <w:r>
              <w:rPr>
                <w:sz w:val="22"/>
              </w:rPr>
              <w:t>(0.2)</w:t>
            </w:r>
          </w:p>
        </w:tc>
        <w:tc>
          <w:tcPr>
            <w:tcW w:w="79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5"/>
              <w:ind w:left="124" w:right="139"/>
              <w:jc w:val="center"/>
              <w:rPr>
                <w:sz w:val="22"/>
              </w:rPr>
            </w:pPr>
            <w:r>
              <w:rPr>
                <w:sz w:val="22"/>
              </w:rPr>
              <w:t>20.00</w:t>
            </w:r>
          </w:p>
        </w:tc>
        <w:tc>
          <w:tcPr>
            <w:tcW w:w="832" w:type="dxa"/>
          </w:tcPr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 w:right="176"/>
              <w:rPr>
                <w:sz w:val="22"/>
              </w:rPr>
            </w:pPr>
            <w:r>
              <w:rPr>
                <w:sz w:val="22"/>
              </w:rPr>
              <w:t>&gt;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60.00</w:t>
            </w:r>
          </w:p>
        </w:tc>
      </w:tr>
      <w:tr>
        <w:trPr>
          <w:trHeight w:val="1257" w:hRule="atLeast"/>
        </w:trPr>
        <w:tc>
          <w:tcPr>
            <w:tcW w:w="842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III</w:t>
            </w:r>
          </w:p>
        </w:tc>
        <w:tc>
          <w:tcPr>
            <w:tcW w:w="94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402.15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(7.6)</w:t>
            </w:r>
          </w:p>
        </w:tc>
        <w:tc>
          <w:tcPr>
            <w:tcW w:w="1277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133" w:right="132"/>
              <w:jc w:val="center"/>
              <w:rPr>
                <w:sz w:val="22"/>
              </w:rPr>
            </w:pPr>
            <w:r>
              <w:rPr>
                <w:sz w:val="22"/>
              </w:rPr>
              <w:t>3.39 (0.03)</w:t>
            </w:r>
          </w:p>
        </w:tc>
        <w:tc>
          <w:tcPr>
            <w:tcW w:w="94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52" w:lineRule="exact"/>
              <w:ind w:left="152"/>
              <w:rPr>
                <w:sz w:val="22"/>
              </w:rPr>
            </w:pPr>
            <w:r>
              <w:rPr>
                <w:sz w:val="22"/>
              </w:rPr>
              <w:t>63.57</w:t>
            </w:r>
          </w:p>
          <w:p>
            <w:pPr>
              <w:pStyle w:val="TableParagraph"/>
              <w:spacing w:line="252" w:lineRule="exact"/>
              <w:ind w:left="152"/>
              <w:rPr>
                <w:sz w:val="22"/>
              </w:rPr>
            </w:pPr>
            <w:r>
              <w:rPr>
                <w:sz w:val="22"/>
              </w:rPr>
              <w:t>(8.85)</w:t>
            </w:r>
          </w:p>
        </w:tc>
        <w:tc>
          <w:tcPr>
            <w:tcW w:w="117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52" w:lineRule="exact"/>
              <w:ind w:left="149"/>
              <w:rPr>
                <w:sz w:val="22"/>
              </w:rPr>
            </w:pPr>
            <w:r>
              <w:rPr>
                <w:sz w:val="22"/>
              </w:rPr>
              <w:t>0.99</w:t>
            </w:r>
          </w:p>
          <w:p>
            <w:pPr>
              <w:pStyle w:val="TableParagraph"/>
              <w:spacing w:line="252" w:lineRule="exact"/>
              <w:ind w:left="149"/>
              <w:rPr>
                <w:sz w:val="22"/>
              </w:rPr>
            </w:pPr>
            <w:r>
              <w:rPr>
                <w:sz w:val="22"/>
              </w:rPr>
              <w:t>(0.13)</w:t>
            </w:r>
          </w:p>
        </w:tc>
        <w:tc>
          <w:tcPr>
            <w:tcW w:w="764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126"/>
              <w:rPr>
                <w:sz w:val="22"/>
              </w:rPr>
            </w:pPr>
            <w:r>
              <w:rPr>
                <w:sz w:val="22"/>
              </w:rPr>
              <w:t>0.015</w:t>
            </w:r>
          </w:p>
        </w:tc>
        <w:tc>
          <w:tcPr>
            <w:tcW w:w="8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52" w:lineRule="exact"/>
              <w:ind w:left="140"/>
              <w:rPr>
                <w:sz w:val="22"/>
              </w:rPr>
            </w:pPr>
            <w:r>
              <w:rPr>
                <w:sz w:val="22"/>
              </w:rPr>
              <w:t>8.63</w:t>
            </w:r>
          </w:p>
          <w:p>
            <w:pPr>
              <w:pStyle w:val="TableParagraph"/>
              <w:spacing w:line="252" w:lineRule="exact"/>
              <w:ind w:left="140"/>
              <w:rPr>
                <w:sz w:val="22"/>
              </w:rPr>
            </w:pPr>
            <w:r>
              <w:rPr>
                <w:sz w:val="22"/>
              </w:rPr>
              <w:t>(1.79)</w:t>
            </w:r>
          </w:p>
        </w:tc>
        <w:tc>
          <w:tcPr>
            <w:tcW w:w="81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52" w:lineRule="exact"/>
              <w:ind w:left="141"/>
              <w:rPr>
                <w:sz w:val="22"/>
              </w:rPr>
            </w:pPr>
            <w:r>
              <w:rPr>
                <w:sz w:val="22"/>
              </w:rPr>
              <w:t>0.62</w:t>
            </w:r>
          </w:p>
          <w:p>
            <w:pPr>
              <w:pStyle w:val="TableParagraph"/>
              <w:spacing w:line="252" w:lineRule="exact"/>
              <w:ind w:left="141"/>
              <w:rPr>
                <w:sz w:val="22"/>
              </w:rPr>
            </w:pPr>
            <w:r>
              <w:rPr>
                <w:sz w:val="22"/>
              </w:rPr>
              <w:t>(0.24)</w:t>
            </w:r>
          </w:p>
        </w:tc>
        <w:tc>
          <w:tcPr>
            <w:tcW w:w="798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14" w:right="139"/>
              <w:jc w:val="center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  <w:tc>
          <w:tcPr>
            <w:tcW w:w="832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123" w:right="173"/>
              <w:jc w:val="center"/>
              <w:rPr>
                <w:sz w:val="22"/>
              </w:rPr>
            </w:pPr>
            <w:r>
              <w:rPr>
                <w:sz w:val="22"/>
              </w:rPr>
              <w:t>30.00</w:t>
            </w:r>
          </w:p>
        </w:tc>
      </w:tr>
    </w:tbl>
    <w:p>
      <w:pPr>
        <w:pStyle w:val="BodyText"/>
        <w:spacing w:before="112"/>
        <w:ind w:left="465"/>
      </w:pPr>
      <w:r>
        <w:rPr/>
        <w:t>Key:-</w:t>
      </w:r>
    </w:p>
    <w:p>
      <w:pPr>
        <w:pStyle w:val="BodyText"/>
        <w:tabs>
          <w:tab w:pos="2625" w:val="left" w:leader="none"/>
          <w:tab w:pos="4786" w:val="left" w:leader="none"/>
        </w:tabs>
        <w:spacing w:before="120"/>
        <w:ind w:left="465"/>
      </w:pPr>
      <w:r>
        <w:rPr/>
        <w:t>I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SGS</w:t>
        <w:tab/>
        <w:t>II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PSV</w:t>
        <w:tab/>
        <w:t>III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SLC</w:t>
      </w:r>
    </w:p>
    <w:p>
      <w:pPr>
        <w:pStyle w:val="BodyText"/>
        <w:tabs>
          <w:tab w:pos="4066" w:val="left" w:leader="none"/>
        </w:tabs>
        <w:spacing w:line="343" w:lineRule="auto" w:before="120"/>
        <w:ind w:left="465" w:right="1786"/>
        <w:jc w:val="both"/>
      </w:pPr>
      <w:r>
        <w:rPr/>
        <w:t>TS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Tensile</w:t>
      </w:r>
      <w:r>
        <w:rPr>
          <w:spacing w:val="-2"/>
        </w:rPr>
        <w:t> </w:t>
      </w:r>
      <w:r>
        <w:rPr/>
        <w:t>strength</w:t>
        <w:tab/>
        <w:t>T</w:t>
      </w:r>
      <w:r>
        <w:rPr>
          <w:vertAlign w:val="subscript"/>
        </w:rPr>
        <w:t>50%</w:t>
      </w:r>
      <w:r>
        <w:rPr>
          <w:vertAlign w:val="baseline"/>
        </w:rPr>
        <w:t> - Time taken to release 50 % of the drug</w:t>
      </w:r>
      <w:r>
        <w:rPr>
          <w:spacing w:val="-57"/>
          <w:vertAlign w:val="baseline"/>
        </w:rPr>
        <w:t> </w:t>
      </w:r>
      <w:r>
        <w:rPr>
          <w:vertAlign w:val="baseline"/>
        </w:rPr>
        <w:t>BI</w:t>
      </w:r>
      <w:r>
        <w:rPr>
          <w:spacing w:val="-3"/>
          <w:vertAlign w:val="baseline"/>
        </w:rPr>
        <w:t> </w:t>
      </w:r>
      <w:r>
        <w:rPr>
          <w:vertAlign w:val="baseline"/>
        </w:rPr>
        <w:t>–</w:t>
      </w:r>
      <w:r>
        <w:rPr>
          <w:spacing w:val="2"/>
          <w:vertAlign w:val="baseline"/>
        </w:rPr>
        <w:t> </w:t>
      </w:r>
      <w:r>
        <w:rPr>
          <w:vertAlign w:val="baseline"/>
        </w:rPr>
        <w:t>Bonding</w:t>
      </w:r>
      <w:r>
        <w:rPr>
          <w:spacing w:val="-3"/>
          <w:vertAlign w:val="baseline"/>
        </w:rPr>
        <w:t> </w:t>
      </w:r>
      <w:r>
        <w:rPr>
          <w:vertAlign w:val="baseline"/>
        </w:rPr>
        <w:t>index</w:t>
        <w:tab/>
        <w:t>T</w:t>
      </w:r>
      <w:r>
        <w:rPr>
          <w:vertAlign w:val="subscript"/>
        </w:rPr>
        <w:t>90%</w:t>
      </w:r>
      <w:r>
        <w:rPr>
          <w:vertAlign w:val="baseline"/>
        </w:rPr>
        <w:t> - Time taken to release 90 % of the drug</w:t>
      </w:r>
      <w:r>
        <w:rPr>
          <w:spacing w:val="-57"/>
          <w:vertAlign w:val="baseline"/>
        </w:rPr>
        <w:t> </w:t>
      </w:r>
      <w:r>
        <w:rPr>
          <w:vertAlign w:val="baseline"/>
        </w:rPr>
        <w:t>FR –</w:t>
      </w:r>
      <w:r>
        <w:rPr>
          <w:spacing w:val="-1"/>
          <w:vertAlign w:val="baseline"/>
        </w:rPr>
        <w:t> </w:t>
      </w:r>
      <w:r>
        <w:rPr>
          <w:vertAlign w:val="baseline"/>
        </w:rPr>
        <w:t>Friability</w:t>
      </w:r>
    </w:p>
    <w:p>
      <w:pPr>
        <w:pStyle w:val="BodyText"/>
        <w:spacing w:before="4"/>
        <w:ind w:left="465"/>
        <w:jc w:val="both"/>
      </w:pPr>
      <w:r>
        <w:rPr/>
        <w:t>DT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Disintegration</w:t>
      </w:r>
      <w:r>
        <w:rPr>
          <w:spacing w:val="-1"/>
        </w:rPr>
        <w:t> </w:t>
      </w:r>
      <w:r>
        <w:rPr/>
        <w:t>time</w:t>
      </w:r>
    </w:p>
    <w:p>
      <w:pPr>
        <w:spacing w:after="0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9"/>
        <w:jc w:val="both"/>
      </w:pPr>
      <w:r>
        <w:rPr/>
        <w:t>The dissolution plot of the three excipients is displayed as Figure 4.26. The time taken</w:t>
      </w:r>
      <w:r>
        <w:rPr>
          <w:spacing w:val="1"/>
        </w:rPr>
        <w:t> </w:t>
      </w:r>
      <w:r>
        <w:rPr/>
        <w:t>for 50 % and 90 % of the drug to be released by all three excipients was extrapolated</w:t>
      </w:r>
      <w:r>
        <w:rPr>
          <w:spacing w:val="1"/>
        </w:rPr>
        <w:t> </w:t>
      </w:r>
      <w:r>
        <w:rPr/>
        <w:t>from the plot and recorded in Table 4.11. Drug-release profile of SGS was comparable</w:t>
      </w:r>
      <w:r>
        <w:rPr>
          <w:spacing w:val="1"/>
        </w:rPr>
        <w:t> </w:t>
      </w:r>
      <w:r>
        <w:rPr/>
        <w:t>to SLC but performed better than PSV in terms of the time taken for 50 % and 90 %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to be</w:t>
      </w:r>
      <w:r>
        <w:rPr>
          <w:spacing w:val="-1"/>
        </w:rPr>
        <w:t> </w:t>
      </w:r>
      <w:r>
        <w:rPr/>
        <w:t>released.</w:t>
      </w:r>
    </w:p>
    <w:p>
      <w:pPr>
        <w:pStyle w:val="BodyText"/>
        <w:spacing w:line="480" w:lineRule="auto" w:before="120"/>
        <w:ind w:left="465" w:right="1256"/>
        <w:jc w:val="both"/>
      </w:pPr>
      <w:r>
        <w:rPr/>
        <w:t>The similarity factor (ƒ2) was calculated to</w:t>
      </w:r>
      <w:r>
        <w:rPr>
          <w:spacing w:val="60"/>
        </w:rPr>
        <w:t> </w:t>
      </w:r>
      <w:r>
        <w:rPr/>
        <w:t>measure the degree of similarity between</w:t>
      </w:r>
      <w:r>
        <w:rPr>
          <w:spacing w:val="1"/>
        </w:rPr>
        <w:t> </w:t>
      </w:r>
      <w:r>
        <w:rPr/>
        <w:t>the drug-release profiles of the three excipients. The similarity factor (ƒ2) obtained for</w:t>
      </w:r>
      <w:r>
        <w:rPr>
          <w:spacing w:val="1"/>
        </w:rPr>
        <w:t> </w:t>
      </w:r>
      <w:r>
        <w:rPr/>
        <w:t>SGS and PSV was 17 while that for SGS and SLC was 53. This indicates a high degree</w:t>
      </w:r>
      <w:r>
        <w:rPr>
          <w:spacing w:val="1"/>
        </w:rPr>
        <w:t> </w:t>
      </w:r>
      <w:r>
        <w:rPr/>
        <w:t>of dissimilarity between the release profiles of SGS and PSV and a high degree of</w:t>
      </w:r>
      <w:r>
        <w:rPr>
          <w:spacing w:val="1"/>
        </w:rPr>
        <w:t> </w:t>
      </w:r>
      <w:r>
        <w:rPr/>
        <w:t>similarity between the release profiles of SGS and SLC. The similarity factor fits result</w:t>
      </w:r>
      <w:r>
        <w:rPr>
          <w:spacing w:val="1"/>
        </w:rPr>
        <w:t> </w:t>
      </w:r>
      <w:r>
        <w:rPr/>
        <w:t>between 0 and 100. It is 100 when the test andreference profiles are identical and tends</w:t>
      </w:r>
      <w:r>
        <w:rPr>
          <w:spacing w:val="1"/>
        </w:rPr>
        <w:t> </w:t>
      </w:r>
      <w:r>
        <w:rPr/>
        <w:t>towards</w:t>
      </w:r>
      <w:r>
        <w:rPr>
          <w:spacing w:val="-1"/>
        </w:rPr>
        <w:t> </w:t>
      </w:r>
      <w:r>
        <w:rPr/>
        <w:t>0 asthe dissimilarity</w:t>
      </w:r>
      <w:r>
        <w:rPr>
          <w:spacing w:val="-5"/>
        </w:rPr>
        <w:t> </w:t>
      </w:r>
      <w:r>
        <w:rPr/>
        <w:t>increases.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631"/>
      </w:pPr>
      <w:r>
        <w:rPr/>
        <w:pict>
          <v:group style="position:absolute;margin-left:181.919998pt;margin-top:10.973096pt;width:310.350pt;height:279.6pt;mso-position-horizontal-relative:page;mso-position-vertical-relative:paragraph;z-index:15901184" coordorigin="3638,219" coordsize="6207,5592">
            <v:line style="position:absolute" from="3715,234" to="3715,5665" stroked="true" strokeweight="1.44pt" strokecolor="#000000">
              <v:stroke dashstyle="solid"/>
            </v:line>
            <v:shape style="position:absolute;left:3645;top:233;width:70;height:4952" coordorigin="3646,234" coordsize="70,4952" path="m3646,5185l3715,5185m3646,4635l3715,4635m3646,4083l3715,4083m3646,3534l3715,3534m3646,2984l3715,2984m3646,2435l3715,2435m3646,1885l3715,1885m3646,1333l3715,1333m3646,783l3715,783m3646,234l3715,234e" filled="false" stroked="true" strokeweight="1.44pt" strokecolor="#000000">
              <v:path arrowok="t"/>
              <v:stroke dashstyle="solid"/>
            </v:shape>
            <v:line style="position:absolute" from="3785,5735" to="9048,5735" stroked="true" strokeweight="1.44pt" strokecolor="#000000">
              <v:stroke dashstyle="solid"/>
            </v:line>
            <v:line style="position:absolute" from="3701,5805" to="3730,5805" stroked="true" strokeweight=".12pt" strokecolor="#000000">
              <v:stroke dashstyle="solid"/>
            </v:line>
            <v:shape style="position:absolute;left:5049;top:5734;width:3999;height:72" coordorigin="5050,5735" coordsize="3999,72" path="m5050,5735l5050,5807m6382,5735l6382,5807m7716,5735l7716,5807m9048,5735l9048,5807e" filled="false" stroked="true" strokeweight="1.44pt" strokecolor="#000000">
              <v:path arrowok="t"/>
              <v:stroke dashstyle="solid"/>
            </v:shape>
            <v:shape style="position:absolute;left:3715;top:1037;width:4001;height:4697" coordorigin="3715,1038" coordsize="4001,4697" path="m3715,5735l3731,5656,3747,5576,3763,5495,3779,5412,3795,5328,3810,5244,3826,5159,3842,5074,3858,4990,3874,4906,3890,4823,3906,4742,3922,4662,3937,4583,3953,4507,3969,4434,3985,4363,4001,4295,4017,4230,4033,4169,4079,4010,4109,3919,4137,3839,4166,3768,4195,3703,4227,3645,4260,3590,4297,3537,4337,3484,4382,3430,4435,3375,4494,3323,4558,3275,4625,3230,4695,3185,4766,3141,4838,3097,4910,3051,4981,3003,5049,2952,5108,2903,5166,2853,5222,2802,5277,2750,5333,2698,5390,2644,5449,2590,5510,2534,5574,2478,5642,2421,5716,2363,5773,2320,5832,2276,5894,2230,5958,2184,6024,2138,6092,2091,6160,2043,6230,1996,6300,1948,6370,1901,6440,1853,6510,1807,6580,1760,6648,1715,6716,1670,6782,1626,6849,1583,6916,1540,6983,1497,7049,1455,7116,1413,7183,1371,7249,1329,7316,1288,7383,1246,7449,1205,7516,1163,7583,1122,7649,1080,7716,1038e" filled="false" stroked="true" strokeweight="2.16pt" strokecolor="#497dba">
              <v:path arrowok="t"/>
              <v:stroke dashstyle="solid"/>
            </v:shape>
            <v:shape style="position:absolute;left:3645;top:5664;width:140;height:140" coordorigin="3646,5664" coordsize="140,140" path="m3716,5804l3646,5734,3716,5664,3786,5734,3716,5804e" filled="false" stroked="true" strokeweight=".72pt" strokecolor="#497dba">
              <v:path arrowok="t"/>
              <v:stroke dashstyle="solid"/>
            </v:shape>
            <v:shape style="position:absolute;left:3971;top:4034;width:155;height:155" type="#_x0000_t75" stroked="false">
              <v:imagedata r:id="rId189" o:title=""/>
            </v:shape>
            <v:shape style="position:absolute;left:4305;top:3353;width:155;height:155" type="#_x0000_t75" stroked="false">
              <v:imagedata r:id="rId190" o:title=""/>
            </v:shape>
            <v:shape style="position:absolute;left:4971;top:2874;width:155;height:155" type="#_x0000_t75" stroked="false">
              <v:imagedata r:id="rId189" o:title=""/>
            </v:shape>
            <v:shape style="position:absolute;left:5638;top:2286;width:155;height:155" type="#_x0000_t75" stroked="false">
              <v:imagedata r:id="rId193" o:title=""/>
            </v:shape>
            <v:shape style="position:absolute;left:6638;top:1593;width:155;height:155" type="#_x0000_t75" stroked="false">
              <v:imagedata r:id="rId204" o:title=""/>
            </v:shape>
            <v:shape style="position:absolute;left:7638;top:961;width:155;height:155" type="#_x0000_t75" stroked="false">
              <v:imagedata r:id="rId190" o:title=""/>
            </v:shape>
            <v:shape style="position:absolute;left:3715;top:671;width:4001;height:5063" coordorigin="3715,672" coordsize="4001,5063" path="m3715,5735l3723,5655,3731,5573,3738,5490,3746,5406,3754,5320,3762,5233,3769,5146,3777,5057,3785,4968,3793,4878,3801,4788,3808,4697,3816,4606,3824,4514,3832,4423,3839,4332,3847,4241,3855,4150,3863,4060,3870,3970,3878,3881,3886,3793,3894,3705,3901,3619,3909,3534,3917,3450,3925,3367,3932,3286,3940,3207,3948,3129,3956,3053,3963,2979,3971,2907,3979,2838,3987,2771,3994,2706,4002,2643,4010,2584,4025,2473,4041,2375,4076,2250,4121,2190,4178,2146,4239,2115,4297,2091,4347,2073,4382,2055,4435,2017,4494,1978,4558,1938,4625,1896,4695,1851,4766,1804,4838,1753,4910,1699,4981,1640,5049,1576,5096,1526,5141,1468,5186,1405,5230,1338,5273,1268,5317,1197,5361,1126,5406,1056,5453,989,5501,925,5551,867,5603,815,5658,770,5716,735,5782,707,5851,688,5924,677,5999,672,6076,672,6155,677,6235,684,6316,694,6397,704,6478,714,6559,722,6638,728,6716,729,6793,729,6870,728,6947,727,7024,727,7100,726,7177,725,7254,724,7331,723,7408,722,7485,721,7562,720,7639,719,7716,718e" filled="false" stroked="true" strokeweight="2.16pt" strokecolor="#bd4a47">
              <v:path arrowok="t"/>
              <v:stroke dashstyle="solid"/>
            </v:shape>
            <v:rect style="position:absolute;left:3645;top:5665;width:140;height:140" filled="true" fillcolor="#c0504d" stroked="false">
              <v:fill type="solid"/>
            </v:rect>
            <v:rect style="position:absolute;left:3645;top:5665;width:140;height:140" filled="false" stroked="true" strokeweight=".72pt" strokecolor="#bd4a47">
              <v:stroke dashstyle="solid"/>
            </v:rect>
            <v:rect style="position:absolute;left:3979;top:2259;width:140;height:142" filled="true" fillcolor="#c0504d" stroked="false">
              <v:fill type="solid"/>
            </v:rect>
            <v:rect style="position:absolute;left:3979;top:2259;width:140;height:142" filled="false" stroked="true" strokeweight=".72pt" strokecolor="#bd4a47">
              <v:stroke dashstyle="solid"/>
            </v:rect>
            <v:rect style="position:absolute;left:4312;top:1985;width:140;height:140" filled="true" fillcolor="#c0504d" stroked="false">
              <v:fill type="solid"/>
            </v:rect>
            <v:rect style="position:absolute;left:4312;top:1985;width:140;height:140" filled="false" stroked="true" strokeweight=".72pt" strokecolor="#bd4a47">
              <v:stroke dashstyle="solid"/>
            </v:rect>
            <v:rect style="position:absolute;left:4980;top:1505;width:140;height:142" filled="true" fillcolor="#c0504d" stroked="false">
              <v:fill type="solid"/>
            </v:rect>
            <v:rect style="position:absolute;left:4980;top:1505;width:140;height:142" filled="false" stroked="true" strokeweight=".72pt" strokecolor="#bd4a47">
              <v:stroke dashstyle="solid"/>
            </v:rect>
            <v:rect style="position:absolute;left:5644;top:665;width:142;height:140" filled="true" fillcolor="#c0504d" stroked="false">
              <v:fill type="solid"/>
            </v:rect>
            <v:rect style="position:absolute;left:5644;top:665;width:142;height:140" filled="false" stroked="true" strokeweight=".72pt" strokecolor="#bd4a47">
              <v:stroke dashstyle="solid"/>
            </v:rect>
            <v:rect style="position:absolute;left:6645;top:661;width:140;height:140" filled="true" fillcolor="#c0504d" stroked="false">
              <v:fill type="solid"/>
            </v:rect>
            <v:rect style="position:absolute;left:6645;top:661;width:140;height:140" filled="false" stroked="true" strokeweight=".72pt" strokecolor="#bd4a47">
              <v:stroke dashstyle="solid"/>
            </v:rect>
            <v:rect style="position:absolute;left:7646;top:649;width:140;height:140" filled="true" fillcolor="#c0504d" stroked="false">
              <v:fill type="solid"/>
            </v:rect>
            <v:rect style="position:absolute;left:7646;top:649;width:140;height:140" filled="false" stroked="true" strokeweight=".72pt" strokecolor="#bd4a47">
              <v:stroke dashstyle="solid"/>
            </v:rect>
            <v:shape style="position:absolute;left:3715;top:775;width:4001;height:4960" coordorigin="3715,775" coordsize="4001,4960" path="m3715,5735l3724,5654,3733,5571,3742,5486,3750,5400,3759,5312,3768,5224,3777,5134,3785,5043,3794,4952,3803,4860,3812,4768,3821,4675,3829,4582,3838,4490,3847,4397,3856,4305,3864,4213,3873,4123,3882,4033,3891,3944,3899,3856,3908,3769,3917,3684,3926,3600,3935,3519,3943,3439,3952,3361,3961,3285,3970,3212,3978,3142,3987,3074,3996,3009,4005,2947,4022,2833,4040,2733,4083,2611,4139,2564,4208,2537,4278,2522,4340,2513,4382,2501,4435,2475,4494,2451,4558,2429,4625,2405,4695,2378,4766,2345,4838,2306,4910,2256,4981,2196,5049,2121,5117,2020,5151,1959,5183,1893,5216,1822,5248,1747,5280,1670,5312,1591,5345,1511,5378,1431,5411,1352,5445,1275,5480,1201,5516,1130,5553,1065,5592,1005,5631,951,5673,905,5777,829,5841,802,5908,785,5977,776,6048,775,6121,780,6195,789,6270,802,6345,816,6420,831,6495,845,6570,857,6644,865,6716,868,6793,868,6870,868,7639,868,7716,868e" filled="false" stroked="true" strokeweight="2.16pt" strokecolor="#97b853">
              <v:path arrowok="t"/>
              <v:stroke dashstyle="solid"/>
            </v:shape>
            <v:shape style="position:absolute;left:3638;top:5657;width:155;height:155" type="#_x0000_t75" stroked="false">
              <v:imagedata r:id="rId209" o:title=""/>
            </v:shape>
            <v:shape style="position:absolute;left:3971;top:2610;width:155;height:155" type="#_x0000_t75" stroked="false">
              <v:imagedata r:id="rId210" o:title=""/>
            </v:shape>
            <v:shape style="position:absolute;left:4305;top:2423;width:155;height:155" type="#_x0000_t75" stroked="false">
              <v:imagedata r:id="rId209" o:title=""/>
            </v:shape>
            <v:shape style="position:absolute;left:4971;top:2044;width:155;height:155" type="#_x0000_t75" stroked="false">
              <v:imagedata r:id="rId211" o:title=""/>
            </v:shape>
            <v:shape style="position:absolute;left:5638;top:790;width:155;height:155" type="#_x0000_t75" stroked="false">
              <v:imagedata r:id="rId212" o:title=""/>
            </v:shape>
            <v:shape style="position:absolute;left:6638;top:790;width:155;height:155" type="#_x0000_t75" stroked="false">
              <v:imagedata r:id="rId213" o:title=""/>
            </v:shape>
            <v:shape style="position:absolute;left:7638;top:790;width:155;height:155" type="#_x0000_t75" stroked="false">
              <v:imagedata r:id="rId213" o:title=""/>
            </v:shape>
            <v:shape style="position:absolute;left:8584;top:2542;width:384;height:156" type="#_x0000_t75" stroked="false">
              <v:imagedata r:id="rId214" o:title=""/>
            </v:shape>
            <v:line style="position:absolute" from="8585,3003" to="8969,3003" stroked="true" strokeweight="2.16pt" strokecolor="#bd4a47">
              <v:stroke dashstyle="solid"/>
            </v:line>
            <v:rect style="position:absolute;left:8707;top:2933;width:140;height:140" filled="true" fillcolor="#c0504d" stroked="false">
              <v:fill type="solid"/>
            </v:rect>
            <v:rect style="position:absolute;left:8707;top:2933;width:140;height:140" filled="false" stroked="true" strokeweight=".72pt" strokecolor="#bd4a47">
              <v:stroke dashstyle="solid"/>
            </v:rect>
            <v:shape style="position:absolute;left:8584;top:3308;width:384;height:156" type="#_x0000_t75" stroked="false">
              <v:imagedata r:id="rId215" o:title=""/>
            </v:shape>
            <v:shape style="position:absolute;left:8491;top:2429;width:1347;height:1148" type="#_x0000_t202" filled="false" stroked="true" strokeweight=".72pt" strokecolor="#000000">
              <v:textbox inset="0,0,0,0">
                <w:txbxContent>
                  <w:p>
                    <w:pPr>
                      <w:spacing w:before="43"/>
                      <w:ind w:left="51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Prosolv</w:t>
                    </w:r>
                  </w:p>
                  <w:p>
                    <w:pPr>
                      <w:spacing w:line="380" w:lineRule="atLeast" w:before="3"/>
                      <w:ind w:left="511" w:right="6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StarLac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SGS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100</w:t>
      </w: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1751"/>
      </w:pPr>
      <w:r>
        <w:rPr/>
        <w:pict>
          <v:shape style="position:absolute;margin-left:132.356644pt;margin-top:12.580466pt;width:15.3pt;height:86.2pt;mso-position-horizontal-relative:page;mso-position-vertical-relative:paragraph;z-index:15901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%</w:t>
                  </w:r>
                  <w:r>
                    <w:rPr>
                      <w:b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drug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released</w:t>
                  </w:r>
                </w:p>
              </w:txbxContent>
            </v:textbox>
            <w10:wrap type="none"/>
          </v:shape>
        </w:pict>
      </w:r>
      <w:r>
        <w:rPr/>
        <w:t>90</w:t>
      </w:r>
    </w:p>
    <w:p>
      <w:pPr>
        <w:pStyle w:val="BodyText"/>
        <w:rPr>
          <w:sz w:val="16"/>
        </w:rPr>
      </w:pPr>
    </w:p>
    <w:p>
      <w:pPr>
        <w:pStyle w:val="BodyText"/>
        <w:spacing w:before="91"/>
        <w:ind w:left="1751"/>
      </w:pPr>
      <w:r>
        <w:rPr/>
        <w:t>80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0"/>
        <w:ind w:left="1751"/>
      </w:pPr>
      <w:r>
        <w:rPr/>
        <w:t>70</w:t>
      </w: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1751"/>
      </w:pPr>
      <w:r>
        <w:rPr/>
        <w:t>60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751"/>
      </w:pPr>
      <w:r>
        <w:rPr/>
        <w:t>50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751"/>
      </w:pPr>
      <w:r>
        <w:rPr/>
        <w:t>40</w:t>
      </w: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1751"/>
      </w:pPr>
      <w:r>
        <w:rPr/>
        <w:t>30</w:t>
      </w: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1751"/>
      </w:pPr>
      <w:r>
        <w:rPr/>
        <w:t>20</w:t>
      </w: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1751"/>
      </w:pPr>
      <w:r>
        <w:rPr/>
        <w:t>10</w:t>
      </w: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1871"/>
      </w:pPr>
      <w:r>
        <w:rPr/>
        <w:t>0</w:t>
      </w:r>
    </w:p>
    <w:p>
      <w:pPr>
        <w:pStyle w:val="BodyText"/>
        <w:tabs>
          <w:tab w:pos="1273" w:val="left" w:leader="none"/>
          <w:tab w:pos="2606" w:val="left" w:leader="none"/>
          <w:tab w:pos="3940" w:val="left" w:leader="none"/>
          <w:tab w:pos="5273" w:val="left" w:leader="none"/>
        </w:tabs>
        <w:spacing w:before="74"/>
        <w:ind w:right="438"/>
        <w:jc w:val="center"/>
      </w:pPr>
      <w:r>
        <w:rPr/>
        <w:t>0</w:t>
        <w:tab/>
        <w:t>20</w:t>
        <w:tab/>
        <w:t>40</w:t>
        <w:tab/>
        <w:t>60</w:t>
        <w:tab/>
        <w:t>80</w:t>
      </w:r>
    </w:p>
    <w:p>
      <w:pPr>
        <w:pStyle w:val="Heading3"/>
        <w:spacing w:before="149"/>
        <w:ind w:left="657" w:right="1154"/>
        <w:jc w:val="center"/>
      </w:pPr>
      <w:r>
        <w:rPr/>
        <w:t>Time</w:t>
      </w:r>
      <w:r>
        <w:rPr>
          <w:spacing w:val="-7"/>
        </w:rPr>
        <w:t> </w:t>
      </w:r>
      <w:r>
        <w:rPr/>
        <w:t>(min)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spacing w:before="90"/>
        <w:ind w:left="465" w:right="1950" w:firstLine="0"/>
        <w:jc w:val="left"/>
        <w:rPr>
          <w:b/>
          <w:sz w:val="24"/>
        </w:rPr>
      </w:pPr>
      <w:r>
        <w:rPr>
          <w:b/>
          <w:sz w:val="24"/>
        </w:rPr>
        <w:t>Figure 4.26: Dissolution plot of SGS, PSV and SLC showing the relationship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amount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drug released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(%) 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time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(min)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580" w:bottom="1260" w:left="1520" w:right="160"/>
        </w:sectPr>
      </w:pPr>
    </w:p>
    <w:p>
      <w:pPr>
        <w:pStyle w:val="Heading3"/>
        <w:ind w:left="643" w:right="1436"/>
        <w:jc w:val="center"/>
      </w:pPr>
      <w:bookmarkStart w:name="_TOC_250023" w:id="83"/>
      <w:r>
        <w:rPr/>
        <w:t>CHAPTER</w:t>
      </w:r>
      <w:r>
        <w:rPr>
          <w:spacing w:val="-3"/>
        </w:rPr>
        <w:t> </w:t>
      </w:r>
      <w:bookmarkEnd w:id="83"/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1"/>
          <w:numId w:val="23"/>
        </w:numPr>
        <w:tabs>
          <w:tab w:pos="4344" w:val="left" w:leader="none"/>
          <w:tab w:pos="4345" w:val="left" w:leader="none"/>
        </w:tabs>
        <w:spacing w:line="240" w:lineRule="auto" w:before="218" w:after="0"/>
        <w:ind w:left="4344" w:right="0" w:hanging="721"/>
        <w:jc w:val="left"/>
      </w:pPr>
      <w:bookmarkStart w:name="_TOC_250022" w:id="84"/>
      <w:bookmarkEnd w:id="84"/>
      <w:r>
        <w:rPr/>
        <w:t>DISCUSSION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1"/>
          <w:numId w:val="23"/>
        </w:numPr>
        <w:tabs>
          <w:tab w:pos="1185" w:val="left" w:leader="none"/>
          <w:tab w:pos="1186" w:val="left" w:leader="none"/>
        </w:tabs>
        <w:spacing w:line="240" w:lineRule="auto" w:before="217" w:after="0"/>
        <w:ind w:left="1185" w:right="0" w:hanging="721"/>
        <w:jc w:val="left"/>
      </w:pPr>
      <w:bookmarkStart w:name="_TOC_250021" w:id="85"/>
      <w:r>
        <w:rPr/>
        <w:t>Selection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optimized</w:t>
      </w:r>
      <w:r>
        <w:rPr>
          <w:spacing w:val="-2"/>
        </w:rPr>
        <w:t> </w:t>
      </w:r>
      <w:r>
        <w:rPr/>
        <w:t>composition using</w:t>
      </w:r>
      <w:r>
        <w:rPr>
          <w:spacing w:val="-2"/>
        </w:rPr>
        <w:t> </w:t>
      </w:r>
      <w:bookmarkEnd w:id="85"/>
      <w:r>
        <w:rPr/>
        <w:t>DoE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5" w:right="1254"/>
        <w:jc w:val="both"/>
      </w:pPr>
      <w:r>
        <w:rPr/>
        <w:t>The concept of quality by design (QbD) (Yu, 2008; Pawar </w:t>
      </w:r>
      <w:r>
        <w:rPr>
          <w:i/>
        </w:rPr>
        <w:t>et al.</w:t>
      </w:r>
      <w:r>
        <w:rPr/>
        <w:t>, 2012; Larsen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2014)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optimize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excipient, </w:t>
      </w:r>
      <w:r>
        <w:rPr>
          <w:i/>
        </w:rPr>
        <w:t>StarGelaSil </w:t>
      </w:r>
      <w:r>
        <w:rPr/>
        <w:t>(SGS). The mixture design model (Simple Centroid) of DoE was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(co-</w:t>
      </w:r>
      <w:r>
        <w:rPr>
          <w:spacing w:val="1"/>
        </w:rPr>
        <w:t> </w:t>
      </w:r>
      <w:r>
        <w:rPr/>
        <w:t>processed excipient) is</w:t>
      </w:r>
      <w:r>
        <w:rPr>
          <w:spacing w:val="1"/>
        </w:rPr>
        <w:t> </w:t>
      </w:r>
      <w:r>
        <w:rPr/>
        <w:t>made up of several components/ingredients. Mixture design</w:t>
      </w:r>
      <w:r>
        <w:rPr>
          <w:spacing w:val="1"/>
        </w:rPr>
        <w:t> </w:t>
      </w:r>
      <w:r>
        <w:rPr/>
        <w:t>experiments accounts for the dependence of response on proportionality of ingredients</w:t>
      </w:r>
      <w:r>
        <w:rPr>
          <w:spacing w:val="1"/>
        </w:rPr>
        <w:t> </w:t>
      </w:r>
      <w:r>
        <w:rPr/>
        <w:t>(Cornell,</w:t>
      </w:r>
      <w:r>
        <w:rPr>
          <w:spacing w:val="1"/>
        </w:rPr>
        <w:t> </w:t>
      </w:r>
      <w:r>
        <w:rPr/>
        <w:t>1990;</w:t>
      </w:r>
      <w:r>
        <w:rPr>
          <w:spacing w:val="1"/>
        </w:rPr>
        <w:t> </w:t>
      </w:r>
      <w:r>
        <w:rPr/>
        <w:t>Anderson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Whitcomb,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functionality of the co-processed excipient under investigation is derivable directly from</w:t>
      </w:r>
      <w:r>
        <w:rPr>
          <w:spacing w:val="-57"/>
        </w:rPr>
        <w:t> </w:t>
      </w:r>
      <w:r>
        <w:rPr/>
        <w:t>the relative proportions of the individual components that constitute the co-processed</w:t>
      </w:r>
      <w:r>
        <w:rPr>
          <w:spacing w:val="1"/>
        </w:rPr>
        <w:t> </w:t>
      </w:r>
      <w:r>
        <w:rPr/>
        <w:t>excipient.</w:t>
      </w:r>
    </w:p>
    <w:p>
      <w:pPr>
        <w:pStyle w:val="BodyText"/>
        <w:spacing w:line="480" w:lineRule="auto" w:before="122"/>
        <w:ind w:left="465" w:right="1252"/>
        <w:jc w:val="both"/>
      </w:pPr>
      <w:r>
        <w:rPr/>
        <w:t>The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Centroid</w:t>
      </w:r>
      <w:r>
        <w:rPr>
          <w:spacing w:val="1"/>
        </w:rPr>
        <w:t> </w:t>
      </w:r>
      <w:r>
        <w:rPr/>
        <w:t>(SC)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 components (Cassava starch, Gelatin and Colloidal silicon dioxide) and their</w:t>
      </w:r>
      <w:r>
        <w:rPr>
          <w:spacing w:val="1"/>
        </w:rPr>
        <w:t> </w:t>
      </w:r>
      <w:r>
        <w:rPr/>
        <w:t>interactions</w:t>
      </w:r>
      <w:r>
        <w:rPr>
          <w:spacing w:val="36"/>
        </w:rPr>
        <w:t> </w:t>
      </w:r>
      <w:r>
        <w:rPr/>
        <w:t>at</w:t>
      </w:r>
      <w:r>
        <w:rPr>
          <w:spacing w:val="37"/>
        </w:rPr>
        <w:t> </w:t>
      </w:r>
      <w:r>
        <w:rPr/>
        <w:t>varying</w:t>
      </w:r>
      <w:r>
        <w:rPr>
          <w:spacing w:val="37"/>
        </w:rPr>
        <w:t> </w:t>
      </w:r>
      <w:r>
        <w:rPr/>
        <w:t>concentrations</w:t>
      </w:r>
      <w:r>
        <w:rPr>
          <w:spacing w:val="37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predefined</w:t>
      </w:r>
      <w:r>
        <w:rPr>
          <w:spacing w:val="37"/>
        </w:rPr>
        <w:t> </w:t>
      </w:r>
      <w:r>
        <w:rPr/>
        <w:t>responses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tensile</w:t>
      </w:r>
      <w:r>
        <w:rPr>
          <w:spacing w:val="36"/>
        </w:rPr>
        <w:t> </w:t>
      </w:r>
      <w:r>
        <w:rPr/>
        <w:t>strength</w:t>
      </w:r>
      <w:r>
        <w:rPr>
          <w:spacing w:val="-58"/>
        </w:rPr>
        <w:t> </w:t>
      </w:r>
      <w:r>
        <w:rPr/>
        <w:t>and disintegration time. It was used to optimize both responses using a higher order</w:t>
      </w:r>
      <w:r>
        <w:rPr>
          <w:spacing w:val="1"/>
        </w:rPr>
        <w:t> </w:t>
      </w:r>
      <w:r>
        <w:rPr/>
        <w:t>polynomial model. The summary statistics obtained with </w:t>
      </w:r>
      <w:r>
        <w:rPr>
          <w:i/>
        </w:rPr>
        <w:t>ANOVA </w:t>
      </w:r>
      <w:r>
        <w:rPr/>
        <w:t>specifies the special</w:t>
      </w:r>
      <w:r>
        <w:rPr>
          <w:spacing w:val="1"/>
        </w:rPr>
        <w:t> </w:t>
      </w:r>
      <w:r>
        <w:rPr/>
        <w:t>quartic model as the best fitting model for both responses as confirmed by the </w:t>
      </w:r>
      <w:r>
        <w:rPr>
          <w:i/>
        </w:rPr>
        <w:t>p </w:t>
      </w:r>
      <w:r>
        <w:rPr/>
        <w:t>values</w:t>
      </w:r>
      <w:r>
        <w:rPr>
          <w:spacing w:val="1"/>
        </w:rPr>
        <w:t> </w:t>
      </w:r>
      <w:r>
        <w:rPr/>
        <w:t>documented in Table 4.2. The requirements for accepting a model includes a goodness</w:t>
      </w:r>
      <w:r>
        <w:rPr>
          <w:spacing w:val="1"/>
        </w:rPr>
        <w:t> </w:t>
      </w:r>
      <w:r>
        <w:rPr/>
        <w:t>of fit statistic defined by the coefficient of determination (R</w:t>
      </w:r>
      <w:r>
        <w:rPr>
          <w:vertAlign w:val="superscript"/>
        </w:rPr>
        <w:t>2</w:t>
      </w:r>
      <w:r>
        <w:rPr>
          <w:vertAlign w:val="baseline"/>
        </w:rPr>
        <w:t>) and significance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 at </w:t>
      </w:r>
      <w:r>
        <w:rPr>
          <w:i/>
          <w:vertAlign w:val="baseline"/>
        </w:rPr>
        <w:t>p</w:t>
      </w:r>
      <w:r>
        <w:rPr>
          <w:vertAlign w:val="baseline"/>
        </w:rPr>
        <w:t>&lt;0.05 (Camargo, 2011; Kurmi </w:t>
      </w:r>
      <w:r>
        <w:rPr>
          <w:i/>
          <w:vertAlign w:val="baseline"/>
        </w:rPr>
        <w:t>et al.</w:t>
      </w:r>
      <w:r>
        <w:rPr>
          <w:vertAlign w:val="baseline"/>
        </w:rPr>
        <w:t>, 2014; Larsen </w:t>
      </w:r>
      <w:r>
        <w:rPr>
          <w:i/>
          <w:vertAlign w:val="baseline"/>
        </w:rPr>
        <w:t>et al.</w:t>
      </w:r>
      <w:r>
        <w:rPr>
          <w:vertAlign w:val="baseline"/>
        </w:rPr>
        <w:t>, 2014)). These two</w:t>
      </w:r>
      <w:r>
        <w:rPr>
          <w:spacing w:val="1"/>
          <w:vertAlign w:val="baseline"/>
        </w:rPr>
        <w:t> </w:t>
      </w:r>
      <w:r>
        <w:rPr>
          <w:vertAlign w:val="baseline"/>
        </w:rPr>
        <w:t>criteria were met for both responses as shown in Table 4.2. The suitability of the model</w:t>
      </w:r>
      <w:r>
        <w:rPr>
          <w:spacing w:val="1"/>
          <w:vertAlign w:val="baseline"/>
        </w:rPr>
        <w:t> </w:t>
      </w:r>
      <w:r>
        <w:rPr>
          <w:vertAlign w:val="baseline"/>
        </w:rPr>
        <w:t>chosen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3"/>
          <w:vertAlign w:val="baseline"/>
        </w:rPr>
        <w:t> </w:t>
      </w:r>
      <w:r>
        <w:rPr>
          <w:vertAlign w:val="baseline"/>
        </w:rPr>
        <w:t>fit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data</w:t>
      </w:r>
      <w:r>
        <w:rPr>
          <w:spacing w:val="12"/>
          <w:vertAlign w:val="baseline"/>
        </w:rPr>
        <w:t> </w:t>
      </w:r>
      <w:r>
        <w:rPr>
          <w:vertAlign w:val="baseline"/>
        </w:rPr>
        <w:t>collected</w:t>
      </w:r>
      <w:r>
        <w:rPr>
          <w:spacing w:val="12"/>
          <w:vertAlign w:val="baseline"/>
        </w:rPr>
        <w:t> </w:t>
      </w:r>
      <w:r>
        <w:rPr>
          <w:vertAlign w:val="baseline"/>
        </w:rPr>
        <w:t>on</w:t>
      </w:r>
      <w:r>
        <w:rPr>
          <w:spacing w:val="13"/>
          <w:vertAlign w:val="baseline"/>
        </w:rPr>
        <w:t> </w:t>
      </w:r>
      <w:r>
        <w:rPr>
          <w:vertAlign w:val="baseline"/>
        </w:rPr>
        <w:t>tensile</w:t>
      </w:r>
      <w:r>
        <w:rPr>
          <w:spacing w:val="11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disintegration</w:t>
      </w:r>
      <w:r>
        <w:rPr>
          <w:spacing w:val="13"/>
          <w:vertAlign w:val="baseline"/>
        </w:rPr>
        <w:t> </w:t>
      </w:r>
      <w:r>
        <w:rPr>
          <w:vertAlign w:val="baseline"/>
        </w:rPr>
        <w:t>time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tablets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112"/>
        <w:ind w:left="465" w:right="1253"/>
        <w:jc w:val="both"/>
      </w:pPr>
      <w:r>
        <w:rPr/>
        <w:t>increased as the coefficient of determination (R</w:t>
      </w:r>
      <w:r>
        <w:rPr>
          <w:vertAlign w:val="superscript"/>
        </w:rPr>
        <w:t>2</w:t>
      </w:r>
      <w:r>
        <w:rPr>
          <w:vertAlign w:val="baseline"/>
        </w:rPr>
        <w:t>) tends to 1. Hence, the model selected</w:t>
      </w:r>
      <w:r>
        <w:rPr>
          <w:spacing w:val="1"/>
          <w:vertAlign w:val="baseline"/>
        </w:rPr>
        <w:t> </w:t>
      </w:r>
      <w:r>
        <w:rPr>
          <w:vertAlign w:val="baseline"/>
        </w:rPr>
        <w:t>was appropriate in correlating the relationship between the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 of the individual</w:t>
      </w:r>
      <w:r>
        <w:rPr>
          <w:spacing w:val="1"/>
          <w:vertAlign w:val="baseline"/>
        </w:rPr>
        <w:t> </w:t>
      </w:r>
      <w:r>
        <w:rPr>
          <w:vertAlign w:val="baseline"/>
        </w:rPr>
        <w:t>excipients in the varying mixtures on the tablet properties evaluated (Camargo, 2011).</w:t>
      </w:r>
      <w:r>
        <w:rPr>
          <w:spacing w:val="1"/>
          <w:vertAlign w:val="baseline"/>
        </w:rPr>
        <w:t> </w:t>
      </w:r>
      <w:r>
        <w:rPr>
          <w:vertAlign w:val="baseline"/>
        </w:rPr>
        <w:t>Thus, about 99.8 % and 99.9 % of the experimental variances for tensile strength and</w:t>
      </w:r>
      <w:r>
        <w:rPr>
          <w:spacing w:val="1"/>
          <w:vertAlign w:val="baseline"/>
        </w:rPr>
        <w:t> </w:t>
      </w:r>
      <w:r>
        <w:rPr>
          <w:vertAlign w:val="baseline"/>
        </w:rPr>
        <w:t>disintegration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time, respectively,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explained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special</w:t>
      </w:r>
      <w:r>
        <w:rPr>
          <w:spacing w:val="1"/>
          <w:vertAlign w:val="baseline"/>
        </w:rPr>
        <w:t> </w:t>
      </w:r>
      <w:r>
        <w:rPr>
          <w:vertAlign w:val="baseline"/>
        </w:rPr>
        <w:t>quartic</w:t>
      </w:r>
      <w:r>
        <w:rPr>
          <w:spacing w:val="-1"/>
          <w:vertAlign w:val="baseline"/>
        </w:rPr>
        <w:t> </w:t>
      </w:r>
      <w:r>
        <w:rPr>
          <w:vertAlign w:val="baseline"/>
        </w:rPr>
        <w:t>model.</w:t>
      </w:r>
    </w:p>
    <w:p>
      <w:pPr>
        <w:pStyle w:val="BodyText"/>
        <w:spacing w:line="480" w:lineRule="auto" w:before="120"/>
        <w:ind w:left="465" w:right="1252"/>
        <w:jc w:val="both"/>
      </w:pPr>
      <w:r>
        <w:rPr/>
        <w:t>The</w:t>
      </w:r>
      <w:r>
        <w:rPr>
          <w:spacing w:val="38"/>
        </w:rPr>
        <w:t> </w:t>
      </w:r>
      <w:r>
        <w:rPr/>
        <w:t>calculated</w:t>
      </w:r>
      <w:r>
        <w:rPr>
          <w:spacing w:val="43"/>
        </w:rPr>
        <w:t> </w:t>
      </w:r>
      <w:r>
        <w:rPr>
          <w:i/>
        </w:rPr>
        <w:t>p</w:t>
      </w:r>
      <w:r>
        <w:rPr>
          <w:i/>
          <w:spacing w:val="40"/>
        </w:rPr>
        <w:t> </w:t>
      </w:r>
      <w:r>
        <w:rPr/>
        <w:t>values</w:t>
      </w:r>
      <w:r>
        <w:rPr>
          <w:spacing w:val="40"/>
        </w:rPr>
        <w:t> </w:t>
      </w:r>
      <w:r>
        <w:rPr/>
        <w:t>given</w:t>
      </w:r>
      <w:r>
        <w:rPr>
          <w:spacing w:val="39"/>
        </w:rPr>
        <w:t> </w:t>
      </w:r>
      <w:r>
        <w:rPr/>
        <w:t>in</w:t>
      </w:r>
      <w:r>
        <w:rPr>
          <w:spacing w:val="41"/>
        </w:rPr>
        <w:t> </w:t>
      </w:r>
      <w:r>
        <w:rPr/>
        <w:t>Table</w:t>
      </w:r>
      <w:r>
        <w:rPr>
          <w:spacing w:val="40"/>
        </w:rPr>
        <w:t> </w:t>
      </w:r>
      <w:r>
        <w:rPr/>
        <w:t>4.3</w:t>
      </w:r>
      <w:r>
        <w:rPr>
          <w:spacing w:val="42"/>
        </w:rPr>
        <w:t> </w:t>
      </w:r>
      <w:r>
        <w:rPr/>
        <w:t>shows</w:t>
      </w:r>
      <w:r>
        <w:rPr>
          <w:spacing w:val="40"/>
        </w:rPr>
        <w:t> </w:t>
      </w:r>
      <w:r>
        <w:rPr/>
        <w:t>that</w:t>
      </w:r>
      <w:r>
        <w:rPr>
          <w:spacing w:val="39"/>
        </w:rPr>
        <w:t> </w:t>
      </w:r>
      <w:r>
        <w:rPr/>
        <w:t>all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terms</w:t>
      </w:r>
      <w:r>
        <w:rPr>
          <w:spacing w:val="41"/>
        </w:rPr>
        <w:t> </w:t>
      </w:r>
      <w:r>
        <w:rPr/>
        <w:t>included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-57"/>
        </w:rPr>
        <w:t> </w:t>
      </w:r>
      <w:r>
        <w:rPr/>
        <w:t>model were significant at </w:t>
      </w:r>
      <w:r>
        <w:rPr>
          <w:i/>
        </w:rPr>
        <w:t>p</w:t>
      </w:r>
      <w:r>
        <w:rPr/>
        <w:t>&lt;0.05 for tensile strength while all the terms except (AC)</w:t>
      </w:r>
      <w:r>
        <w:rPr>
          <w:spacing w:val="1"/>
        </w:rPr>
        <w:t> </w:t>
      </w:r>
      <w:r>
        <w:rPr/>
        <w:t>were significant at </w:t>
      </w:r>
      <w:r>
        <w:rPr>
          <w:i/>
        </w:rPr>
        <w:t>p</w:t>
      </w:r>
      <w:r>
        <w:rPr/>
        <w:t>&lt;0.05 for disintegration time. This clearly indicates that all the</w:t>
      </w:r>
      <w:r>
        <w:rPr>
          <w:spacing w:val="1"/>
        </w:rPr>
        <w:t> </w:t>
      </w:r>
      <w:r>
        <w:rPr/>
        <w:t>model terms that were significant in the equation exerted an effect whether positive or</w:t>
      </w:r>
      <w:r>
        <w:rPr>
          <w:spacing w:val="1"/>
        </w:rPr>
        <w:t> </w:t>
      </w:r>
      <w:r>
        <w:rPr/>
        <w:t>negative on the final response. The effect of the factors/components on tensile strength</w:t>
      </w:r>
      <w:r>
        <w:rPr>
          <w:spacing w:val="1"/>
        </w:rPr>
        <w:t> </w:t>
      </w:r>
      <w:r>
        <w:rPr/>
        <w:t>followed the order: B&gt;C&gt;A with gelatin (B) having a major positive influence on tensile</w:t>
      </w:r>
      <w:r>
        <w:rPr>
          <w:spacing w:val="-57"/>
        </w:rPr>
        <w:t> </w:t>
      </w:r>
      <w:r>
        <w:rPr/>
        <w:t>strength compared to the other two components. Similarly, the effect of the components</w:t>
      </w:r>
      <w:r>
        <w:rPr>
          <w:spacing w:val="1"/>
        </w:rPr>
        <w:t> </w:t>
      </w:r>
      <w:r>
        <w:rPr/>
        <w:t>on disintegration followed the order: B&gt;A&gt;C.</w:t>
      </w:r>
      <w:r>
        <w:rPr>
          <w:spacing w:val="60"/>
        </w:rPr>
        <w:t> </w:t>
      </w:r>
      <w:r>
        <w:rPr/>
        <w:t>Again, gelatin (B) played a prominent</w:t>
      </w:r>
      <w:r>
        <w:rPr>
          <w:spacing w:val="1"/>
        </w:rPr>
        <w:t> </w:t>
      </w:r>
      <w:r>
        <w:rPr/>
        <w:t>role</w:t>
      </w:r>
      <w:r>
        <w:rPr>
          <w:spacing w:val="28"/>
        </w:rPr>
        <w:t> </w:t>
      </w:r>
      <w:r>
        <w:rPr/>
        <w:t>in</w:t>
      </w:r>
      <w:r>
        <w:rPr>
          <w:spacing w:val="30"/>
        </w:rPr>
        <w:t> </w:t>
      </w:r>
      <w:r>
        <w:rPr/>
        <w:t>deciding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outcome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disintegration.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coefficient</w:t>
      </w:r>
      <w:r>
        <w:rPr>
          <w:spacing w:val="30"/>
        </w:rPr>
        <w:t> </w:t>
      </w:r>
      <w:r>
        <w:rPr/>
        <w:t>sign</w:t>
      </w:r>
      <w:r>
        <w:rPr>
          <w:spacing w:val="29"/>
        </w:rPr>
        <w:t> </w:t>
      </w:r>
      <w:r>
        <w:rPr/>
        <w:t>indicates</w:t>
      </w:r>
      <w:r>
        <w:rPr>
          <w:spacing w:val="29"/>
        </w:rPr>
        <w:t> </w:t>
      </w:r>
      <w:r>
        <w:rPr/>
        <w:t>whether</w:t>
      </w:r>
      <w:r>
        <w:rPr>
          <w:spacing w:val="-58"/>
        </w:rPr>
        <w:t> </w:t>
      </w:r>
      <w:r>
        <w:rPr/>
        <w:t>the effect on the response is positive or negative. A positive (+) coefficient will increase</w:t>
      </w:r>
      <w:r>
        <w:rPr>
          <w:spacing w:val="-57"/>
        </w:rPr>
        <w:t> </w:t>
      </w:r>
      <w:r>
        <w:rPr/>
        <w:t>or enhance the outcome of the response while a negative (-) coefficient will decrease or</w:t>
      </w:r>
      <w:r>
        <w:rPr>
          <w:spacing w:val="1"/>
        </w:rPr>
        <w:t> </w:t>
      </w:r>
      <w:r>
        <w:rPr/>
        <w:t>reduce the outcome of the response. Based on this definition, the presence of gelatin in</w:t>
      </w:r>
      <w:r>
        <w:rPr>
          <w:spacing w:val="1"/>
        </w:rPr>
        <w:t> </w:t>
      </w:r>
      <w:r>
        <w:rPr/>
        <w:t>the co-processed mixture enhanced the tensile strength and increased the disintegration</w:t>
      </w:r>
      <w:r>
        <w:rPr>
          <w:spacing w:val="1"/>
        </w:rPr>
        <w:t> </w:t>
      </w:r>
      <w:r>
        <w:rPr/>
        <w:t>time. Increasing the concentration of gelatin in the co-processed mixture will further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prolong disintegration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tailor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 of the co-processed excipient, the concentration of gelatin can be controlled to</w:t>
      </w:r>
      <w:r>
        <w:rPr>
          <w:spacing w:val="1"/>
        </w:rPr>
        <w:t> </w:t>
      </w:r>
      <w:r>
        <w:rPr/>
        <w:t>deliver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desired response.</w:t>
      </w:r>
    </w:p>
    <w:p>
      <w:pPr>
        <w:pStyle w:val="BodyText"/>
        <w:spacing w:line="480" w:lineRule="auto" w:before="120"/>
        <w:ind w:left="465" w:right="1251"/>
        <w:jc w:val="both"/>
      </w:pPr>
      <w:r>
        <w:rPr/>
        <w:t>The effect of gelatin on tensile strength and disintegration time may not be unrelated to</w:t>
      </w:r>
      <w:r>
        <w:rPr>
          <w:spacing w:val="1"/>
        </w:rPr>
        <w:t> </w:t>
      </w:r>
      <w:r>
        <w:rPr/>
        <w:t>its use as a binder in tablet formulations (Kozlov and Burdygina, 1983; Young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2005).</w:t>
      </w:r>
      <w:r>
        <w:rPr>
          <w:spacing w:val="37"/>
        </w:rPr>
        <w:t> </w:t>
      </w:r>
      <w:r>
        <w:rPr/>
        <w:t>Gelatin</w:t>
      </w:r>
      <w:r>
        <w:rPr>
          <w:spacing w:val="40"/>
        </w:rPr>
        <w:t> </w:t>
      </w:r>
      <w:r>
        <w:rPr/>
        <w:t>acts</w:t>
      </w:r>
      <w:r>
        <w:rPr>
          <w:spacing w:val="40"/>
        </w:rPr>
        <w:t> </w:t>
      </w:r>
      <w:r>
        <w:rPr/>
        <w:t>as</w:t>
      </w:r>
      <w:r>
        <w:rPr>
          <w:spacing w:val="38"/>
        </w:rPr>
        <w:t> </w:t>
      </w:r>
      <w:r>
        <w:rPr/>
        <w:t>an</w:t>
      </w:r>
      <w:r>
        <w:rPr>
          <w:spacing w:val="39"/>
        </w:rPr>
        <w:t> </w:t>
      </w:r>
      <w:r>
        <w:rPr/>
        <w:t>adhesive</w:t>
      </w:r>
      <w:r>
        <w:rPr>
          <w:spacing w:val="39"/>
        </w:rPr>
        <w:t> </w:t>
      </w:r>
      <w:r>
        <w:rPr/>
        <w:t>that</w:t>
      </w:r>
      <w:r>
        <w:rPr>
          <w:spacing w:val="39"/>
        </w:rPr>
        <w:t> </w:t>
      </w:r>
      <w:r>
        <w:rPr/>
        <w:t>promotes</w:t>
      </w:r>
      <w:r>
        <w:rPr>
          <w:spacing w:val="38"/>
        </w:rPr>
        <w:t> </w:t>
      </w:r>
      <w:r>
        <w:rPr/>
        <w:t>cohesion</w:t>
      </w:r>
      <w:r>
        <w:rPr>
          <w:spacing w:val="40"/>
        </w:rPr>
        <w:t> </w:t>
      </w:r>
      <w:r>
        <w:rPr/>
        <w:t>between</w:t>
      </w:r>
      <w:r>
        <w:rPr>
          <w:spacing w:val="39"/>
        </w:rPr>
        <w:t> </w:t>
      </w:r>
      <w:r>
        <w:rPr/>
        <w:t>particles</w:t>
      </w:r>
      <w:r>
        <w:rPr>
          <w:spacing w:val="39"/>
        </w:rPr>
        <w:t> </w:t>
      </w:r>
      <w:r>
        <w:rPr/>
        <w:t>thereby</w:t>
      </w:r>
    </w:p>
    <w:p>
      <w:pPr>
        <w:spacing w:after="0" w:line="480" w:lineRule="auto"/>
        <w:jc w:val="both"/>
        <w:sectPr>
          <w:pgSz w:w="11910" w:h="16840"/>
          <w:pgMar w:header="0" w:footer="987" w:top="1280" w:bottom="1260" w:left="1520" w:right="160"/>
        </w:sectPr>
      </w:pPr>
    </w:p>
    <w:p>
      <w:pPr>
        <w:pStyle w:val="BodyText"/>
        <w:spacing w:line="480" w:lineRule="auto" w:before="72"/>
        <w:ind w:left="465" w:right="1253"/>
        <w:jc w:val="both"/>
      </w:pPr>
      <w:r>
        <w:rPr/>
        <w:t>promoting</w:t>
      </w:r>
      <w:r>
        <w:rPr>
          <w:spacing w:val="1"/>
        </w:rPr>
        <w:t> </w:t>
      </w:r>
      <w:r>
        <w:rPr/>
        <w:t>stronger</w:t>
      </w:r>
      <w:r>
        <w:rPr>
          <w:spacing w:val="1"/>
        </w:rPr>
        <w:t> </w:t>
      </w:r>
      <w:r>
        <w:rPr/>
        <w:t>bond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reflects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tensile strength of the compact (Zubair</w:t>
      </w:r>
      <w:r>
        <w:rPr>
          <w:spacing w:val="1"/>
        </w:rPr>
        <w:t> </w:t>
      </w:r>
      <w:r>
        <w:rPr>
          <w:i/>
        </w:rPr>
        <w:t>et al.</w:t>
      </w:r>
      <w:r>
        <w:rPr/>
        <w:t>, 1988; Odeku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Itiola, 2003). The</w:t>
      </w:r>
      <w:r>
        <w:rPr>
          <w:spacing w:val="1"/>
        </w:rPr>
        <w:t> </w:t>
      </w:r>
      <w:r>
        <w:rPr/>
        <w:t>reasonable explanation for the increase in disintegration time as a result of gelatin is due</w:t>
      </w:r>
      <w:r>
        <w:rPr>
          <w:spacing w:val="-57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gel-like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gelatin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immersed in water. This phenomenon is likely to retard the uptake of water by the tablet</w:t>
      </w:r>
      <w:r>
        <w:rPr>
          <w:spacing w:val="-57"/>
        </w:rPr>
        <w:t> </w:t>
      </w:r>
      <w:r>
        <w:rPr/>
        <w:t>thereby increasing disintegration time. Table 4.3 also reveals that the interaction of</w:t>
      </w:r>
      <w:r>
        <w:rPr>
          <w:spacing w:val="1"/>
        </w:rPr>
        <w:t> </w:t>
      </w:r>
      <w:r>
        <w:rPr/>
        <w:t>cassava starch and gelatin (AB) demonstrated the most significant positive effect on</w:t>
      </w:r>
      <w:r>
        <w:rPr>
          <w:spacing w:val="1"/>
        </w:rPr>
        <w:t> </w:t>
      </w:r>
      <w:r>
        <w:rPr/>
        <w:t>tensile strength compared to the other interactions in that order: AB&gt;BC&gt;AC. The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colloidal</w:t>
      </w:r>
      <w:r>
        <w:rPr>
          <w:spacing w:val="1"/>
        </w:rPr>
        <w:t> </w:t>
      </w:r>
      <w:r>
        <w:rPr/>
        <w:t>silicon</w:t>
      </w:r>
      <w:r>
        <w:rPr>
          <w:spacing w:val="1"/>
        </w:rPr>
        <w:t> </w:t>
      </w:r>
      <w:r>
        <w:rPr/>
        <w:t>dioxide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negative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invariably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 starch and colloidal silicon dioxide will lower the tensile strength. Conversely,</w:t>
      </w:r>
      <w:r>
        <w:rPr>
          <w:spacing w:val="1"/>
        </w:rPr>
        <w:t> </w:t>
      </w:r>
      <w:r>
        <w:rPr/>
        <w:t>the two way interaction of cassava starch and gelatin lowered the disintegration time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colloidal</w:t>
      </w:r>
      <w:r>
        <w:rPr>
          <w:spacing w:val="1"/>
        </w:rPr>
        <w:t> </w:t>
      </w:r>
      <w:r>
        <w:rPr/>
        <w:t>silicon</w:t>
      </w:r>
      <w:r>
        <w:rPr>
          <w:spacing w:val="1"/>
        </w:rPr>
        <w:t> </w:t>
      </w:r>
      <w:r>
        <w:rPr/>
        <w:t>dioxide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-57"/>
        </w:rPr>
        <w:t> </w:t>
      </w:r>
      <w:r>
        <w:rPr/>
        <w:t>significant at </w:t>
      </w:r>
      <w:r>
        <w:rPr>
          <w:i/>
        </w:rPr>
        <w:t>p</w:t>
      </w:r>
      <w:r>
        <w:rPr/>
        <w:t>&lt;0.05 on disintegration time. This means that the interaction of cassava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colloidal</w:t>
      </w:r>
      <w:r>
        <w:rPr>
          <w:spacing w:val="1"/>
        </w:rPr>
        <w:t> </w:t>
      </w:r>
      <w:r>
        <w:rPr/>
        <w:t>silicon</w:t>
      </w:r>
      <w:r>
        <w:rPr>
          <w:spacing w:val="1"/>
        </w:rPr>
        <w:t> </w:t>
      </w:r>
      <w:r>
        <w:rPr/>
        <w:t>dioxide 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influence the disintegration</w:t>
      </w:r>
      <w:r>
        <w:rPr>
          <w:spacing w:val="1"/>
        </w:rPr>
        <w:t> </w:t>
      </w:r>
      <w:r>
        <w:rPr/>
        <w:t>time either</w:t>
      </w:r>
      <w:r>
        <w:rPr>
          <w:spacing w:val="1"/>
        </w:rPr>
        <w:t> </w:t>
      </w:r>
      <w:r>
        <w:rPr/>
        <w:t>positively</w:t>
      </w:r>
      <w:r>
        <w:rPr>
          <w:spacing w:val="-8"/>
        </w:rPr>
        <w:t> </w:t>
      </w:r>
      <w:r>
        <w:rPr/>
        <w:t>or</w:t>
      </w:r>
      <w:r>
        <w:rPr>
          <w:spacing w:val="-1"/>
        </w:rPr>
        <w:t> </w:t>
      </w:r>
      <w:r>
        <w:rPr/>
        <w:t>negatively.</w:t>
      </w:r>
    </w:p>
    <w:p>
      <w:pPr>
        <w:pStyle w:val="BodyText"/>
        <w:spacing w:line="480" w:lineRule="auto" w:before="122"/>
        <w:ind w:left="465" w:right="1253"/>
        <w:jc w:val="both"/>
      </w:pPr>
      <w:r>
        <w:rPr/>
        <w:t>The regression model was used to generate contour plots for both responses to analyse</w:t>
      </w:r>
      <w:r>
        <w:rPr>
          <w:spacing w:val="1"/>
        </w:rPr>
        <w:t> </w:t>
      </w:r>
      <w:r>
        <w:rPr/>
        <w:t>the effect of each component on response. In a contour plot, the response surface is</w:t>
      </w:r>
      <w:r>
        <w:rPr>
          <w:spacing w:val="1"/>
        </w:rPr>
        <w:t> </w:t>
      </w:r>
      <w:r>
        <w:rPr/>
        <w:t>viewed</w:t>
      </w:r>
      <w:r>
        <w:rPr>
          <w:spacing w:val="17"/>
        </w:rPr>
        <w:t> </w:t>
      </w:r>
      <w:r>
        <w:rPr/>
        <w:t>as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two</w:t>
      </w:r>
      <w:r>
        <w:rPr>
          <w:spacing w:val="20"/>
        </w:rPr>
        <w:t> </w:t>
      </w:r>
      <w:r>
        <w:rPr/>
        <w:t>–</w:t>
      </w:r>
      <w:r>
        <w:rPr>
          <w:spacing w:val="19"/>
        </w:rPr>
        <w:t> </w:t>
      </w:r>
      <w:r>
        <w:rPr/>
        <w:t>dimensional</w:t>
      </w:r>
      <w:r>
        <w:rPr>
          <w:spacing w:val="18"/>
        </w:rPr>
        <w:t> </w:t>
      </w:r>
      <w:r>
        <w:rPr/>
        <w:t>plane</w:t>
      </w:r>
      <w:r>
        <w:rPr>
          <w:spacing w:val="17"/>
        </w:rPr>
        <w:t> </w:t>
      </w:r>
      <w:r>
        <w:rPr/>
        <w:t>where</w:t>
      </w:r>
      <w:r>
        <w:rPr>
          <w:spacing w:val="18"/>
        </w:rPr>
        <w:t> </w:t>
      </w:r>
      <w:r>
        <w:rPr/>
        <w:t>all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points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have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same</w:t>
      </w:r>
      <w:r>
        <w:rPr>
          <w:spacing w:val="17"/>
        </w:rPr>
        <w:t> </w:t>
      </w:r>
      <w:r>
        <w:rPr/>
        <w:t>response</w:t>
      </w:r>
      <w:r>
        <w:rPr>
          <w:spacing w:val="-57"/>
        </w:rPr>
        <w:t> </w:t>
      </w:r>
      <w:r>
        <w:rPr/>
        <w:t>are connected to produce contour lines of constant responses (Raghavarao </w:t>
      </w:r>
      <w:r>
        <w:rPr>
          <w:i/>
        </w:rPr>
        <w:t>et al</w:t>
      </w:r>
      <w:r>
        <w:rPr/>
        <w:t>., 2010).</w:t>
      </w:r>
      <w:r>
        <w:rPr>
          <w:spacing w:val="1"/>
        </w:rPr>
        <w:t> </w:t>
      </w:r>
      <w:r>
        <w:rPr/>
        <w:t>Contour plots have been used for establishing desirable response values and mixture</w:t>
      </w:r>
      <w:r>
        <w:rPr>
          <w:spacing w:val="1"/>
        </w:rPr>
        <w:t> </w:t>
      </w:r>
      <w:r>
        <w:rPr/>
        <w:t>blends (Anderson and Whitcomb, 2002; Raghavarao </w:t>
      </w:r>
      <w:r>
        <w:rPr>
          <w:i/>
        </w:rPr>
        <w:t>et al.</w:t>
      </w:r>
      <w:r>
        <w:rPr/>
        <w:t>, 2010). The contour plots for</w:t>
      </w:r>
      <w:r>
        <w:rPr>
          <w:spacing w:val="1"/>
        </w:rPr>
        <w:t> </w:t>
      </w:r>
      <w:r>
        <w:rPr/>
        <w:t>tensile strength and disintegration time displayed as Fig. 4.1 and 4.3 respectively reveals</w:t>
      </w:r>
      <w:r>
        <w:rPr>
          <w:spacing w:val="-57"/>
        </w:rPr>
        <w:t> </w:t>
      </w:r>
      <w:r>
        <w:rPr/>
        <w:t>that both responses increases in magnitude as the concentration of gelatin in the mixture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increasing.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confirmation</w:t>
      </w:r>
      <w:r>
        <w:rPr>
          <w:spacing w:val="-1"/>
        </w:rPr>
        <w:t> </w:t>
      </w:r>
      <w:r>
        <w:rPr/>
        <w:t>of what</w:t>
      </w:r>
      <w:r>
        <w:rPr>
          <w:spacing w:val="-1"/>
        </w:rPr>
        <w:t> </w:t>
      </w:r>
      <w:r>
        <w:rPr/>
        <w:t>was observed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predicted</w:t>
      </w:r>
      <w:r>
        <w:rPr>
          <w:spacing w:val="4"/>
        </w:rPr>
        <w:t> </w:t>
      </w:r>
      <w:r>
        <w:rPr/>
        <w:t>mathematical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8"/>
        <w:jc w:val="both"/>
      </w:pPr>
      <w:r>
        <w:rPr/>
        <w:t>model for both responses where gelatin played a dominant role in enhancing the tensile</w:t>
      </w:r>
      <w:r>
        <w:rPr>
          <w:spacing w:val="1"/>
        </w:rPr>
        <w:t> </w:t>
      </w:r>
      <w:r>
        <w:rPr/>
        <w:t>strength and disintegration. As the coloured regions of the plot progress from blue to</w:t>
      </w:r>
      <w:r>
        <w:rPr>
          <w:spacing w:val="1"/>
        </w:rPr>
        <w:t> </w:t>
      </w:r>
      <w:r>
        <w:rPr/>
        <w:t>orange,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disintegration which is consistent with rising concentrations of gelatin. The plots also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values</w:t>
      </w:r>
      <w:r>
        <w:rPr>
          <w:spacing w:val="1"/>
        </w:rPr>
        <w:t> </w:t>
      </w:r>
      <w:r>
        <w:rPr/>
        <w:t>of tensile strength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time diminishes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 of cassava starch in the mixture increases confirming the negative effect of</w:t>
      </w:r>
      <w:r>
        <w:rPr>
          <w:spacing w:val="1"/>
        </w:rPr>
        <w:t> </w:t>
      </w:r>
      <w:r>
        <w:rPr/>
        <w:t>cassava starch on tensile strength and a corresponding positive effect on disintegration</w:t>
      </w:r>
      <w:r>
        <w:rPr>
          <w:spacing w:val="1"/>
        </w:rPr>
        <w:t> </w:t>
      </w:r>
      <w:r>
        <w:rPr/>
        <w:t>time. However, the trend observed with colloidal silicon dioxide was such that the</w:t>
      </w:r>
      <w:r>
        <w:rPr>
          <w:spacing w:val="1"/>
        </w:rPr>
        <w:t> </w:t>
      </w:r>
      <w:r>
        <w:rPr/>
        <w:t>tensile</w:t>
      </w:r>
      <w:r>
        <w:rPr>
          <w:spacing w:val="-2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increased</w:t>
      </w:r>
      <w:r>
        <w:rPr>
          <w:spacing w:val="2"/>
        </w:rPr>
        <w:t> </w:t>
      </w:r>
      <w:r>
        <w:rPr/>
        <w:t>at</w:t>
      </w:r>
      <w:r>
        <w:rPr>
          <w:spacing w:val="-1"/>
        </w:rPr>
        <w:t> </w:t>
      </w:r>
      <w:r>
        <w:rPr/>
        <w:t>both extremes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range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mixture.</w:t>
      </w:r>
    </w:p>
    <w:p>
      <w:pPr>
        <w:pStyle w:val="BodyText"/>
        <w:spacing w:line="480" w:lineRule="auto" w:before="121"/>
        <w:ind w:left="465" w:right="1255"/>
        <w:jc w:val="both"/>
      </w:pPr>
      <w:r>
        <w:rPr/>
        <w:t>The</w:t>
      </w:r>
      <w:r>
        <w:rPr>
          <w:spacing w:val="25"/>
        </w:rPr>
        <w:t> </w:t>
      </w:r>
      <w:r>
        <w:rPr/>
        <w:t>optimized</w:t>
      </w:r>
      <w:r>
        <w:rPr>
          <w:spacing w:val="27"/>
        </w:rPr>
        <w:t> </w:t>
      </w:r>
      <w:r>
        <w:rPr/>
        <w:t>contour</w:t>
      </w:r>
      <w:r>
        <w:rPr>
          <w:spacing w:val="26"/>
        </w:rPr>
        <w:t> </w:t>
      </w:r>
      <w:r>
        <w:rPr/>
        <w:t>response</w:t>
      </w:r>
      <w:r>
        <w:rPr>
          <w:spacing w:val="27"/>
        </w:rPr>
        <w:t> </w:t>
      </w:r>
      <w:r>
        <w:rPr/>
        <w:t>plot</w:t>
      </w:r>
      <w:r>
        <w:rPr>
          <w:spacing w:val="27"/>
        </w:rPr>
        <w:t> </w:t>
      </w:r>
      <w:r>
        <w:rPr/>
        <w:t>(overlay</w:t>
      </w:r>
      <w:r>
        <w:rPr>
          <w:spacing w:val="20"/>
        </w:rPr>
        <w:t> </w:t>
      </w:r>
      <w:r>
        <w:rPr/>
        <w:t>plot)</w:t>
      </w:r>
      <w:r>
        <w:rPr>
          <w:spacing w:val="27"/>
        </w:rPr>
        <w:t> </w:t>
      </w:r>
      <w:r>
        <w:rPr/>
        <w:t>displayed</w:t>
      </w:r>
      <w:r>
        <w:rPr>
          <w:spacing w:val="26"/>
        </w:rPr>
        <w:t> </w:t>
      </w:r>
      <w:r>
        <w:rPr/>
        <w:t>as</w:t>
      </w:r>
      <w:r>
        <w:rPr>
          <w:spacing w:val="27"/>
        </w:rPr>
        <w:t> </w:t>
      </w:r>
      <w:r>
        <w:rPr/>
        <w:t>Figure</w:t>
      </w:r>
      <w:r>
        <w:rPr>
          <w:spacing w:val="25"/>
        </w:rPr>
        <w:t> </w:t>
      </w:r>
      <w:r>
        <w:rPr/>
        <w:t>4.5</w:t>
      </w:r>
      <w:r>
        <w:rPr>
          <w:spacing w:val="27"/>
        </w:rPr>
        <w:t> </w:t>
      </w:r>
      <w:r>
        <w:rPr/>
        <w:t>highlights</w:t>
      </w:r>
      <w:r>
        <w:rPr>
          <w:spacing w:val="-58"/>
        </w:rPr>
        <w:t> </w:t>
      </w:r>
      <w:r>
        <w:rPr/>
        <w:t>the region with factor combinations where a desired range of the response occurred. In</w:t>
      </w:r>
      <w:r>
        <w:rPr>
          <w:spacing w:val="1"/>
        </w:rPr>
        <w:t> </w:t>
      </w:r>
      <w:r>
        <w:rPr/>
        <w:t>this case, it was used to identify the factor settings that maximize response. The yellow-</w:t>
      </w:r>
      <w:r>
        <w:rPr>
          <w:spacing w:val="1"/>
        </w:rPr>
        <w:t> </w:t>
      </w:r>
      <w:r>
        <w:rPr/>
        <w:t>coloured regions in the plot represent an area of the design space that meets the criteria</w:t>
      </w:r>
      <w:r>
        <w:rPr>
          <w:spacing w:val="1"/>
        </w:rPr>
        <w:t> </w:t>
      </w:r>
      <w:r>
        <w:rPr/>
        <w:t>set during optimization. The greyed areas on the overlay plot have not met the selection</w:t>
      </w:r>
      <w:r>
        <w:rPr>
          <w:spacing w:val="1"/>
        </w:rPr>
        <w:t> </w:t>
      </w:r>
      <w:r>
        <w:rPr/>
        <w:t>criteria and therefore they fall outside the range of the design space. On the basis of the</w:t>
      </w:r>
      <w:r>
        <w:rPr>
          <w:spacing w:val="1"/>
        </w:rPr>
        <w:t> </w:t>
      </w:r>
      <w:r>
        <w:rPr/>
        <w:t>selection criteria set for factors and responses during optimization, seven (7) possible</w:t>
      </w:r>
      <w:r>
        <w:rPr>
          <w:spacing w:val="1"/>
        </w:rPr>
        <w:t> </w:t>
      </w:r>
      <w:r>
        <w:rPr/>
        <w:t>outcomes were obtained (Table 4.4). These outcomes were ranked on the basis of the</w:t>
      </w:r>
      <w:r>
        <w:rPr>
          <w:spacing w:val="1"/>
        </w:rPr>
        <w:t> </w:t>
      </w:r>
      <w:r>
        <w:rPr/>
        <w:t>desirability value assigned to each outcome. As the value tends to 1, the more desirable</w:t>
      </w:r>
      <w:r>
        <w:rPr>
          <w:spacing w:val="1"/>
        </w:rPr>
        <w:t> </w:t>
      </w:r>
      <w:r>
        <w:rPr/>
        <w:t>is that combination in fulfilling the criteria set for maximizing response. The first three</w:t>
      </w:r>
      <w:r>
        <w:rPr>
          <w:spacing w:val="1"/>
        </w:rPr>
        <w:t> </w:t>
      </w:r>
      <w:r>
        <w:rPr/>
        <w:t>outcomes as presented in Table 4.4 were chosen and validated to confirm the prediction</w:t>
      </w:r>
      <w:r>
        <w:rPr>
          <w:spacing w:val="1"/>
        </w:rPr>
        <w:t> </w:t>
      </w:r>
      <w:r>
        <w:rPr/>
        <w:t>of the model. Based on the validation results (Table 4.5), the first possible outcome</w:t>
      </w:r>
      <w:r>
        <w:rPr>
          <w:spacing w:val="1"/>
        </w:rPr>
        <w:t> </w:t>
      </w:r>
      <w:r>
        <w:rPr/>
        <w:t>having cassava starch (90 %), gelatin (7.5 %) and colloidal silicon dioxide (2.5 %)</w:t>
      </w:r>
      <w:r>
        <w:rPr>
          <w:spacing w:val="1"/>
        </w:rPr>
        <w:t> </w:t>
      </w:r>
      <w:r>
        <w:rPr/>
        <w:t>(SGS-A)</w:t>
      </w:r>
      <w:r>
        <w:rPr>
          <w:spacing w:val="-3"/>
        </w:rPr>
        <w:t> </w:t>
      </w:r>
      <w:r>
        <w:rPr/>
        <w:t>was</w:t>
      </w:r>
      <w:r>
        <w:rPr>
          <w:spacing w:val="2"/>
        </w:rPr>
        <w:t> </w:t>
      </w:r>
      <w:r>
        <w:rPr/>
        <w:t>chosen</w:t>
      </w:r>
      <w:r>
        <w:rPr>
          <w:spacing w:val="-1"/>
        </w:rPr>
        <w:t> </w:t>
      </w:r>
      <w:r>
        <w:rPr/>
        <w:t>as the</w:t>
      </w:r>
      <w:r>
        <w:rPr>
          <w:spacing w:val="-2"/>
        </w:rPr>
        <w:t> </w:t>
      </w:r>
      <w:r>
        <w:rPr/>
        <w:t>optimized composition of the</w:t>
      </w:r>
      <w:r>
        <w:rPr>
          <w:spacing w:val="-3"/>
        </w:rPr>
        <w:t> </w:t>
      </w:r>
      <w:r>
        <w:rPr/>
        <w:t>co-processed excipient.</w:t>
      </w:r>
    </w:p>
    <w:p>
      <w:pPr>
        <w:pStyle w:val="BodyText"/>
        <w:spacing w:line="480" w:lineRule="auto" w:before="119"/>
        <w:ind w:left="465" w:right="1254"/>
        <w:jc w:val="both"/>
      </w:pPr>
      <w:r>
        <w:rPr/>
        <w:t>As a follow-up to its emergence as the choice blend, the flow properties of SGS-A was</w:t>
      </w:r>
      <w:r>
        <w:rPr>
          <w:spacing w:val="1"/>
        </w:rPr>
        <w:t> </w:t>
      </w:r>
      <w:r>
        <w:rPr/>
        <w:t>investigated</w:t>
      </w:r>
      <w:r>
        <w:rPr>
          <w:spacing w:val="-4"/>
        </w:rPr>
        <w:t> </w:t>
      </w:r>
      <w:r>
        <w:rPr/>
        <w:t>by</w:t>
      </w:r>
      <w:r>
        <w:rPr>
          <w:spacing w:val="-7"/>
        </w:rPr>
        <w:t> </w:t>
      </w:r>
      <w:r>
        <w:rPr/>
        <w:t>measuring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angle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repose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determining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Carr‟s</w:t>
      </w:r>
      <w:r>
        <w:rPr>
          <w:spacing w:val="-4"/>
        </w:rPr>
        <w:t> </w:t>
      </w:r>
      <w:r>
        <w:rPr/>
        <w:t>index</w:t>
      </w:r>
      <w:r>
        <w:rPr>
          <w:spacing w:val="-1"/>
        </w:rPr>
        <w:t> </w:t>
      </w:r>
      <w:r>
        <w:rPr/>
        <w:t>(CI)</w:t>
      </w:r>
      <w:r>
        <w:rPr>
          <w:spacing w:val="-2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2"/>
        <w:jc w:val="both"/>
      </w:pPr>
      <w:r>
        <w:rPr/>
        <w:t>Hausner‟s ratio (HR) from the bulk and tapped densities‟ indices. The results</w:t>
      </w:r>
      <w:r>
        <w:rPr>
          <w:spacing w:val="60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 Table 4.6 revealed that SGS-A had superior flow characteristics in terms of CI and</w:t>
      </w:r>
      <w:r>
        <w:rPr>
          <w:spacing w:val="1"/>
        </w:rPr>
        <w:t> </w:t>
      </w:r>
      <w:r>
        <w:rPr/>
        <w:t>HR.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dilution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possible</w:t>
      </w:r>
      <w:r>
        <w:rPr>
          <w:spacing w:val="60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revealed that SGS-A</w:t>
      </w:r>
      <w:r>
        <w:rPr>
          <w:spacing w:val="1"/>
        </w:rPr>
        <w:t> </w:t>
      </w:r>
      <w:r>
        <w:rPr/>
        <w:t>had a better dilution</w:t>
      </w:r>
      <w:r>
        <w:rPr>
          <w:spacing w:val="60"/>
        </w:rPr>
        <w:t> </w:t>
      </w:r>
      <w:r>
        <w:rPr/>
        <w:t>capacity compared to SGS-B and SGS-C.</w:t>
      </w:r>
      <w:r>
        <w:rPr>
          <w:spacing w:val="1"/>
        </w:rPr>
        <w:t> </w:t>
      </w:r>
      <w:r>
        <w:rPr/>
        <w:t>This may be attributed to the content of gelatin in this mixture which was relatively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mixtures.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earlier,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concentration of gelatin may have contributed to improved bonding capacity in the</w:t>
      </w:r>
      <w:r>
        <w:rPr>
          <w:spacing w:val="1"/>
        </w:rPr>
        <w:t> </w:t>
      </w:r>
      <w:r>
        <w:rPr/>
        <w:t>presence of a poorly compressible drug. Similarly, the results of the dynamic vapour</w:t>
      </w:r>
      <w:r>
        <w:rPr>
          <w:spacing w:val="1"/>
        </w:rPr>
        <w:t> </w:t>
      </w:r>
      <w:r>
        <w:rPr/>
        <w:t>sorption test that was carried out to determine</w:t>
      </w:r>
      <w:r>
        <w:rPr>
          <w:spacing w:val="60"/>
        </w:rPr>
        <w:t> </w:t>
      </w:r>
      <w:r>
        <w:rPr/>
        <w:t>the degree of hygroscopicity of each</w:t>
      </w:r>
      <w:r>
        <w:rPr>
          <w:spacing w:val="1"/>
        </w:rPr>
        <w:t> </w:t>
      </w:r>
      <w:r>
        <w:rPr/>
        <w:t>blend revealed that SGS-A had the least moisture sorption capacity compared to others.</w:t>
      </w:r>
      <w:r>
        <w:rPr>
          <w:spacing w:val="1"/>
        </w:rPr>
        <w:t> </w:t>
      </w:r>
      <w:r>
        <w:rPr/>
        <w:t>In this instance, the content of cassava starch may have been responsible for the degree</w:t>
      </w:r>
      <w:r>
        <w:rPr>
          <w:spacing w:val="1"/>
        </w:rPr>
        <w:t> </w:t>
      </w:r>
      <w:r>
        <w:rPr/>
        <w:t>of</w:t>
      </w:r>
      <w:r>
        <w:rPr>
          <w:spacing w:val="28"/>
        </w:rPr>
        <w:t> </w:t>
      </w:r>
      <w:r>
        <w:rPr/>
        <w:t>moisture</w:t>
      </w:r>
      <w:r>
        <w:rPr>
          <w:spacing w:val="29"/>
        </w:rPr>
        <w:t> </w:t>
      </w:r>
      <w:r>
        <w:rPr/>
        <w:t>absorbed</w:t>
      </w:r>
      <w:r>
        <w:rPr>
          <w:spacing w:val="28"/>
        </w:rPr>
        <w:t> </w:t>
      </w:r>
      <w:r>
        <w:rPr/>
        <w:t>by</w:t>
      </w:r>
      <w:r>
        <w:rPr>
          <w:spacing w:val="27"/>
        </w:rPr>
        <w:t> </w:t>
      </w:r>
      <w:r>
        <w:rPr/>
        <w:t>each</w:t>
      </w:r>
      <w:r>
        <w:rPr>
          <w:spacing w:val="29"/>
        </w:rPr>
        <w:t> </w:t>
      </w:r>
      <w:r>
        <w:rPr/>
        <w:t>combination.</w:t>
      </w:r>
      <w:r>
        <w:rPr>
          <w:spacing w:val="28"/>
        </w:rPr>
        <w:t> </w:t>
      </w:r>
      <w:r>
        <w:rPr/>
        <w:t>Starch</w:t>
      </w:r>
      <w:r>
        <w:rPr>
          <w:spacing w:val="29"/>
        </w:rPr>
        <w:t> </w:t>
      </w:r>
      <w:r>
        <w:rPr/>
        <w:t>is</w:t>
      </w:r>
      <w:r>
        <w:rPr>
          <w:spacing w:val="29"/>
        </w:rPr>
        <w:t> </w:t>
      </w:r>
      <w:r>
        <w:rPr/>
        <w:t>hygroscopic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nature</w:t>
      </w:r>
      <w:r>
        <w:rPr>
          <w:spacing w:val="34"/>
        </w:rPr>
        <w:t> </w:t>
      </w:r>
      <w:r>
        <w:rPr/>
        <w:t>(Assen</w:t>
      </w:r>
      <w:r>
        <w:rPr>
          <w:spacing w:val="30"/>
        </w:rPr>
        <w:t> </w:t>
      </w:r>
      <w:r>
        <w:rPr>
          <w:i/>
        </w:rPr>
        <w:t>et</w:t>
      </w:r>
      <w:r>
        <w:rPr>
          <w:i/>
          <w:spacing w:val="-58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2011)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absorbs</w:t>
      </w:r>
      <w:r>
        <w:rPr>
          <w:spacing w:val="1"/>
        </w:rPr>
        <w:t> </w:t>
      </w:r>
      <w:r>
        <w:rPr/>
        <w:t>water when</w:t>
      </w:r>
      <w:r>
        <w:rPr>
          <w:spacing w:val="1"/>
        </w:rPr>
        <w:t> </w:t>
      </w:r>
      <w:r>
        <w:rPr/>
        <w:t>equilibrated</w:t>
      </w:r>
      <w:r>
        <w:rPr>
          <w:spacing w:val="1"/>
        </w:rPr>
        <w:t> </w:t>
      </w:r>
      <w:r>
        <w:rPr/>
        <w:t>under normal</w:t>
      </w:r>
      <w:r>
        <w:rPr>
          <w:spacing w:val="60"/>
        </w:rPr>
        <w:t> </w:t>
      </w:r>
      <w:r>
        <w:rPr/>
        <w:t>atmospheric condition</w:t>
      </w:r>
      <w:r>
        <w:rPr>
          <w:spacing w:val="-57"/>
        </w:rPr>
        <w:t> </w:t>
      </w:r>
      <w:r>
        <w:rPr/>
        <w:t>until the amount present is 10–17 % (Murikipudi </w:t>
      </w:r>
      <w:r>
        <w:rPr>
          <w:i/>
        </w:rPr>
        <w:t>et al.</w:t>
      </w:r>
      <w:r>
        <w:rPr/>
        <w:t>, 2011; Emeje and Rodrigues,</w:t>
      </w:r>
      <w:r>
        <w:rPr>
          <w:spacing w:val="1"/>
        </w:rPr>
        <w:t> </w:t>
      </w:r>
      <w:r>
        <w:rPr/>
        <w:t>2012;</w:t>
      </w:r>
      <w:r>
        <w:rPr>
          <w:spacing w:val="1"/>
        </w:rPr>
        <w:t> </w:t>
      </w:r>
      <w:r>
        <w:rPr/>
        <w:t>Odeku,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SGS-A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SGS-B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SGS-C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reflected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hygroscopicity.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numPr>
          <w:ilvl w:val="1"/>
          <w:numId w:val="23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bookmarkStart w:name="_TOC_250020" w:id="86"/>
      <w:r>
        <w:rPr/>
        <w:t>Solid</w:t>
      </w:r>
      <w:r>
        <w:rPr>
          <w:spacing w:val="-2"/>
        </w:rPr>
        <w:t> </w:t>
      </w:r>
      <w:r>
        <w:rPr/>
        <w:t>state</w:t>
      </w:r>
      <w:r>
        <w:rPr>
          <w:spacing w:val="-3"/>
        </w:rPr>
        <w:t> </w:t>
      </w:r>
      <w:bookmarkEnd w:id="86"/>
      <w:r>
        <w:rPr/>
        <w:t>characterization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5" w:right="1255"/>
        <w:jc w:val="both"/>
      </w:pP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materials. It gives an insight into how the material will perform during formulation</w:t>
      </w:r>
      <w:r>
        <w:rPr>
          <w:spacing w:val="1"/>
        </w:rPr>
        <w:t> </w:t>
      </w:r>
      <w:r>
        <w:rPr/>
        <w:t>because there is a correlation between the solid state properties of a material and its</w:t>
      </w:r>
      <w:r>
        <w:rPr>
          <w:spacing w:val="1"/>
        </w:rPr>
        <w:t> </w:t>
      </w:r>
      <w:r>
        <w:rPr/>
        <w:t>functionality during product development</w:t>
      </w:r>
      <w:r>
        <w:rPr>
          <w:spacing w:val="60"/>
        </w:rPr>
        <w:t> </w:t>
      </w:r>
      <w:r>
        <w:rPr/>
        <w:t>(Sainio, 2011). During production process,</w:t>
      </w:r>
      <w:r>
        <w:rPr>
          <w:spacing w:val="1"/>
        </w:rPr>
        <w:t> </w:t>
      </w:r>
      <w:r>
        <w:rPr/>
        <w:t>the excipient‟s properties in the solid state, as well as those of the active principle, are</w:t>
      </w:r>
      <w:r>
        <w:rPr>
          <w:spacing w:val="1"/>
        </w:rPr>
        <w:t> </w:t>
      </w:r>
      <w:r>
        <w:rPr/>
        <w:t>reflected in the various parameters such as compressibility, flowability,</w:t>
      </w:r>
      <w:r>
        <w:rPr>
          <w:spacing w:val="1"/>
        </w:rPr>
        <w:t> </w:t>
      </w:r>
      <w:r>
        <w:rPr/>
        <w:t>uniformity,</w:t>
      </w:r>
      <w:r>
        <w:rPr>
          <w:spacing w:val="1"/>
        </w:rPr>
        <w:t> </w:t>
      </w:r>
      <w:r>
        <w:rPr/>
        <w:t>lubrication, mixing and weight of the pharmaceutical dosage form (Camargo, 2011).</w:t>
      </w:r>
      <w:r>
        <w:rPr>
          <w:spacing w:val="1"/>
        </w:rPr>
        <w:t> </w:t>
      </w:r>
      <w:r>
        <w:rPr/>
        <w:t>Hence,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characterization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solid</w:t>
      </w:r>
      <w:r>
        <w:rPr>
          <w:spacing w:val="57"/>
        </w:rPr>
        <w:t> </w:t>
      </w:r>
      <w:r>
        <w:rPr/>
        <w:t>state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surface</w:t>
      </w:r>
      <w:r>
        <w:rPr>
          <w:spacing w:val="57"/>
        </w:rPr>
        <w:t> </w:t>
      </w:r>
      <w:r>
        <w:rPr/>
        <w:t>parametersistherefore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7"/>
        <w:jc w:val="both"/>
      </w:pPr>
      <w:r>
        <w:rPr/>
        <w:t>fundamental to assess and guaranteethe behaviour of the excipient in the formulation</w:t>
      </w:r>
      <w:r>
        <w:rPr>
          <w:spacing w:val="1"/>
        </w:rPr>
        <w:t> </w:t>
      </w:r>
      <w:r>
        <w:rPr/>
        <w:t>andproduction</w:t>
      </w:r>
      <w:r>
        <w:rPr>
          <w:spacing w:val="-1"/>
        </w:rPr>
        <w:t> </w:t>
      </w:r>
      <w:r>
        <w:rPr/>
        <w:t>phases.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2"/>
          <w:numId w:val="23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5" w:right="0" w:hanging="721"/>
        <w:jc w:val="left"/>
      </w:pPr>
      <w:bookmarkStart w:name="_TOC_250019" w:id="87"/>
      <w:r>
        <w:rPr/>
        <w:t>Optical</w:t>
      </w:r>
      <w:r>
        <w:rPr>
          <w:spacing w:val="-2"/>
        </w:rPr>
        <w:t> </w:t>
      </w:r>
      <w:bookmarkEnd w:id="87"/>
      <w:r>
        <w:rPr/>
        <w:t>microscopy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1"/>
        <w:jc w:val="both"/>
      </w:pPr>
      <w:r>
        <w:rPr/>
        <w:t>Optical microscopy was used to measure particle size, particle size distribution and the</w:t>
      </w:r>
      <w:r>
        <w:rPr>
          <w:spacing w:val="1"/>
        </w:rPr>
        <w:t> </w:t>
      </w:r>
      <w:r>
        <w:rPr/>
        <w:t>degree of birefringence occurring in SGS after processing. Optical images of SGS and</w:t>
      </w:r>
      <w:r>
        <w:rPr>
          <w:spacing w:val="1"/>
        </w:rPr>
        <w:t> </w:t>
      </w:r>
      <w:r>
        <w:rPr/>
        <w:t>CS revealed spherical shaped particles which were further confirmed by SEM. When</w:t>
      </w:r>
      <w:r>
        <w:rPr>
          <w:spacing w:val="1"/>
        </w:rPr>
        <w:t> </w:t>
      </w:r>
      <w:r>
        <w:rPr/>
        <w:t>viewed under polarized light, CS and SGS granules showed a dark birefringence cross</w:t>
      </w:r>
      <w:r>
        <w:rPr>
          <w:spacing w:val="1"/>
        </w:rPr>
        <w:t> </w:t>
      </w:r>
      <w:r>
        <w:rPr/>
        <w:t>(„Maltese cross‟) which is characteristic of crystalline substances. This indicates that</w:t>
      </w:r>
      <w:r>
        <w:rPr>
          <w:spacing w:val="1"/>
        </w:rPr>
        <w:t> </w:t>
      </w:r>
      <w:r>
        <w:rPr/>
        <w:t>gelatinization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co-processing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excipient.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gelatinization, the amorphous growth rings of starch take in water by capillary action</w:t>
      </w:r>
      <w:r>
        <w:rPr>
          <w:spacing w:val="1"/>
        </w:rPr>
        <w:t> </w:t>
      </w:r>
      <w:r>
        <w:rPr/>
        <w:t>leading to a rapid expansion in size. This disrupts the coupled semi-crystalline lamellae</w:t>
      </w:r>
      <w:r>
        <w:rPr>
          <w:spacing w:val="1"/>
        </w:rPr>
        <w:t> </w:t>
      </w:r>
      <w:r>
        <w:rPr/>
        <w:t>that is cross-linked through the amorphous backbone thereby reducing the granule‟s</w:t>
      </w:r>
      <w:r>
        <w:rPr>
          <w:spacing w:val="1"/>
        </w:rPr>
        <w:t> </w:t>
      </w:r>
      <w:r>
        <w:rPr/>
        <w:t>crystallinity and causing it to lose its birefringence (Waigh </w:t>
      </w:r>
      <w:r>
        <w:rPr>
          <w:i/>
        </w:rPr>
        <w:t>et al.</w:t>
      </w:r>
      <w:r>
        <w:rPr/>
        <w:t>, 2000). Particle size</w:t>
      </w:r>
      <w:r>
        <w:rPr>
          <w:spacing w:val="1"/>
        </w:rPr>
        <w:t> </w:t>
      </w:r>
      <w:r>
        <w:rPr/>
        <w:t>increased as a result of co-processing as observed in the D</w:t>
      </w:r>
      <w:r>
        <w:rPr>
          <w:vertAlign w:val="subscript"/>
        </w:rPr>
        <w:t>10</w:t>
      </w:r>
      <w:r>
        <w:rPr>
          <w:vertAlign w:val="baseline"/>
        </w:rPr>
        <w:t>, D</w:t>
      </w:r>
      <w:r>
        <w:rPr>
          <w:vertAlign w:val="subscript"/>
        </w:rPr>
        <w:t>50</w:t>
      </w:r>
      <w:r>
        <w:rPr>
          <w:vertAlign w:val="baseline"/>
        </w:rPr>
        <w:t>, and D</w:t>
      </w:r>
      <w:r>
        <w:rPr>
          <w:vertAlign w:val="subscript"/>
        </w:rPr>
        <w:t>90</w:t>
      </w:r>
      <w:r>
        <w:rPr>
          <w:vertAlign w:val="baseline"/>
        </w:rPr>
        <w:t> 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 in Table 4.8. These parameters represent the diameters</w:t>
      </w:r>
      <w:r>
        <w:rPr>
          <w:spacing w:val="60"/>
          <w:vertAlign w:val="baseline"/>
        </w:rPr>
        <w:t> </w:t>
      </w:r>
      <w:r>
        <w:rPr>
          <w:vertAlign w:val="baseline"/>
        </w:rPr>
        <w:t>corresponding to 10,</w:t>
      </w:r>
      <w:r>
        <w:rPr>
          <w:spacing w:val="1"/>
          <w:vertAlign w:val="baseline"/>
        </w:rPr>
        <w:t> </w:t>
      </w:r>
      <w:r>
        <w:rPr>
          <w:vertAlign w:val="baseline"/>
        </w:rPr>
        <w:t>50 and 90 % of cumulative undersize particles respectively. Maximum particle size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 for SGS was 110.9 μ as against 25 μ for CS which translates to a four-fold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 in particle size. The presence of gelatin in the co-processed matrix fused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starch particles together resulting in an increase in the size of the co-processed particle.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 size is critical in determining the flow properties of a material as larger sized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particles</w:t>
      </w:r>
      <w:r>
        <w:rPr>
          <w:spacing w:val="1"/>
          <w:vertAlign w:val="baseline"/>
        </w:rPr>
        <w:t> </w:t>
      </w:r>
      <w:r>
        <w:rPr>
          <w:vertAlign w:val="baseline"/>
        </w:rPr>
        <w:t>tends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flow</w:t>
      </w:r>
      <w:r>
        <w:rPr>
          <w:spacing w:val="1"/>
          <w:vertAlign w:val="baseline"/>
        </w:rPr>
        <w:t> </w:t>
      </w:r>
      <w:r>
        <w:rPr>
          <w:vertAlign w:val="baseline"/>
        </w:rPr>
        <w:t>faster</w:t>
      </w:r>
      <w:r>
        <w:rPr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reduced</w:t>
      </w:r>
      <w:r>
        <w:rPr>
          <w:spacing w:val="1"/>
          <w:vertAlign w:val="baseline"/>
        </w:rPr>
        <w:t> </w:t>
      </w:r>
      <w:r>
        <w:rPr>
          <w:vertAlign w:val="baseline"/>
        </w:rPr>
        <w:t>cohesion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interparticulate friction (Bodhmage, 2006; Zhou and Qiu, 2010; Adeoye and Alebiowu,</w:t>
      </w:r>
      <w:r>
        <w:rPr>
          <w:spacing w:val="1"/>
          <w:vertAlign w:val="baseline"/>
        </w:rPr>
        <w:t> </w:t>
      </w:r>
      <w:r>
        <w:rPr>
          <w:vertAlign w:val="baseline"/>
        </w:rPr>
        <w:t>2014a).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likely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contributed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enhanced</w:t>
      </w:r>
      <w:r>
        <w:rPr>
          <w:spacing w:val="1"/>
          <w:vertAlign w:val="baseline"/>
        </w:rPr>
        <w:t> </w:t>
      </w:r>
      <w:r>
        <w:rPr>
          <w:vertAlign w:val="baseline"/>
        </w:rPr>
        <w:t>flow</w:t>
      </w:r>
      <w:r>
        <w:rPr>
          <w:spacing w:val="60"/>
          <w:vertAlign w:val="baseline"/>
        </w:rPr>
        <w:t> </w:t>
      </w:r>
      <w:r>
        <w:rPr>
          <w:vertAlign w:val="baseline"/>
        </w:rPr>
        <w:t>properties</w:t>
      </w:r>
      <w:r>
        <w:rPr>
          <w:spacing w:val="1"/>
          <w:vertAlign w:val="baseline"/>
        </w:rPr>
        <w:t> </w:t>
      </w:r>
      <w:r>
        <w:rPr>
          <w:vertAlign w:val="baseline"/>
        </w:rPr>
        <w:t>exhibited by</w:t>
      </w:r>
      <w:r>
        <w:rPr>
          <w:spacing w:val="-8"/>
          <w:vertAlign w:val="baseline"/>
        </w:rPr>
        <w:t> </w:t>
      </w:r>
      <w:r>
        <w:rPr>
          <w:vertAlign w:val="baseline"/>
        </w:rPr>
        <w:t>SGS.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numPr>
          <w:ilvl w:val="2"/>
          <w:numId w:val="23"/>
        </w:numPr>
        <w:tabs>
          <w:tab w:pos="1186" w:val="left" w:leader="none"/>
        </w:tabs>
        <w:spacing w:line="240" w:lineRule="auto" w:before="76" w:after="0"/>
        <w:ind w:left="1185" w:right="0" w:hanging="721"/>
        <w:jc w:val="both"/>
      </w:pPr>
      <w:bookmarkStart w:name="_TOC_250018" w:id="88"/>
      <w:r>
        <w:rPr/>
        <w:t>Hot</w:t>
      </w:r>
      <w:r>
        <w:rPr>
          <w:spacing w:val="-2"/>
        </w:rPr>
        <w:t> </w:t>
      </w:r>
      <w:r>
        <w:rPr/>
        <w:t>stage</w:t>
      </w:r>
      <w:r>
        <w:rPr>
          <w:spacing w:val="-1"/>
        </w:rPr>
        <w:t> </w:t>
      </w:r>
      <w:bookmarkEnd w:id="88"/>
      <w:r>
        <w:rPr/>
        <w:t>microscopy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2"/>
        <w:jc w:val="both"/>
      </w:pPr>
      <w:r>
        <w:rPr/>
        <w:t>HSM images of SGS did not reveal any melting event or phase transition occurring</w:t>
      </w:r>
      <w:r>
        <w:rPr>
          <w:spacing w:val="1"/>
        </w:rPr>
        <w:t> </w:t>
      </w:r>
      <w:r>
        <w:rPr/>
        <w:t>during heating at a constant rate from 25 – 300 °C. However, degradation of SGS was</w:t>
      </w:r>
      <w:r>
        <w:rPr>
          <w:spacing w:val="1"/>
        </w:rPr>
        <w:t> </w:t>
      </w:r>
      <w:r>
        <w:rPr/>
        <w:t>observed at temperatures above 250 °C, confirming the thermal stability of SGS. This is</w:t>
      </w:r>
      <w:r>
        <w:rPr>
          <w:spacing w:val="-57"/>
        </w:rPr>
        <w:t> </w:t>
      </w:r>
      <w:r>
        <w:rPr/>
        <w:t>characteristic of materials that are largely amorphous in nature. Starch belongs to the</w:t>
      </w:r>
      <w:r>
        <w:rPr>
          <w:spacing w:val="1"/>
        </w:rPr>
        <w:t> </w:t>
      </w:r>
      <w:r>
        <w:rPr/>
        <w:t>class of materials that possesses a greater degree of amorphous portion although it is</w:t>
      </w:r>
      <w:r>
        <w:rPr>
          <w:spacing w:val="1"/>
        </w:rPr>
        <w:t> </w:t>
      </w:r>
      <w:r>
        <w:rPr/>
        <w:t>semi-crystalline in nature (Waigh </w:t>
      </w:r>
      <w:r>
        <w:rPr>
          <w:i/>
        </w:rPr>
        <w:t>et al.</w:t>
      </w:r>
      <w:r>
        <w:rPr/>
        <w:t>, 2000). They are far from being perfect crystals.</w:t>
      </w:r>
      <w:r>
        <w:rPr>
          <w:spacing w:val="1"/>
        </w:rPr>
        <w:t> </w:t>
      </w:r>
      <w:r>
        <w:rPr/>
        <w:t>At best they consist of crystalline and amorphous regions and the degree of crystallinity</w:t>
      </w:r>
      <w:r>
        <w:rPr>
          <w:spacing w:val="1"/>
        </w:rPr>
        <w:t> </w:t>
      </w:r>
      <w:r>
        <w:rPr/>
        <w:t>is in the range 17–51 % depending on their origin and the methods used by different</w:t>
      </w:r>
      <w:r>
        <w:rPr>
          <w:spacing w:val="1"/>
        </w:rPr>
        <w:t> </w:t>
      </w:r>
      <w:r>
        <w:rPr/>
        <w:t>authors</w:t>
      </w:r>
      <w:r>
        <w:rPr>
          <w:spacing w:val="-1"/>
        </w:rPr>
        <w:t> </w:t>
      </w:r>
      <w:r>
        <w:rPr/>
        <w:t>producing</w:t>
      </w:r>
      <w:r>
        <w:rPr>
          <w:spacing w:val="-2"/>
        </w:rPr>
        <w:t> </w:t>
      </w:r>
      <w:r>
        <w:rPr/>
        <w:t>an</w:t>
      </w:r>
      <w:r>
        <w:rPr>
          <w:spacing w:val="2"/>
        </w:rPr>
        <w:t> </w:t>
      </w:r>
      <w:r>
        <w:rPr/>
        <w:t>average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about 35 % (Tester</w:t>
      </w:r>
      <w:r>
        <w:rPr>
          <w:spacing w:val="-2"/>
        </w:rPr>
        <w:t> </w:t>
      </w:r>
      <w:r>
        <w:rPr>
          <w:i/>
        </w:rPr>
        <w:t>et al.</w:t>
      </w:r>
      <w:r>
        <w:rPr/>
        <w:t>, 2004).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23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bookmarkStart w:name="_TOC_250017" w:id="89"/>
      <w:r>
        <w:rPr/>
        <w:t>Scanning</w:t>
      </w:r>
      <w:r>
        <w:rPr>
          <w:spacing w:val="-3"/>
        </w:rPr>
        <w:t> </w:t>
      </w:r>
      <w:r>
        <w:rPr/>
        <w:t>electron</w:t>
      </w:r>
      <w:r>
        <w:rPr>
          <w:spacing w:val="-2"/>
        </w:rPr>
        <w:t> </w:t>
      </w:r>
      <w:bookmarkEnd w:id="89"/>
      <w:r>
        <w:rPr/>
        <w:t>microscopy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4"/>
        <w:jc w:val="both"/>
      </w:pPr>
      <w:r>
        <w:rPr/>
        <w:t>Scanning electron</w:t>
      </w:r>
      <w:r>
        <w:rPr>
          <w:spacing w:val="1"/>
        </w:rPr>
        <w:t> </w:t>
      </w:r>
      <w:r>
        <w:rPr/>
        <w:t>micrographs</w:t>
      </w:r>
      <w:r>
        <w:rPr>
          <w:spacing w:val="1"/>
        </w:rPr>
        <w:t> </w:t>
      </w:r>
      <w:r>
        <w:rPr/>
        <w:t>(SEM)</w:t>
      </w:r>
      <w:r>
        <w:rPr>
          <w:spacing w:val="1"/>
        </w:rPr>
        <w:t> </w:t>
      </w:r>
      <w:r>
        <w:rPr/>
        <w:t>(Plate</w:t>
      </w:r>
      <w:r>
        <w:rPr>
          <w:spacing w:val="1"/>
        </w:rPr>
        <w:t> </w:t>
      </w:r>
      <w:r>
        <w:rPr/>
        <w:t>IV)</w:t>
      </w:r>
      <w:r>
        <w:rPr>
          <w:spacing w:val="1"/>
        </w:rPr>
        <w:t> </w:t>
      </w:r>
      <w:r>
        <w:rPr/>
        <w:t>depicting surface</w:t>
      </w:r>
      <w:r>
        <w:rPr>
          <w:spacing w:val="1"/>
        </w:rPr>
        <w:t> </w:t>
      </w:r>
      <w:r>
        <w:rPr/>
        <w:t>morphologies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SGS in comparison to SGS-PM, CS, GEL and CSD reveals a mixture of spherical and</w:t>
      </w:r>
      <w:r>
        <w:rPr>
          <w:spacing w:val="1"/>
        </w:rPr>
        <w:t> </w:t>
      </w:r>
      <w:r>
        <w:rPr/>
        <w:t>polygonal</w:t>
      </w:r>
      <w:r>
        <w:rPr>
          <w:spacing w:val="1"/>
        </w:rPr>
        <w:t> </w:t>
      </w:r>
      <w:r>
        <w:rPr/>
        <w:t>shaped</w:t>
      </w:r>
      <w:r>
        <w:rPr>
          <w:spacing w:val="1"/>
        </w:rPr>
        <w:t> </w:t>
      </w:r>
      <w:r>
        <w:rPr/>
        <w:t>particles.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SGS</w:t>
      </w:r>
      <w:r>
        <w:rPr>
          <w:spacing w:val="1"/>
        </w:rPr>
        <w:t> </w:t>
      </w:r>
      <w:r>
        <w:rPr/>
        <w:t>appeared</w:t>
      </w:r>
      <w:r>
        <w:rPr>
          <w:spacing w:val="1"/>
        </w:rPr>
        <w:t> </w:t>
      </w:r>
      <w:r>
        <w:rPr/>
        <w:t>rough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homogeneous distribution of CSD on its surface and possibly within the core of the</w:t>
      </w:r>
      <w:r>
        <w:rPr>
          <w:spacing w:val="1"/>
        </w:rPr>
        <w:t> </w:t>
      </w:r>
      <w:r>
        <w:rPr/>
        <w:t>matrix.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Kittipongpatana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Kittipongpatana (2012). Particle morphology of</w:t>
      </w:r>
      <w:r>
        <w:rPr>
          <w:spacing w:val="1"/>
        </w:rPr>
        <w:t> </w:t>
      </w:r>
      <w:r>
        <w:rPr/>
        <w:t>SGS-PM</w:t>
      </w:r>
      <w:r>
        <w:rPr>
          <w:spacing w:val="1"/>
        </w:rPr>
        <w:t> </w:t>
      </w:r>
      <w:r>
        <w:rPr/>
        <w:t>showed some dispersion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the flaky CSD on the surface of aggregated spherical-shaped CS granules. Most of CSD</w:t>
      </w:r>
      <w:r>
        <w:rPr>
          <w:spacing w:val="-57"/>
        </w:rPr>
        <w:t> </w:t>
      </w:r>
      <w:r>
        <w:rPr/>
        <w:t>particles, however, remained as isolated agglomerates. The SEM image of GEL (Plate</w:t>
      </w:r>
      <w:r>
        <w:rPr>
          <w:spacing w:val="1"/>
        </w:rPr>
        <w:t> </w:t>
      </w:r>
      <w:r>
        <w:rPr/>
        <w:t>IV: D) appeared irregular in shape which may have contributed to the alteration of the</w:t>
      </w:r>
      <w:r>
        <w:rPr>
          <w:spacing w:val="1"/>
        </w:rPr>
        <w:t> </w:t>
      </w:r>
      <w:r>
        <w:rPr/>
        <w:t>spherical shaped particles of CS. These characteristics show that processing of CS with</w:t>
      </w:r>
      <w:r>
        <w:rPr>
          <w:spacing w:val="1"/>
        </w:rPr>
        <w:t> </w:t>
      </w:r>
      <w:r>
        <w:rPr/>
        <w:t>GEL</w:t>
      </w:r>
      <w:r>
        <w:rPr>
          <w:spacing w:val="-3"/>
        </w:rPr>
        <w:t> </w:t>
      </w:r>
      <w:r>
        <w:rPr/>
        <w:t>and CSD had a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effect on particle</w:t>
      </w:r>
      <w:r>
        <w:rPr>
          <w:spacing w:val="-1"/>
        </w:rPr>
        <w:t> </w:t>
      </w:r>
      <w:r>
        <w:rPr/>
        <w:t>morphology</w:t>
      </w:r>
      <w:r>
        <w:rPr>
          <w:spacing w:val="-2"/>
        </w:rPr>
        <w:t> </w:t>
      </w:r>
      <w:r>
        <w:rPr/>
        <w:t>and surface</w:t>
      </w:r>
      <w:r>
        <w:rPr>
          <w:spacing w:val="-1"/>
        </w:rPr>
        <w:t> </w:t>
      </w:r>
      <w:r>
        <w:rPr/>
        <w:t>properties.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numPr>
          <w:ilvl w:val="2"/>
          <w:numId w:val="23"/>
        </w:numPr>
        <w:tabs>
          <w:tab w:pos="1186" w:val="left" w:leader="none"/>
        </w:tabs>
        <w:spacing w:line="240" w:lineRule="auto" w:before="76" w:after="0"/>
        <w:ind w:left="1185" w:right="0" w:hanging="721"/>
        <w:jc w:val="both"/>
      </w:pPr>
      <w:bookmarkStart w:name="_TOC_250016" w:id="90"/>
      <w:r>
        <w:rPr/>
        <w:t>Confocal</w:t>
      </w:r>
      <w:r>
        <w:rPr>
          <w:spacing w:val="-1"/>
        </w:rPr>
        <w:t> </w:t>
      </w:r>
      <w:r>
        <w:rPr/>
        <w:t>laser</w:t>
      </w:r>
      <w:r>
        <w:rPr>
          <w:spacing w:val="-3"/>
        </w:rPr>
        <w:t> </w:t>
      </w:r>
      <w:r>
        <w:rPr/>
        <w:t>scanning</w:t>
      </w:r>
      <w:r>
        <w:rPr>
          <w:spacing w:val="-4"/>
        </w:rPr>
        <w:t> </w:t>
      </w:r>
      <w:bookmarkEnd w:id="90"/>
      <w:r>
        <w:rPr/>
        <w:t>microscopy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4"/>
        <w:jc w:val="both"/>
      </w:pPr>
      <w:r>
        <w:rPr/>
        <w:t>Confocal laser scanning microscopy (CLSM) has been used to visualize the distribution</w:t>
      </w:r>
      <w:r>
        <w:rPr>
          <w:spacing w:val="1"/>
        </w:rPr>
        <w:t> </w:t>
      </w:r>
      <w:r>
        <w:rPr/>
        <w:t>of polymers</w:t>
      </w:r>
      <w:r>
        <w:rPr>
          <w:spacing w:val="1"/>
        </w:rPr>
        <w:t> </w:t>
      </w:r>
      <w:r>
        <w:rPr/>
        <w:t>embedded</w:t>
      </w:r>
      <w:r>
        <w:rPr>
          <w:spacing w:val="1"/>
        </w:rPr>
        <w:t> </w:t>
      </w:r>
      <w:r>
        <w:rPr/>
        <w:t>in a mixture</w:t>
      </w:r>
      <w:r>
        <w:rPr>
          <w:spacing w:val="1"/>
        </w:rPr>
        <w:t> </w:t>
      </w:r>
      <w:r>
        <w:rPr/>
        <w:t>(Lamprecht</w:t>
      </w:r>
      <w:r>
        <w:rPr>
          <w:spacing w:val="1"/>
        </w:rPr>
        <w:t> </w:t>
      </w:r>
      <w:r>
        <w:rPr>
          <w:i/>
        </w:rPr>
        <w:t>et al.</w:t>
      </w:r>
      <w:r>
        <w:rPr/>
        <w:t>, 2000;</w:t>
      </w:r>
      <w:r>
        <w:rPr>
          <w:spacing w:val="60"/>
        </w:rPr>
        <w:t> </w:t>
      </w:r>
      <w:r>
        <w:rPr/>
        <w:t>Van De Velde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2003). It allows for the visualisation of individual components in a complex mixture of</w:t>
      </w:r>
      <w:r>
        <w:rPr>
          <w:spacing w:val="1"/>
        </w:rPr>
        <w:t> </w:t>
      </w:r>
      <w:r>
        <w:rPr/>
        <w:t>biopolymers. The distribution of FITC-labelled</w:t>
      </w:r>
      <w:r>
        <w:rPr>
          <w:spacing w:val="60"/>
        </w:rPr>
        <w:t> </w:t>
      </w:r>
      <w:r>
        <w:rPr/>
        <w:t>gelatin in the co-processed excipient</w:t>
      </w:r>
      <w:r>
        <w:rPr>
          <w:spacing w:val="1"/>
        </w:rPr>
        <w:t> </w:t>
      </w:r>
      <w:r>
        <w:rPr/>
        <w:t>was observed using CLSM in combination with computational image analysis. There</w:t>
      </w:r>
      <w:r>
        <w:rPr>
          <w:spacing w:val="1"/>
        </w:rPr>
        <w:t> </w:t>
      </w:r>
      <w:r>
        <w:rPr/>
        <w:t>was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homogeneous</w:t>
      </w:r>
      <w:r>
        <w:rPr>
          <w:spacing w:val="24"/>
        </w:rPr>
        <w:t> </w:t>
      </w:r>
      <w:r>
        <w:rPr/>
        <w:t>distribution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gelatin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co-processed</w:t>
      </w:r>
      <w:r>
        <w:rPr>
          <w:spacing w:val="23"/>
        </w:rPr>
        <w:t> </w:t>
      </w:r>
      <w:r>
        <w:rPr/>
        <w:t>matrix</w:t>
      </w:r>
      <w:r>
        <w:rPr>
          <w:spacing w:val="26"/>
        </w:rPr>
        <w:t> </w:t>
      </w:r>
      <w:r>
        <w:rPr/>
        <w:t>as</w:t>
      </w:r>
      <w:r>
        <w:rPr>
          <w:spacing w:val="24"/>
        </w:rPr>
        <w:t> </w:t>
      </w:r>
      <w:r>
        <w:rPr/>
        <w:t>portrayed</w:t>
      </w:r>
      <w:r>
        <w:rPr>
          <w:spacing w:val="22"/>
        </w:rPr>
        <w:t> </w:t>
      </w:r>
      <w:r>
        <w:rPr/>
        <w:t>by</w:t>
      </w:r>
      <w:r>
        <w:rPr>
          <w:spacing w:val="-57"/>
        </w:rPr>
        <w:t> </w:t>
      </w:r>
      <w:r>
        <w:rPr/>
        <w:t>the CLSM images (Plate V). This validates the uniformity of mixing that occurred</w:t>
      </w:r>
      <w:r>
        <w:rPr>
          <w:spacing w:val="1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 processing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three</w:t>
      </w:r>
      <w:r>
        <w:rPr>
          <w:spacing w:val="1"/>
        </w:rPr>
        <w:t> </w:t>
      </w:r>
      <w:r>
        <w:rPr/>
        <w:t>excipients.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23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bookmarkStart w:name="_TOC_250015" w:id="91"/>
      <w:r>
        <w:rPr/>
        <w:t>Circular</w:t>
      </w:r>
      <w:r>
        <w:rPr>
          <w:spacing w:val="-2"/>
        </w:rPr>
        <w:t> </w:t>
      </w:r>
      <w:r>
        <w:rPr/>
        <w:t>dichroism</w:t>
      </w:r>
      <w:r>
        <w:rPr>
          <w:spacing w:val="-5"/>
        </w:rPr>
        <w:t> </w:t>
      </w:r>
      <w:bookmarkEnd w:id="91"/>
      <w:r>
        <w:rPr/>
        <w:t>spectroscopy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1"/>
        <w:ind w:left="465" w:right="1253"/>
        <w:jc w:val="both"/>
      </w:pPr>
      <w:r>
        <w:rPr/>
        <w:t>Circular</w:t>
      </w:r>
      <w:r>
        <w:rPr>
          <w:spacing w:val="1"/>
        </w:rPr>
        <w:t> </w:t>
      </w:r>
      <w:r>
        <w:rPr/>
        <w:t>Dichroism</w:t>
      </w:r>
      <w:r>
        <w:rPr>
          <w:spacing w:val="1"/>
        </w:rPr>
        <w:t> </w:t>
      </w:r>
      <w:r>
        <w:rPr/>
        <w:t>(CD)</w:t>
      </w:r>
      <w:r>
        <w:rPr>
          <w:spacing w:val="1"/>
        </w:rPr>
        <w:t> </w:t>
      </w:r>
      <w:r>
        <w:rPr/>
        <w:t>spectroscopy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conformational</w:t>
      </w:r>
      <w:r>
        <w:rPr>
          <w:spacing w:val="1"/>
        </w:rPr>
        <w:t> </w:t>
      </w:r>
      <w:r>
        <w:rPr/>
        <w:t>changes taking place in gelatin during its solubilisation stage or as a result of interaction</w:t>
      </w:r>
      <w:r>
        <w:rPr>
          <w:spacing w:val="-57"/>
        </w:rPr>
        <w:t> </w:t>
      </w:r>
      <w:r>
        <w:rPr/>
        <w:t>with the other excipients during co-processing. This technique is suitable for estimating</w:t>
      </w:r>
      <w:r>
        <w:rPr>
          <w:spacing w:val="1"/>
        </w:rPr>
        <w:t> </w:t>
      </w:r>
      <w:r>
        <w:rPr/>
        <w:t>the secondary structures of proteins and polypeptides in solution (Gopal </w:t>
      </w:r>
      <w:r>
        <w:rPr>
          <w:i/>
        </w:rPr>
        <w:t>et al.</w:t>
      </w:r>
      <w:r>
        <w:rPr/>
        <w:t>, 2012).</w:t>
      </w:r>
      <w:r>
        <w:rPr>
          <w:spacing w:val="1"/>
        </w:rPr>
        <w:t> </w:t>
      </w:r>
      <w:r>
        <w:rPr/>
        <w:t>Gelatin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collagen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 by a three-chain structure in</w:t>
      </w:r>
      <w:r>
        <w:rPr>
          <w:spacing w:val="60"/>
        </w:rPr>
        <w:t> </w:t>
      </w:r>
      <w:r>
        <w:rPr/>
        <w:t>which individual helical chains are stranded</w:t>
      </w:r>
      <w:r>
        <w:rPr>
          <w:spacing w:val="1"/>
        </w:rPr>
        <w:t> </w:t>
      </w:r>
      <w:r>
        <w:rPr/>
        <w:t>in a super helix about a common molecular axis (Gopal </w:t>
      </w:r>
      <w:r>
        <w:rPr>
          <w:i/>
        </w:rPr>
        <w:t>et al.</w:t>
      </w:r>
      <w:r>
        <w:rPr/>
        <w:t>, 2012). The triple helical</w:t>
      </w:r>
      <w:r>
        <w:rPr>
          <w:spacing w:val="1"/>
        </w:rPr>
        <w:t> </w:t>
      </w:r>
      <w:r>
        <w:rPr/>
        <w:t>structure of gelatin can be quantified by using CD measurements. In the present study,</w:t>
      </w:r>
      <w:r>
        <w:rPr>
          <w:spacing w:val="1"/>
        </w:rPr>
        <w:t> </w:t>
      </w:r>
      <w:r>
        <w:rPr/>
        <w:t>the CD spectra of gelatin showed two peaks, a negative peak at 205 nm suggesting a</w:t>
      </w:r>
      <w:r>
        <w:rPr>
          <w:spacing w:val="1"/>
        </w:rPr>
        <w:t> </w:t>
      </w:r>
      <w:r>
        <w:rPr/>
        <w:t>random coil conformation, and a positive peak at 222 nm characteristic of the triple-</w:t>
      </w:r>
      <w:r>
        <w:rPr>
          <w:spacing w:val="1"/>
        </w:rPr>
        <w:t> </w:t>
      </w:r>
      <w:r>
        <w:rPr/>
        <w:t>helical conformation of gelatin. There was a slight shift in the positions of the two peaks</w:t>
      </w:r>
      <w:r>
        <w:rPr>
          <w:spacing w:val="-57"/>
        </w:rPr>
        <w:t> </w:t>
      </w:r>
      <w:r>
        <w:rPr/>
        <w:t>as observed in the CD spectra of SGS and F-SGS (Fig. 4.20) indicating some degree of</w:t>
      </w:r>
      <w:r>
        <w:rPr>
          <w:spacing w:val="1"/>
        </w:rPr>
        <w:t> </w:t>
      </w:r>
      <w:r>
        <w:rPr/>
        <w:t>alteration</w:t>
      </w:r>
      <w:r>
        <w:rPr>
          <w:spacing w:val="16"/>
        </w:rPr>
        <w:t> </w:t>
      </w:r>
      <w:r>
        <w:rPr/>
        <w:t>occurring</w:t>
      </w:r>
      <w:r>
        <w:rPr>
          <w:spacing w:val="15"/>
        </w:rPr>
        <w:t> </w:t>
      </w:r>
      <w:r>
        <w:rPr/>
        <w:t>probably</w:t>
      </w:r>
      <w:r>
        <w:rPr>
          <w:spacing w:val="11"/>
        </w:rPr>
        <w:t> </w:t>
      </w:r>
      <w:r>
        <w:rPr/>
        <w:t>during</w:t>
      </w:r>
      <w:r>
        <w:rPr>
          <w:spacing w:val="15"/>
        </w:rPr>
        <w:t> </w:t>
      </w:r>
      <w:r>
        <w:rPr/>
        <w:t>solubilisation.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secondary</w:t>
      </w:r>
      <w:r>
        <w:rPr>
          <w:spacing w:val="11"/>
        </w:rPr>
        <w:t> </w:t>
      </w:r>
      <w:r>
        <w:rPr/>
        <w:t>structure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proteins</w:t>
      </w:r>
    </w:p>
    <w:p>
      <w:pPr>
        <w:pStyle w:val="BodyText"/>
        <w:spacing w:line="275" w:lineRule="exact"/>
        <w:ind w:left="465"/>
      </w:pPr>
      <w:r>
        <w:rPr/>
        <w:t>i.e.</w:t>
      </w:r>
      <w:r>
        <w:rPr>
          <w:spacing w:val="22"/>
        </w:rPr>
        <w:t> </w:t>
      </w:r>
      <w:r>
        <w:rPr/>
        <w:t>gelatin,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sensitive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environmental</w:t>
      </w:r>
      <w:r>
        <w:rPr>
          <w:spacing w:val="22"/>
        </w:rPr>
        <w:t> </w:t>
      </w:r>
      <w:r>
        <w:rPr/>
        <w:t>changes</w:t>
      </w:r>
      <w:r>
        <w:rPr>
          <w:spacing w:val="26"/>
        </w:rPr>
        <w:t> </w:t>
      </w:r>
      <w:r>
        <w:rPr/>
        <w:t>like</w:t>
      </w:r>
      <w:r>
        <w:rPr>
          <w:spacing w:val="22"/>
        </w:rPr>
        <w:t> </w:t>
      </w:r>
      <w:r>
        <w:rPr/>
        <w:t>temperature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pH</w:t>
      </w:r>
      <w:r>
        <w:rPr>
          <w:spacing w:val="23"/>
        </w:rPr>
        <w:t> </w:t>
      </w:r>
      <w:r>
        <w:rPr/>
        <w:t>which</w:t>
      </w:r>
      <w:r>
        <w:rPr>
          <w:spacing w:val="22"/>
        </w:rPr>
        <w:t> </w:t>
      </w:r>
      <w:r>
        <w:rPr/>
        <w:t>may</w:t>
      </w:r>
    </w:p>
    <w:p>
      <w:pPr>
        <w:pStyle w:val="BodyText"/>
      </w:pPr>
    </w:p>
    <w:p>
      <w:pPr>
        <w:pStyle w:val="BodyText"/>
        <w:ind w:left="465"/>
        <w:jc w:val="both"/>
      </w:pPr>
      <w:r>
        <w:rPr/>
        <w:t>lead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denaturation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protein</w:t>
      </w:r>
      <w:r>
        <w:rPr>
          <w:spacing w:val="15"/>
        </w:rPr>
        <w:t> </w:t>
      </w:r>
      <w:r>
        <w:rPr/>
        <w:t>if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conditions</w:t>
      </w:r>
      <w:r>
        <w:rPr>
          <w:spacing w:val="16"/>
        </w:rPr>
        <w:t> </w:t>
      </w:r>
      <w:r>
        <w:rPr/>
        <w:t>are</w:t>
      </w:r>
      <w:r>
        <w:rPr>
          <w:spacing w:val="16"/>
        </w:rPr>
        <w:t> </w:t>
      </w:r>
      <w:r>
        <w:rPr/>
        <w:t>not</w:t>
      </w:r>
      <w:r>
        <w:rPr>
          <w:spacing w:val="17"/>
        </w:rPr>
        <w:t> </w:t>
      </w:r>
      <w:r>
        <w:rPr/>
        <w:t>controlled.</w:t>
      </w:r>
      <w:r>
        <w:rPr>
          <w:spacing w:val="15"/>
        </w:rPr>
        <w:t> </w:t>
      </w:r>
      <w:r>
        <w:rPr/>
        <w:t>Maintaining</w:t>
      </w:r>
      <w:r>
        <w:rPr>
          <w:spacing w:val="13"/>
        </w:rPr>
        <w:t> </w:t>
      </w:r>
      <w:r>
        <w:rPr/>
        <w:t>the</w:t>
      </w:r>
    </w:p>
    <w:p>
      <w:pPr>
        <w:spacing w:after="0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4"/>
        <w:jc w:val="both"/>
      </w:pPr>
      <w:r>
        <w:rPr/>
        <w:t>triple helical conformation of gelatin or collagen-based biomaterials during preparation</w:t>
      </w:r>
      <w:r>
        <w:rPr>
          <w:spacing w:val="1"/>
        </w:rPr>
        <w:t> </w:t>
      </w:r>
      <w:r>
        <w:rPr/>
        <w:t>is important in eliciting the desired biomedical functions of both (Gopal </w:t>
      </w:r>
      <w:r>
        <w:rPr>
          <w:i/>
        </w:rPr>
        <w:t>et al.</w:t>
      </w:r>
      <w:r>
        <w:rPr/>
        <w:t>, 2012).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apply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gelatin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excipient.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2"/>
          <w:numId w:val="23"/>
        </w:numPr>
        <w:tabs>
          <w:tab w:pos="1186" w:val="left" w:leader="none"/>
        </w:tabs>
        <w:spacing w:line="240" w:lineRule="auto" w:before="1" w:after="0"/>
        <w:ind w:left="1185" w:right="0" w:hanging="721"/>
        <w:jc w:val="both"/>
      </w:pPr>
      <w:bookmarkStart w:name="_TOC_250014" w:id="92"/>
      <w:r>
        <w:rPr/>
        <w:t>Differential</w:t>
      </w:r>
      <w:r>
        <w:rPr>
          <w:spacing w:val="-3"/>
        </w:rPr>
        <w:t> </w:t>
      </w:r>
      <w:r>
        <w:rPr/>
        <w:t>scanning</w:t>
      </w:r>
      <w:r>
        <w:rPr>
          <w:spacing w:val="-2"/>
        </w:rPr>
        <w:t> </w:t>
      </w:r>
      <w:bookmarkEnd w:id="92"/>
      <w:r>
        <w:rPr/>
        <w:t>calorimetry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5" w:right="1250"/>
        <w:jc w:val="both"/>
      </w:pPr>
      <w:r>
        <w:rPr/>
        <w:t>Differential</w:t>
      </w:r>
      <w:r>
        <w:rPr>
          <w:spacing w:val="1"/>
        </w:rPr>
        <w:t> </w:t>
      </w:r>
      <w:r>
        <w:rPr/>
        <w:t>scanning</w:t>
      </w:r>
      <w:r>
        <w:rPr>
          <w:spacing w:val="1"/>
        </w:rPr>
        <w:t> </w:t>
      </w:r>
      <w:r>
        <w:rPr/>
        <w:t>calorimetry</w:t>
      </w:r>
      <w:r>
        <w:rPr>
          <w:spacing w:val="1"/>
        </w:rPr>
        <w:t> </w:t>
      </w:r>
      <w:r>
        <w:rPr/>
        <w:t>(DSC)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 of drug excipient interactions via the appearance, shift, or disappearance of</w:t>
      </w:r>
      <w:r>
        <w:rPr>
          <w:spacing w:val="1"/>
        </w:rPr>
        <w:t> </w:t>
      </w:r>
      <w:r>
        <w:rPr/>
        <w:t>endothermic or exothermic peaks (Daraghmeh </w:t>
      </w:r>
      <w:r>
        <w:rPr>
          <w:i/>
        </w:rPr>
        <w:t>et al.</w:t>
      </w:r>
      <w:r>
        <w:rPr/>
        <w:t>, 2010). DSC has equally been used</w:t>
      </w:r>
      <w:r>
        <w:rPr>
          <w:spacing w:val="1"/>
        </w:rPr>
        <w:t> </w:t>
      </w:r>
      <w:r>
        <w:rPr/>
        <w:t>to investigate drug-excipient compatibility and thermal stability. The DSC curves of CS,</w:t>
      </w:r>
      <w:r>
        <w:rPr>
          <w:spacing w:val="-57"/>
        </w:rPr>
        <w:t> </w:t>
      </w:r>
      <w:r>
        <w:rPr/>
        <w:t>SGS-PM and SGS revealed glass transition events taking place at temperatures above</w:t>
      </w:r>
      <w:r>
        <w:rPr>
          <w:spacing w:val="1"/>
        </w:rPr>
        <w:t> </w:t>
      </w:r>
      <w:r>
        <w:rPr/>
        <w:t>250 °C. Glass transition temperature (</w:t>
      </w:r>
      <w:r>
        <w:rPr>
          <w:i/>
        </w:rPr>
        <w:t>Tg</w:t>
      </w:r>
      <w:r>
        <w:rPr/>
        <w:t>) is the onset of transition from a disordered</w:t>
      </w:r>
      <w:r>
        <w:rPr>
          <w:spacing w:val="1"/>
        </w:rPr>
        <w:t> </w:t>
      </w:r>
      <w:r>
        <w:rPr/>
        <w:t>solid to a liquid, characterized by a change in heat capacity where no heat is absorbed or</w:t>
      </w:r>
      <w:r>
        <w:rPr>
          <w:spacing w:val="-57"/>
        </w:rPr>
        <w:t> </w:t>
      </w:r>
      <w:r>
        <w:rPr/>
        <w:t>evolved. There exists a linear relationship between the amorphous content of a material</w:t>
      </w:r>
      <w:r>
        <w:rPr>
          <w:spacing w:val="1"/>
        </w:rPr>
        <w:t> </w:t>
      </w:r>
      <w:r>
        <w:rPr/>
        <w:t>and glass transition (Lappalainen and Pitk, 2006). No melting endotherm</w:t>
      </w:r>
      <w:r>
        <w:rPr>
          <w:spacing w:val="60"/>
        </w:rPr>
        <w:t> </w:t>
      </w:r>
      <w:r>
        <w:rPr/>
        <w:t>was detected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confirming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amorphous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(Fig.</w:t>
      </w:r>
      <w:r>
        <w:rPr>
          <w:spacing w:val="1"/>
        </w:rPr>
        <w:t> </w:t>
      </w:r>
      <w:r>
        <w:rPr/>
        <w:t>4.10).</w:t>
      </w:r>
      <w:r>
        <w:rPr>
          <w:spacing w:val="61"/>
        </w:rPr>
        <w:t> </w:t>
      </w:r>
      <w:r>
        <w:rPr/>
        <w:t>Melting</w:t>
      </w:r>
      <w:r>
        <w:rPr>
          <w:spacing w:val="1"/>
        </w:rPr>
        <w:t> </w:t>
      </w:r>
      <w:r>
        <w:rPr/>
        <w:t>endotherms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3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 crystalline</w:t>
      </w:r>
      <w:r>
        <w:rPr>
          <w:spacing w:val="1"/>
        </w:rPr>
        <w:t> </w:t>
      </w:r>
      <w:r>
        <w:rPr/>
        <w:t>materials.</w:t>
      </w:r>
    </w:p>
    <w:p>
      <w:pPr>
        <w:pStyle w:val="BodyText"/>
        <w:spacing w:line="480" w:lineRule="auto" w:before="121"/>
        <w:ind w:left="465" w:right="1253"/>
        <w:jc w:val="both"/>
      </w:pPr>
      <w:r>
        <w:rPr/>
        <w:t>There was no disappearance in the melting endotherm of ibuprofen (IBU) when mixed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SGS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overlay</w:t>
      </w:r>
      <w:r>
        <w:rPr>
          <w:spacing w:val="1"/>
        </w:rPr>
        <w:t> </w:t>
      </w:r>
      <w:r>
        <w:rPr/>
        <w:t>DSC</w:t>
      </w:r>
      <w:r>
        <w:rPr>
          <w:spacing w:val="1"/>
        </w:rPr>
        <w:t> </w:t>
      </w:r>
      <w:r>
        <w:rPr/>
        <w:t>curve</w:t>
      </w:r>
      <w:r>
        <w:rPr>
          <w:spacing w:val="1"/>
        </w:rPr>
        <w:t> </w:t>
      </w:r>
      <w:r>
        <w:rPr/>
        <w:t>(Fig.</w:t>
      </w:r>
      <w:r>
        <w:rPr>
          <w:spacing w:val="1"/>
        </w:rPr>
        <w:t> </w:t>
      </w:r>
      <w:r>
        <w:rPr/>
        <w:t>4.11).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compatibility of IBU with SGS. The difference in intensity of the peaks observed in the</w:t>
      </w:r>
      <w:r>
        <w:rPr>
          <w:spacing w:val="1"/>
        </w:rPr>
        <w:t> </w:t>
      </w:r>
      <w:r>
        <w:rPr/>
        <w:t>two thermograms can be attributed to the concentration of ibuprofen in the mixture. The</w:t>
      </w:r>
      <w:r>
        <w:rPr>
          <w:spacing w:val="-57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increases</w:t>
      </w:r>
      <w:r>
        <w:rPr>
          <w:spacing w:val="-1"/>
        </w:rPr>
        <w:t> </w:t>
      </w:r>
      <w:r>
        <w:rPr/>
        <w:t>with an increase</w:t>
      </w:r>
      <w:r>
        <w:rPr>
          <w:spacing w:val="-1"/>
        </w:rPr>
        <w:t> </w:t>
      </w:r>
      <w:r>
        <w:rPr/>
        <w:t>in concentration.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numPr>
          <w:ilvl w:val="2"/>
          <w:numId w:val="23"/>
        </w:numPr>
        <w:tabs>
          <w:tab w:pos="1186" w:val="left" w:leader="none"/>
        </w:tabs>
        <w:spacing w:line="240" w:lineRule="auto" w:before="76" w:after="0"/>
        <w:ind w:left="1185" w:right="0" w:hanging="721"/>
        <w:jc w:val="both"/>
      </w:pPr>
      <w:bookmarkStart w:name="_TOC_250013" w:id="93"/>
      <w:r>
        <w:rPr/>
        <w:t>Powder</w:t>
      </w:r>
      <w:r>
        <w:rPr>
          <w:spacing w:val="-2"/>
        </w:rPr>
        <w:t> </w:t>
      </w:r>
      <w:r>
        <w:rPr/>
        <w:t>X-ray</w:t>
      </w:r>
      <w:r>
        <w:rPr>
          <w:spacing w:val="-1"/>
        </w:rPr>
        <w:t> </w:t>
      </w:r>
      <w:bookmarkEnd w:id="93"/>
      <w:r>
        <w:rPr/>
        <w:t>diffraction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3"/>
        <w:jc w:val="both"/>
      </w:pPr>
      <w:r>
        <w:rPr/>
        <w:t>X-ray diffraction is one of the most important characterization tools used in solid state</w:t>
      </w:r>
      <w:r>
        <w:rPr>
          <w:spacing w:val="1"/>
        </w:rPr>
        <w:t> </w:t>
      </w:r>
      <w:r>
        <w:rPr/>
        <w:t>chemistry and materials science. It has been used in two main areas, for the fingerprint</w:t>
      </w:r>
      <w:r>
        <w:rPr>
          <w:spacing w:val="1"/>
        </w:rPr>
        <w:t> </w:t>
      </w:r>
      <w:r>
        <w:rPr/>
        <w:t>characterization of crystalline materials and the determination of their structure. The</w:t>
      </w:r>
      <w:r>
        <w:rPr>
          <w:spacing w:val="1"/>
        </w:rPr>
        <w:t> </w:t>
      </w:r>
      <w:r>
        <w:rPr/>
        <w:t>PXRD</w:t>
      </w:r>
      <w:r>
        <w:rPr>
          <w:spacing w:val="1"/>
        </w:rPr>
        <w:t> </w:t>
      </w:r>
      <w:r>
        <w:rPr/>
        <w:t>diffractogram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CS</w:t>
      </w:r>
      <w:r>
        <w:rPr>
          <w:spacing w:val="1"/>
        </w:rPr>
        <w:t> </w:t>
      </w:r>
      <w:r>
        <w:rPr/>
        <w:t>(Fig.</w:t>
      </w:r>
      <w:r>
        <w:rPr>
          <w:spacing w:val="1"/>
        </w:rPr>
        <w:t> </w:t>
      </w:r>
      <w:r>
        <w:rPr/>
        <w:t>4.12)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any sharp,</w:t>
      </w:r>
      <w:r>
        <w:rPr>
          <w:spacing w:val="1"/>
        </w:rPr>
        <w:t> </w:t>
      </w:r>
      <w:r>
        <w:rPr/>
        <w:t>distinct</w:t>
      </w:r>
      <w:r>
        <w:rPr>
          <w:spacing w:val="-57"/>
        </w:rPr>
        <w:t> </w:t>
      </w:r>
      <w:r>
        <w:rPr/>
        <w:t>diffraction peaks but only broad maxima which are consistent with semi-crystalline</w:t>
      </w:r>
      <w:r>
        <w:rPr>
          <w:spacing w:val="1"/>
        </w:rPr>
        <w:t> </w:t>
      </w:r>
      <w:r>
        <w:rPr/>
        <w:t>material having significant amorphous content. This has been described in literature as a</w:t>
      </w:r>
      <w:r>
        <w:rPr>
          <w:spacing w:val="-57"/>
        </w:rPr>
        <w:t> </w:t>
      </w:r>
      <w:r>
        <w:rPr/>
        <w:t>halo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(Sharma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</w:t>
      </w:r>
      <w:r>
        <w:rPr/>
        <w:t>, 2015). Contrastingly, PXRD diffraction patterns of</w:t>
      </w:r>
      <w:r>
        <w:rPr>
          <w:spacing w:val="60"/>
        </w:rPr>
        <w:t> </w:t>
      </w:r>
      <w:r>
        <w:rPr/>
        <w:t>GEL</w:t>
      </w:r>
      <w:r>
        <w:rPr>
          <w:spacing w:val="1"/>
        </w:rPr>
        <w:t> </w:t>
      </w:r>
      <w:r>
        <w:rPr/>
        <w:t>and CSD remained at baseline level because they were not able to deflect the X-rays to</w:t>
      </w:r>
      <w:r>
        <w:rPr>
          <w:spacing w:val="1"/>
        </w:rPr>
        <w:t> </w:t>
      </w:r>
      <w:r>
        <w:rPr/>
        <w:t>any detectable degree,</w:t>
      </w:r>
      <w:r>
        <w:rPr>
          <w:spacing w:val="1"/>
        </w:rPr>
        <w:t> </w:t>
      </w:r>
      <w:r>
        <w:rPr/>
        <w:t>confirming their non-crystalline status. Crystalline solids are</w:t>
      </w:r>
      <w:r>
        <w:rPr>
          <w:spacing w:val="1"/>
        </w:rPr>
        <w:t> </w:t>
      </w:r>
      <w:r>
        <w:rPr/>
        <w:t>known to reflect X-ray beams at certain angles of incidence which appears as sharp,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diffraction</w:t>
      </w:r>
      <w:r>
        <w:rPr>
          <w:spacing w:val="1"/>
        </w:rPr>
        <w:t> </w:t>
      </w:r>
      <w:r>
        <w:rPr/>
        <w:t>peaks</w:t>
      </w:r>
      <w:r>
        <w:rPr>
          <w:spacing w:val="1"/>
        </w:rPr>
        <w:t> </w:t>
      </w:r>
      <w:r>
        <w:rPr/>
        <w:t>(Shah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diffraction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SGS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superimposed on that of SGS-PM suggesting that no chemical change or interaction</w:t>
      </w:r>
      <w:r>
        <w:rPr>
          <w:spacing w:val="1"/>
        </w:rPr>
        <w:t> </w:t>
      </w:r>
      <w:r>
        <w:rPr/>
        <w:t>occurred as a result of co-processing (Fig. 4.13). The peak positions of IBU persisted in</w:t>
      </w:r>
      <w:r>
        <w:rPr>
          <w:spacing w:val="1"/>
        </w:rPr>
        <w:t> </w:t>
      </w:r>
      <w:r>
        <w:rPr/>
        <w:t>the diffraction pattern of IBU + SGS, confirming their compatibility. Similarly, the</w:t>
      </w:r>
      <w:r>
        <w:rPr>
          <w:spacing w:val="1"/>
        </w:rPr>
        <w:t> </w:t>
      </w:r>
      <w:r>
        <w:rPr/>
        <w:t>broad peak occurring between 10 ° and 20 ° of the SGS diffraction pattern was reflected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mixture with</w:t>
      </w:r>
      <w:r>
        <w:rPr>
          <w:spacing w:val="1"/>
        </w:rPr>
        <w:t> </w:t>
      </w:r>
      <w:r>
        <w:rPr/>
        <w:t>Ibuprofen.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signifies</w:t>
      </w:r>
      <w:r>
        <w:rPr>
          <w:spacing w:val="1"/>
        </w:rPr>
        <w:t> </w:t>
      </w:r>
      <w:r>
        <w:rPr/>
        <w:t>compatibility.</w:t>
      </w:r>
      <w:r>
        <w:rPr>
          <w:spacing w:val="1"/>
        </w:rPr>
        <w:t> </w:t>
      </w:r>
      <w:r>
        <w:rPr/>
        <w:t>No new peak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 in the diffraction pattern of IBU + SGS, confirming the absence of a new</w:t>
      </w:r>
      <w:r>
        <w:rPr>
          <w:spacing w:val="1"/>
        </w:rPr>
        <w:t> </w:t>
      </w:r>
      <w:r>
        <w:rPr/>
        <w:t>molecule.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2"/>
          <w:numId w:val="23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bookmarkStart w:name="_TOC_250012" w:id="94"/>
      <w:r>
        <w:rPr/>
        <w:t>Fourier</w:t>
      </w:r>
      <w:r>
        <w:rPr>
          <w:spacing w:val="-3"/>
        </w:rPr>
        <w:t> </w:t>
      </w:r>
      <w:r>
        <w:rPr/>
        <w:t>transform</w:t>
      </w:r>
      <w:r>
        <w:rPr>
          <w:spacing w:val="-6"/>
        </w:rPr>
        <w:t> </w:t>
      </w:r>
      <w:r>
        <w:rPr/>
        <w:t>infrared</w:t>
      </w:r>
      <w:r>
        <w:rPr>
          <w:spacing w:val="-2"/>
        </w:rPr>
        <w:t> </w:t>
      </w:r>
      <w:bookmarkEnd w:id="94"/>
      <w:r>
        <w:rPr/>
        <w:t>spectroscopy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4"/>
        <w:jc w:val="both"/>
      </w:pPr>
      <w:r>
        <w:rPr/>
        <w:t>FT-IR</w:t>
      </w:r>
      <w:r>
        <w:rPr>
          <w:spacing w:val="1"/>
        </w:rPr>
        <w:t> </w:t>
      </w:r>
      <w:r>
        <w:rPr/>
        <w:t>spectroscopy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CS,</w:t>
      </w:r>
      <w:r>
        <w:rPr>
          <w:spacing w:val="1"/>
        </w:rPr>
        <w:t> </w:t>
      </w:r>
      <w:r>
        <w:rPr/>
        <w:t>GEL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CSD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incompatibility.</w:t>
      </w:r>
      <w:r>
        <w:rPr>
          <w:spacing w:val="1"/>
        </w:rPr>
        <w:t> </w:t>
      </w:r>
      <w:r>
        <w:rPr/>
        <w:t>FT-IR</w:t>
      </w:r>
      <w:r>
        <w:rPr>
          <w:spacing w:val="1"/>
        </w:rPr>
        <w:t> </w:t>
      </w:r>
      <w:r>
        <w:rPr/>
        <w:t>spectroscopy is used to deduce the functional groups that are present and absent in a</w:t>
      </w:r>
      <w:r>
        <w:rPr>
          <w:spacing w:val="1"/>
        </w:rPr>
        <w:t> </w:t>
      </w:r>
      <w:r>
        <w:rPr/>
        <w:t>molecule</w:t>
      </w:r>
      <w:r>
        <w:rPr>
          <w:spacing w:val="58"/>
        </w:rPr>
        <w:t> </w:t>
      </w:r>
      <w:r>
        <w:rPr/>
        <w:t>(Silverstein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Webster,</w:t>
      </w:r>
      <w:r>
        <w:rPr>
          <w:spacing w:val="58"/>
        </w:rPr>
        <w:t> </w:t>
      </w:r>
      <w:r>
        <w:rPr/>
        <w:t>1998).</w:t>
      </w:r>
      <w:r>
        <w:rPr>
          <w:spacing w:val="58"/>
        </w:rPr>
        <w:t> </w:t>
      </w:r>
      <w:r>
        <w:rPr/>
        <w:t>Functional  groups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a</w:t>
      </w:r>
      <w:r>
        <w:rPr>
          <w:spacing w:val="57"/>
        </w:rPr>
        <w:t> </w:t>
      </w:r>
      <w:r>
        <w:rPr/>
        <w:t>molecule</w:t>
      </w:r>
      <w:r>
        <w:rPr>
          <w:spacing w:val="58"/>
        </w:rPr>
        <w:t> </w:t>
      </w:r>
      <w:r>
        <w:rPr/>
        <w:t>absorb</w:t>
      </w:r>
    </w:p>
    <w:p>
      <w:pPr>
        <w:pStyle w:val="BodyText"/>
        <w:ind w:left="465"/>
        <w:jc w:val="both"/>
      </w:pPr>
      <w:r>
        <w:rPr/>
        <w:t>infrared</w:t>
      </w:r>
      <w:r>
        <w:rPr>
          <w:spacing w:val="28"/>
        </w:rPr>
        <w:t> </w:t>
      </w:r>
      <w:r>
        <w:rPr/>
        <w:t>photons</w:t>
      </w:r>
      <w:r>
        <w:rPr>
          <w:spacing w:val="30"/>
        </w:rPr>
        <w:t> </w:t>
      </w:r>
      <w:r>
        <w:rPr/>
        <w:t>of</w:t>
      </w:r>
      <w:r>
        <w:rPr>
          <w:spacing w:val="28"/>
        </w:rPr>
        <w:t> </w:t>
      </w:r>
      <w:r>
        <w:rPr/>
        <w:t>characteristic</w:t>
      </w:r>
      <w:r>
        <w:rPr>
          <w:spacing w:val="29"/>
        </w:rPr>
        <w:t> </w:t>
      </w:r>
      <w:r>
        <w:rPr/>
        <w:t>energies</w:t>
      </w:r>
      <w:r>
        <w:rPr>
          <w:spacing w:val="29"/>
        </w:rPr>
        <w:t> </w:t>
      </w:r>
      <w:r>
        <w:rPr/>
        <w:t>which</w:t>
      </w:r>
      <w:r>
        <w:rPr>
          <w:spacing w:val="31"/>
        </w:rPr>
        <w:t> </w:t>
      </w:r>
      <w:r>
        <w:rPr/>
        <w:t>can</w:t>
      </w:r>
      <w:r>
        <w:rPr>
          <w:spacing w:val="29"/>
        </w:rPr>
        <w:t> </w:t>
      </w:r>
      <w:r>
        <w:rPr/>
        <w:t>be</w:t>
      </w:r>
      <w:r>
        <w:rPr>
          <w:spacing w:val="28"/>
        </w:rPr>
        <w:t> </w:t>
      </w:r>
      <w:r>
        <w:rPr/>
        <w:t>reflected</w:t>
      </w:r>
      <w:r>
        <w:rPr>
          <w:spacing w:val="29"/>
        </w:rPr>
        <w:t> </w:t>
      </w:r>
      <w:r>
        <w:rPr/>
        <w:t>as</w:t>
      </w:r>
      <w:r>
        <w:rPr>
          <w:spacing w:val="30"/>
        </w:rPr>
        <w:t> </w:t>
      </w:r>
      <w:r>
        <w:rPr/>
        <w:t>a</w:t>
      </w:r>
      <w:r>
        <w:rPr>
          <w:spacing w:val="28"/>
        </w:rPr>
        <w:t> </w:t>
      </w:r>
      <w:r>
        <w:rPr/>
        <w:t>plot</w:t>
      </w:r>
      <w:r>
        <w:rPr>
          <w:spacing w:val="30"/>
        </w:rPr>
        <w:t> </w:t>
      </w:r>
      <w:r>
        <w:rPr/>
        <w:t>of</w:t>
      </w:r>
      <w:r>
        <w:rPr>
          <w:spacing w:val="28"/>
        </w:rPr>
        <w:t> </w:t>
      </w:r>
      <w:r>
        <w:rPr/>
        <w:t>photon</w:t>
      </w:r>
    </w:p>
    <w:p>
      <w:pPr>
        <w:spacing w:after="0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2"/>
        <w:jc w:val="both"/>
      </w:pPr>
      <w:r>
        <w:rPr/>
        <w:t>energy</w:t>
      </w:r>
      <w:r>
        <w:rPr>
          <w:spacing w:val="1"/>
        </w:rPr>
        <w:t> </w:t>
      </w:r>
      <w:r>
        <w:rPr/>
        <w:t>versus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infrared</w:t>
      </w:r>
      <w:r>
        <w:rPr>
          <w:spacing w:val="1"/>
        </w:rPr>
        <w:t> </w:t>
      </w:r>
      <w:r>
        <w:rPr/>
        <w:t>spectrum.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infrared</w:t>
      </w:r>
      <w:r>
        <w:rPr>
          <w:spacing w:val="1"/>
        </w:rPr>
        <w:t> </w:t>
      </w:r>
      <w:r>
        <w:rPr/>
        <w:t>spectrum reveals vibrations of atoms in molecules. The beauty of the spectrum is the</w:t>
      </w:r>
      <w:r>
        <w:rPr>
          <w:spacing w:val="1"/>
        </w:rPr>
        <w:t> </w:t>
      </w:r>
      <w:r>
        <w:rPr/>
        <w:t>close and accessible relationship between infrared bands and molecular structure. When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mixed,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blends</w:t>
      </w:r>
      <w:r>
        <w:rPr>
          <w:spacing w:val="1"/>
        </w:rPr>
        <w:t> </w:t>
      </w:r>
      <w:r>
        <w:rPr/>
        <w:t>versus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reaction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reflected by changes in characteristic bands. The FT-IR spectrum of SGS did not reveal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co-processing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absorption bands observed in the IR spectrum of CS, GEL and CSD were maintained in</w:t>
      </w:r>
      <w:r>
        <w:rPr>
          <w:spacing w:val="1"/>
        </w:rPr>
        <w:t> </w:t>
      </w:r>
      <w:r>
        <w:rPr/>
        <w:t>the spectrum of the co-processed mixture. There was no evidence of covalent bonding</w:t>
      </w:r>
      <w:r>
        <w:rPr>
          <w:spacing w:val="1"/>
        </w:rPr>
        <w:t> </w:t>
      </w:r>
      <w:r>
        <w:rPr/>
        <w:t>due to the close association of the three components during co-processing.The improved</w:t>
      </w:r>
      <w:r>
        <w:rPr>
          <w:spacing w:val="-57"/>
        </w:rPr>
        <w:t> </w:t>
      </w:r>
      <w:r>
        <w:rPr/>
        <w:t>functionality observed in SGS could be attributed to physical modification occurring 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structure(El-Barghouthi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superimposition of the IR spectrum of SGS-PM on the spectrum of SGS. Both spectra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band</w:t>
      </w:r>
      <w:r>
        <w:rPr>
          <w:spacing w:val="1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peaks.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consistent with studies carried out byKittipongpatana and Kittipongpatana (2012)where</w:t>
      </w:r>
      <w:r>
        <w:rPr>
          <w:spacing w:val="1"/>
        </w:rPr>
        <w:t> </w:t>
      </w:r>
      <w:r>
        <w:rPr/>
        <w:t>no chemical reaction occurred between starch and silicon dioxide during co-processing</w:t>
      </w:r>
      <w:r>
        <w:rPr>
          <w:spacing w:val="1"/>
        </w:rPr>
        <w:t> </w:t>
      </w:r>
      <w:r>
        <w:rPr/>
        <w:t>by co-precipitation. Drug-excipient compatibility was also confirmed by FT-IR analysis</w:t>
      </w:r>
      <w:r>
        <w:rPr>
          <w:spacing w:val="1"/>
        </w:rPr>
        <w:t> </w:t>
      </w:r>
      <w:r>
        <w:rPr/>
        <w:t>from the overlay plot (Fig. 4.17) showing the individual spectrum of IBU, SGS and</w:t>
      </w:r>
      <w:r>
        <w:rPr>
          <w:spacing w:val="1"/>
        </w:rPr>
        <w:t> </w:t>
      </w:r>
      <w:r>
        <w:rPr/>
        <w:t>IBU+SGS. No new functional group or molecule was formed as a result of chemical</w:t>
      </w:r>
      <w:r>
        <w:rPr>
          <w:spacing w:val="1"/>
        </w:rPr>
        <w:t> </w:t>
      </w:r>
      <w:r>
        <w:rPr/>
        <w:t>interaction between the IBU and SGS. The principal IR bands for each spectrum were</w:t>
      </w:r>
      <w:r>
        <w:rPr>
          <w:spacing w:val="1"/>
        </w:rPr>
        <w:t> </w:t>
      </w:r>
      <w:r>
        <w:rPr/>
        <w:t>reflected in the final spectrum of the mixture. This confirms the suitability of SGS as an</w:t>
      </w:r>
      <w:r>
        <w:rPr>
          <w:spacing w:val="1"/>
        </w:rPr>
        <w:t> </w:t>
      </w:r>
      <w:r>
        <w:rPr/>
        <w:t>excipient</w:t>
      </w:r>
      <w:r>
        <w:rPr>
          <w:spacing w:val="-1"/>
        </w:rPr>
        <w:t> </w:t>
      </w:r>
      <w:r>
        <w:rPr/>
        <w:t>in the formulation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Ibuprofen tablets by</w:t>
      </w:r>
      <w:r>
        <w:rPr>
          <w:spacing w:val="-4"/>
        </w:rPr>
        <w:t> </w:t>
      </w:r>
      <w:r>
        <w:rPr/>
        <w:t>direct compression.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numPr>
          <w:ilvl w:val="2"/>
          <w:numId w:val="23"/>
        </w:numPr>
        <w:tabs>
          <w:tab w:pos="1185" w:val="left" w:leader="none"/>
          <w:tab w:pos="1186" w:val="left" w:leader="none"/>
        </w:tabs>
        <w:spacing w:line="240" w:lineRule="auto" w:before="76" w:after="0"/>
        <w:ind w:left="1185" w:right="0" w:hanging="721"/>
        <w:jc w:val="left"/>
      </w:pPr>
      <w:bookmarkStart w:name="_TOC_250011" w:id="95"/>
      <w:r>
        <w:rPr/>
        <w:t>Dynamic</w:t>
      </w:r>
      <w:r>
        <w:rPr>
          <w:spacing w:val="-1"/>
        </w:rPr>
        <w:t> </w:t>
      </w:r>
      <w:r>
        <w:rPr/>
        <w:t>vapour</w:t>
      </w:r>
      <w:r>
        <w:rPr>
          <w:spacing w:val="-1"/>
        </w:rPr>
        <w:t> </w:t>
      </w:r>
      <w:bookmarkEnd w:id="95"/>
      <w:r>
        <w:rPr/>
        <w:t>sorption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1"/>
        <w:jc w:val="both"/>
      </w:pPr>
      <w:r>
        <w:rPr/>
        <w:t>The physical and chemical properties of pharmaceutical solids are critically 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moisture,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flow,</w:t>
      </w:r>
      <w:r>
        <w:rPr>
          <w:spacing w:val="1"/>
        </w:rPr>
        <w:t> </w:t>
      </w:r>
      <w:r>
        <w:rPr/>
        <w:t>compaction,</w:t>
      </w:r>
      <w:r>
        <w:rPr>
          <w:spacing w:val="1"/>
        </w:rPr>
        <w:t> </w:t>
      </w:r>
      <w:r>
        <w:rPr/>
        <w:t>dissolution,</w:t>
      </w:r>
      <w:r>
        <w:rPr>
          <w:spacing w:val="1"/>
        </w:rPr>
        <w:t> </w:t>
      </w:r>
      <w:r>
        <w:rPr/>
        <w:t>stability,</w:t>
      </w:r>
      <w:r>
        <w:rPr>
          <w:spacing w:val="1"/>
        </w:rPr>
        <w:t> </w:t>
      </w:r>
      <w:r>
        <w:rPr/>
        <w:t>storage,</w:t>
      </w:r>
      <w:r>
        <w:rPr>
          <w:spacing w:val="1"/>
        </w:rPr>
        <w:t> </w:t>
      </w:r>
      <w:r>
        <w:rPr/>
        <w:t>processing into</w:t>
      </w:r>
      <w:r>
        <w:rPr>
          <w:spacing w:val="1"/>
        </w:rPr>
        <w:t> </w:t>
      </w:r>
      <w:r>
        <w:rPr/>
        <w:t>formulations,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packing</w:t>
      </w:r>
      <w:r>
        <w:rPr>
          <w:spacing w:val="1"/>
        </w:rPr>
        <w:t> </w:t>
      </w:r>
      <w:r>
        <w:rPr/>
        <w:t>(Airaksinen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</w:t>
      </w:r>
      <w:r>
        <w:rPr/>
        <w:t>,</w:t>
      </w:r>
      <w:r>
        <w:rPr>
          <w:spacing w:val="-57"/>
        </w:rPr>
        <w:t> </w:t>
      </w:r>
      <w:r>
        <w:rPr/>
        <w:t>2005;</w:t>
      </w:r>
      <w:r>
        <w:rPr>
          <w:spacing w:val="18"/>
        </w:rPr>
        <w:t> </w:t>
      </w:r>
      <w:r>
        <w:rPr/>
        <w:t>Murikipudi</w:t>
      </w:r>
      <w:r>
        <w:rPr>
          <w:spacing w:val="19"/>
        </w:rPr>
        <w:t> </w:t>
      </w:r>
      <w:r>
        <w:rPr>
          <w:i/>
        </w:rPr>
        <w:t>et</w:t>
      </w:r>
      <w:r>
        <w:rPr>
          <w:i/>
          <w:spacing w:val="18"/>
        </w:rPr>
        <w:t> </w:t>
      </w:r>
      <w:r>
        <w:rPr>
          <w:i/>
        </w:rPr>
        <w:t>al.</w:t>
      </w:r>
      <w:r>
        <w:rPr/>
        <w:t>,</w:t>
      </w:r>
      <w:r>
        <w:rPr>
          <w:spacing w:val="18"/>
        </w:rPr>
        <w:t> </w:t>
      </w:r>
      <w:r>
        <w:rPr/>
        <w:t>2011).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interaction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moisture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pharmaceutical</w:t>
      </w:r>
      <w:r>
        <w:rPr>
          <w:spacing w:val="19"/>
        </w:rPr>
        <w:t> </w:t>
      </w:r>
      <w:r>
        <w:rPr/>
        <w:t>solids</w:t>
      </w:r>
      <w:r>
        <w:rPr>
          <w:spacing w:val="-58"/>
        </w:rPr>
        <w:t> </w:t>
      </w:r>
      <w:r>
        <w:rPr/>
        <w:t>is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water-based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-57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stability and</w:t>
      </w:r>
      <w:r>
        <w:rPr>
          <w:spacing w:val="1"/>
        </w:rPr>
        <w:t> </w:t>
      </w:r>
      <w:r>
        <w:rPr/>
        <w:t>shelf</w:t>
      </w:r>
      <w:r>
        <w:rPr>
          <w:spacing w:val="1"/>
        </w:rPr>
        <w:t> </w:t>
      </w:r>
      <w:r>
        <w:rPr/>
        <w:t>life</w:t>
      </w:r>
      <w:r>
        <w:rPr>
          <w:spacing w:val="-57"/>
        </w:rPr>
        <w:t> </w:t>
      </w:r>
      <w:r>
        <w:rPr/>
        <w:t>(Nokhodchi, 2005). Both the active pharmaceutical ingredient (API) and excipients in</w:t>
      </w:r>
      <w:r>
        <w:rPr>
          <w:spacing w:val="1"/>
        </w:rPr>
        <w:t> </w:t>
      </w:r>
      <w:r>
        <w:rPr/>
        <w:t>the formulation have different moisture sorption properties that can result in unexpected</w:t>
      </w:r>
      <w:r>
        <w:rPr>
          <w:spacing w:val="-57"/>
        </w:rPr>
        <w:t> </w:t>
      </w:r>
      <w:r>
        <w:rPr/>
        <w:t>processing-induced phase transitions and they can affect solid-state phase transitions in</w:t>
      </w:r>
      <w:r>
        <w:rPr>
          <w:spacing w:val="1"/>
        </w:rPr>
        <w:t> </w:t>
      </w:r>
      <w:r>
        <w:rPr/>
        <w:t>the final dosage forms (Airaksinen </w:t>
      </w:r>
      <w:r>
        <w:rPr>
          <w:i/>
        </w:rPr>
        <w:t>et al.</w:t>
      </w:r>
      <w:r>
        <w:rPr/>
        <w:t>, 2005). Phase transformations in formulations</w:t>
      </w:r>
      <w:r>
        <w:rPr>
          <w:spacing w:val="1"/>
        </w:rPr>
        <w:t> </w:t>
      </w:r>
      <w:r>
        <w:rPr/>
        <w:t>can lead to instability in physicochemical, biopharmaceutical, and processing 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sorption</w:t>
      </w:r>
      <w:r>
        <w:rPr>
          <w:spacing w:val="1"/>
        </w:rPr>
        <w:t> </w:t>
      </w:r>
      <w:r>
        <w:rPr/>
        <w:t>isotherms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Figs.</w:t>
      </w:r>
      <w:r>
        <w:rPr>
          <w:spacing w:val="1"/>
        </w:rPr>
        <w:t> </w:t>
      </w:r>
      <w:r>
        <w:rPr/>
        <w:t>4.18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4.19</w:t>
      </w:r>
      <w:r>
        <w:rPr>
          <w:spacing w:val="1"/>
        </w:rPr>
        <w:t> </w:t>
      </w:r>
      <w:r>
        <w:rPr/>
        <w:t>characterize the amount of moisture adsorbed at different equilibrium concentrations in</w:t>
      </w:r>
      <w:r>
        <w:rPr>
          <w:spacing w:val="1"/>
        </w:rPr>
        <w:t> </w:t>
      </w:r>
      <w:r>
        <w:rPr/>
        <w:t>the gas phase. Comparing the moisture sorption profiles of CS and SGS, there was no</w:t>
      </w:r>
      <w:r>
        <w:rPr>
          <w:spacing w:val="1"/>
        </w:rPr>
        <w:t> </w:t>
      </w:r>
      <w:r>
        <w:rPr/>
        <w:t>significant difference in the amount of moisture adsorbed at maximum RH (80 %). This</w:t>
      </w:r>
      <w:r>
        <w:rPr>
          <w:spacing w:val="1"/>
        </w:rPr>
        <w:t> </w:t>
      </w:r>
      <w:r>
        <w:rPr/>
        <w:t>indicates that co-processing of cassava starch with gelatin and colloidal silicon dioxide</w:t>
      </w:r>
      <w:r>
        <w:rPr>
          <w:spacing w:val="1"/>
        </w:rPr>
        <w:t> </w:t>
      </w:r>
      <w:r>
        <w:rPr/>
        <w:t>did not modify its degree of hygroscopicity. This finding is consistent with a study</w:t>
      </w:r>
      <w:r>
        <w:rPr>
          <w:spacing w:val="1"/>
        </w:rPr>
        <w:t> </w:t>
      </w:r>
      <w:r>
        <w:rPr/>
        <w:t>carried out by Kittipongpatana and Kittipongpatana (2012) where the co-precipitation of</w:t>
      </w:r>
      <w:r>
        <w:rPr>
          <w:spacing w:val="-57"/>
        </w:rPr>
        <w:t> </w:t>
      </w:r>
      <w:r>
        <w:rPr/>
        <w:t>rice starch with colloidal silicon dioxide in the presence of NaOH had no 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sorption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excipient.</w:t>
      </w:r>
      <w:r>
        <w:rPr>
          <w:spacing w:val="1"/>
        </w:rPr>
        <w:t> </w:t>
      </w:r>
      <w:r>
        <w:rPr/>
        <w:t>Similarly, the work of Daraghmeh </w:t>
      </w:r>
      <w:r>
        <w:rPr>
          <w:i/>
        </w:rPr>
        <w:t>et al </w:t>
      </w:r>
      <w:r>
        <w:rPr/>
        <w:t>(2015) confirms the superiority of amorphous</w:t>
      </w:r>
      <w:r>
        <w:rPr>
          <w:spacing w:val="1"/>
        </w:rPr>
        <w:t> </w:t>
      </w:r>
      <w:r>
        <w:rPr/>
        <w:t>materials over crystalline substances in the degree of moisture absorption.</w:t>
      </w:r>
      <w:r>
        <w:rPr>
          <w:spacing w:val="1"/>
        </w:rPr>
        <w:t> </w:t>
      </w:r>
      <w:r>
        <w:rPr/>
        <w:t>Starch has</w:t>
      </w:r>
      <w:r>
        <w:rPr>
          <w:spacing w:val="1"/>
        </w:rPr>
        <w:t> </w:t>
      </w:r>
      <w:r>
        <w:rPr/>
        <w:t>been categorized as a hygroscopic material (Assen </w:t>
      </w:r>
      <w:r>
        <w:rPr>
          <w:i/>
        </w:rPr>
        <w:t>et al</w:t>
      </w:r>
      <w:r>
        <w:rPr/>
        <w:t>., 2011; Murikipudi </w:t>
      </w:r>
      <w:r>
        <w:rPr>
          <w:i/>
        </w:rPr>
        <w:t>et al.</w:t>
      </w:r>
      <w:r>
        <w:rPr/>
        <w:t>, 2011)</w:t>
      </w:r>
      <w:r>
        <w:rPr>
          <w:spacing w:val="1"/>
        </w:rPr>
        <w:t> </w:t>
      </w:r>
      <w:r>
        <w:rPr/>
        <w:t>attributable</w:t>
      </w:r>
      <w:r>
        <w:rPr>
          <w:spacing w:val="49"/>
        </w:rPr>
        <w:t> </w:t>
      </w:r>
      <w:r>
        <w:rPr/>
        <w:t>to</w:t>
      </w:r>
      <w:r>
        <w:rPr>
          <w:spacing w:val="51"/>
        </w:rPr>
        <w:t> </w:t>
      </w:r>
      <w:r>
        <w:rPr/>
        <w:t>its</w:t>
      </w:r>
      <w:r>
        <w:rPr>
          <w:spacing w:val="50"/>
        </w:rPr>
        <w:t> </w:t>
      </w:r>
      <w:r>
        <w:rPr/>
        <w:t>amorphous</w:t>
      </w:r>
      <w:r>
        <w:rPr>
          <w:spacing w:val="50"/>
        </w:rPr>
        <w:t> </w:t>
      </w:r>
      <w:r>
        <w:rPr/>
        <w:t>nature.</w:t>
      </w:r>
      <w:r>
        <w:rPr>
          <w:spacing w:val="51"/>
        </w:rPr>
        <w:t> </w:t>
      </w:r>
      <w:r>
        <w:rPr/>
        <w:t>In</w:t>
      </w:r>
      <w:r>
        <w:rPr>
          <w:spacing w:val="50"/>
        </w:rPr>
        <w:t> </w:t>
      </w:r>
      <w:r>
        <w:rPr/>
        <w:t>contrast</w:t>
      </w:r>
      <w:r>
        <w:rPr>
          <w:spacing w:val="53"/>
        </w:rPr>
        <w:t> </w:t>
      </w:r>
      <w:r>
        <w:rPr/>
        <w:t>to</w:t>
      </w:r>
      <w:r>
        <w:rPr>
          <w:spacing w:val="50"/>
        </w:rPr>
        <w:t> </w:t>
      </w:r>
      <w:r>
        <w:rPr/>
        <w:t>crystalline</w:t>
      </w:r>
      <w:r>
        <w:rPr>
          <w:spacing w:val="49"/>
        </w:rPr>
        <w:t> </w:t>
      </w:r>
      <w:r>
        <w:rPr/>
        <w:t>materials,</w:t>
      </w:r>
      <w:r>
        <w:rPr>
          <w:spacing w:val="50"/>
        </w:rPr>
        <w:t> </w:t>
      </w:r>
      <w:r>
        <w:rPr/>
        <w:t>amorphous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4"/>
        <w:jc w:val="both"/>
      </w:pPr>
      <w:r>
        <w:rPr/>
        <w:t>materials have a high capacity for moisture sorption i.e. the amount of water sorbed is</w:t>
      </w:r>
      <w:r>
        <w:rPr>
          <w:spacing w:val="1"/>
        </w:rPr>
        <w:t> </w:t>
      </w:r>
      <w:r>
        <w:rPr/>
        <w:t>greater than what could be accounted for only by surface adsorption (Airaksinen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2005; Daraghmeh </w:t>
      </w:r>
      <w:r>
        <w:rPr>
          <w:i/>
        </w:rPr>
        <w:t>et al.</w:t>
      </w:r>
      <w:r>
        <w:rPr/>
        <w:t>, 2015). Water molecules have a strong affinity for starch due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abundance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hydroxyl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61"/>
        </w:rPr>
        <w:t> </w:t>
      </w:r>
      <w:r>
        <w:rPr/>
        <w:t>relatively</w:t>
      </w:r>
      <w:r>
        <w:rPr>
          <w:spacing w:val="61"/>
        </w:rPr>
        <w:t> </w:t>
      </w:r>
      <w:r>
        <w:rPr/>
        <w:t>open</w:t>
      </w:r>
      <w:r>
        <w:rPr>
          <w:spacing w:val="-57"/>
        </w:rPr>
        <w:t> </w:t>
      </w:r>
      <w:r>
        <w:rPr/>
        <w:t>conformation of the anhydroglucose</w:t>
      </w:r>
      <w:r>
        <w:rPr>
          <w:spacing w:val="1"/>
        </w:rPr>
        <w:t> </w:t>
      </w:r>
      <w:r>
        <w:rPr/>
        <w:t>units that comprise starch. The crystalline regions</w:t>
      </w:r>
      <w:r>
        <w:rPr>
          <w:spacing w:val="1"/>
        </w:rPr>
        <w:t> </w:t>
      </w:r>
      <w:r>
        <w:rPr/>
        <w:t>in starch granules are composed of partially crystalline amylopectin and the amorphous</w:t>
      </w:r>
      <w:r>
        <w:rPr>
          <w:spacing w:val="1"/>
        </w:rPr>
        <w:t> </w:t>
      </w:r>
      <w:r>
        <w:rPr/>
        <w:t>regions of linear amylose and branching points of amylopectin. At low RH, water is</w:t>
      </w:r>
      <w:r>
        <w:rPr>
          <w:spacing w:val="1"/>
        </w:rPr>
        <w:t> </w:t>
      </w:r>
      <w:r>
        <w:rPr/>
        <w:t>bound directly to the available anhydroglucose units throughout the starch grain. When</w:t>
      </w:r>
      <w:r>
        <w:rPr>
          <w:spacing w:val="1"/>
        </w:rPr>
        <w:t> </w:t>
      </w:r>
      <w:r>
        <w:rPr/>
        <w:t>RH is increased, polymer–polymer hydrogen bonds break down, which allows water to</w:t>
      </w:r>
      <w:r>
        <w:rPr>
          <w:spacing w:val="1"/>
        </w:rPr>
        <w:t> </w:t>
      </w:r>
      <w:r>
        <w:rPr/>
        <w:t>begin binding to other water molecules already bound to anhydroglucose units. As the</w:t>
      </w:r>
      <w:r>
        <w:rPr>
          <w:spacing w:val="1"/>
        </w:rPr>
        <w:t> </w:t>
      </w:r>
      <w:r>
        <w:rPr/>
        <w:t>moisture content increases, the sorbed moisture causes a subsequent swelling of the</w:t>
      </w:r>
      <w:r>
        <w:rPr>
          <w:spacing w:val="1"/>
        </w:rPr>
        <w:t> </w:t>
      </w:r>
      <w:r>
        <w:rPr/>
        <w:t>biopolymer, the degree of crystallinity decreases, and there is an increasing availability</w:t>
      </w:r>
      <w:r>
        <w:rPr>
          <w:spacing w:val="1"/>
        </w:rPr>
        <w:t> </w:t>
      </w:r>
      <w:r>
        <w:rPr/>
        <w:t>of the polar groups to the water molecules. Finally, at high RH, water directly bound to</w:t>
      </w:r>
      <w:r>
        <w:rPr>
          <w:spacing w:val="1"/>
        </w:rPr>
        <w:t> </w:t>
      </w:r>
      <w:r>
        <w:rPr/>
        <w:t>one hydroxyl group per anhydroglucose unit as well as water can also bind to other</w:t>
      </w:r>
      <w:r>
        <w:rPr>
          <w:spacing w:val="1"/>
        </w:rPr>
        <w:t> </w:t>
      </w:r>
      <w:r>
        <w:rPr/>
        <w:t>water molecules such as free water (Airaksinen </w:t>
      </w:r>
      <w:r>
        <w:rPr>
          <w:i/>
        </w:rPr>
        <w:t>et al.</w:t>
      </w:r>
      <w:r>
        <w:rPr/>
        <w:t>, 2005). In spite of the high degree</w:t>
      </w:r>
      <w:r>
        <w:rPr>
          <w:spacing w:val="1"/>
        </w:rPr>
        <w:t> </w:t>
      </w:r>
      <w:r>
        <w:rPr/>
        <w:t>of hygroscopicity</w:t>
      </w:r>
      <w:r>
        <w:rPr>
          <w:spacing w:val="-3"/>
        </w:rPr>
        <w:t> </w:t>
      </w:r>
      <w:r>
        <w:rPr/>
        <w:t>exhibited</w:t>
      </w:r>
      <w:r>
        <w:rPr>
          <w:spacing w:val="2"/>
        </w:rPr>
        <w:t> </w:t>
      </w:r>
      <w:r>
        <w:rPr/>
        <w:t>by</w:t>
      </w:r>
      <w:r>
        <w:rPr>
          <w:spacing w:val="-4"/>
        </w:rPr>
        <w:t> </w:t>
      </w:r>
      <w:r>
        <w:rPr/>
        <w:t>SGS,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adsorbed</w:t>
      </w:r>
      <w:r>
        <w:rPr>
          <w:spacing w:val="1"/>
        </w:rPr>
        <w:t> </w:t>
      </w:r>
      <w:r>
        <w:rPr/>
        <w:t>did</w:t>
      </w:r>
      <w:r>
        <w:rPr>
          <w:spacing w:val="2"/>
        </w:rPr>
        <w:t> </w:t>
      </w:r>
      <w:r>
        <w:rPr/>
        <w:t>not</w:t>
      </w:r>
      <w:r>
        <w:rPr>
          <w:spacing w:val="2"/>
        </w:rPr>
        <w:t> </w:t>
      </w:r>
      <w:r>
        <w:rPr/>
        <w:t>exceed</w:t>
      </w:r>
      <w:r>
        <w:rPr>
          <w:spacing w:val="1"/>
        </w:rPr>
        <w:t> </w:t>
      </w:r>
      <w:r>
        <w:rPr/>
        <w:t>14</w:t>
      </w:r>
    </w:p>
    <w:p>
      <w:pPr>
        <w:pStyle w:val="BodyText"/>
        <w:spacing w:line="480" w:lineRule="auto" w:before="2"/>
        <w:ind w:left="465" w:right="1254"/>
        <w:jc w:val="both"/>
      </w:pPr>
      <w:r>
        <w:rPr/>
        <w:t>% as specified by the USP/NF (2009). The stability of any formulation incorporating</w:t>
      </w:r>
      <w:r>
        <w:rPr>
          <w:spacing w:val="1"/>
        </w:rPr>
        <w:t> </w:t>
      </w:r>
      <w:r>
        <w:rPr/>
        <w:t>SGS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an</w:t>
      </w:r>
      <w:r>
        <w:rPr>
          <w:spacing w:val="14"/>
        </w:rPr>
        <w:t> </w:t>
      </w:r>
      <w:r>
        <w:rPr/>
        <w:t>excipient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not</w:t>
      </w:r>
      <w:r>
        <w:rPr>
          <w:spacing w:val="14"/>
        </w:rPr>
        <w:t> </w:t>
      </w:r>
      <w:r>
        <w:rPr/>
        <w:t>likely</w:t>
      </w:r>
      <w:r>
        <w:rPr>
          <w:spacing w:val="9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13"/>
        </w:rPr>
        <w:t> </w:t>
      </w:r>
      <w:r>
        <w:rPr/>
        <w:t>impaired</w:t>
      </w:r>
      <w:r>
        <w:rPr>
          <w:spacing w:val="16"/>
        </w:rPr>
        <w:t> </w:t>
      </w:r>
      <w:r>
        <w:rPr/>
        <w:t>as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result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presence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moisture</w:t>
      </w:r>
      <w:r>
        <w:rPr>
          <w:spacing w:val="-57"/>
        </w:rPr>
        <w:t> </w:t>
      </w:r>
      <w:r>
        <w:rPr/>
        <w:t>in its internal structure. The moisture sorption profile of SGS in comparison with PSV</w:t>
      </w:r>
      <w:r>
        <w:rPr>
          <w:spacing w:val="1"/>
        </w:rPr>
        <w:t> </w:t>
      </w:r>
      <w:r>
        <w:rPr/>
        <w:t>and SLC was ranked in the following order: SGS &gt; PSV &gt; SLC. SLC adsorbed the least</w:t>
      </w:r>
      <w:r>
        <w:rPr>
          <w:spacing w:val="1"/>
        </w:rPr>
        <w:t> </w:t>
      </w:r>
      <w:r>
        <w:rPr/>
        <w:t>amount of moisture due to the high content of lactose (85 %) which is crystalline in</w:t>
      </w:r>
      <w:r>
        <w:rPr>
          <w:spacing w:val="1"/>
        </w:rPr>
        <w:t> </w:t>
      </w:r>
      <w:r>
        <w:rPr/>
        <w:t>nature. A greater percentage of pharmaceutical polymer excipients, such as starches,</w:t>
      </w:r>
      <w:r>
        <w:rPr>
          <w:spacing w:val="1"/>
        </w:rPr>
        <w:t> </w:t>
      </w:r>
      <w:r>
        <w:rPr/>
        <w:t>cellulose derivatives, proteins, and synthetic hydrogels, are amorphous to a large extent</w:t>
      </w:r>
      <w:r>
        <w:rPr>
          <w:spacing w:val="1"/>
        </w:rPr>
        <w:t> </w:t>
      </w:r>
      <w:r>
        <w:rPr/>
        <w:t>(Chen,</w:t>
      </w:r>
      <w:r>
        <w:rPr>
          <w:spacing w:val="-1"/>
        </w:rPr>
        <w:t> </w:t>
      </w:r>
      <w:r>
        <w:rPr/>
        <w:t>2009)</w:t>
      </w:r>
      <w:r>
        <w:rPr>
          <w:spacing w:val="-1"/>
        </w:rPr>
        <w:t> </w:t>
      </w:r>
      <w:r>
        <w:rPr/>
        <w:t>accounting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observation seen in SGS and PSV.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numPr>
          <w:ilvl w:val="1"/>
          <w:numId w:val="23"/>
        </w:numPr>
        <w:tabs>
          <w:tab w:pos="1185" w:val="left" w:leader="none"/>
          <w:tab w:pos="1186" w:val="left" w:leader="none"/>
        </w:tabs>
        <w:spacing w:line="240" w:lineRule="auto" w:before="76" w:after="0"/>
        <w:ind w:left="1185" w:right="0" w:hanging="721"/>
        <w:jc w:val="left"/>
      </w:pPr>
      <w:bookmarkStart w:name="_TOC_250010" w:id="96"/>
      <w:r>
        <w:rPr/>
        <w:t>Physicomechanical</w:t>
      </w:r>
      <w:r>
        <w:rPr>
          <w:spacing w:val="-3"/>
        </w:rPr>
        <w:t> </w:t>
      </w:r>
      <w:bookmarkEnd w:id="96"/>
      <w:r>
        <w:rPr/>
        <w:t>Properties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4" w:firstLine="59"/>
        <w:jc w:val="both"/>
      </w:pPr>
      <w:r>
        <w:rPr/>
        <w:t>A comprehensive understanding of the material properties of an excipient is essential to</w:t>
      </w:r>
      <w:r>
        <w:rPr>
          <w:spacing w:val="-57"/>
        </w:rPr>
        <w:t> </w:t>
      </w:r>
      <w:r>
        <w:rPr/>
        <w:t>the successful development, scale-up, and manufacturing of solid dosage forms (Zhou</w:t>
      </w:r>
      <w:r>
        <w:rPr>
          <w:spacing w:val="1"/>
        </w:rPr>
        <w:t> </w:t>
      </w:r>
      <w:r>
        <w:rPr/>
        <w:t>and Qiu, 2010). The robustness of the direct compression is determined to a large extent</w:t>
      </w:r>
      <w:r>
        <w:rPr>
          <w:spacing w:val="-57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physicomechanical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process</w:t>
      </w:r>
      <w:r>
        <w:rPr>
          <w:spacing w:val="-57"/>
        </w:rPr>
        <w:t> </w:t>
      </w:r>
      <w:r>
        <w:rPr/>
        <w:t>(Nachaegari and Bansal, 2004; Saha and Shahiwala, 2009). Some of these properties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compressibility.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 tableting. Good flowability of powder is needed for content uniformity and</w:t>
      </w:r>
      <w:r>
        <w:rPr>
          <w:spacing w:val="-57"/>
        </w:rPr>
        <w:t> </w:t>
      </w:r>
      <w:r>
        <w:rPr/>
        <w:t>less weight variation in the final tablets. The powder blend of API and excipient(s) must</w:t>
      </w:r>
      <w:r>
        <w:rPr>
          <w:spacing w:val="-57"/>
        </w:rPr>
        <w:t> </w:t>
      </w:r>
      <w:r>
        <w:rPr/>
        <w:t>flow uniformly into the tablet dies to obtain a uniform product (Bodhmage, 2006). Flow</w:t>
      </w:r>
      <w:r>
        <w:rPr>
          <w:spacing w:val="-57"/>
        </w:rPr>
        <w:t> </w:t>
      </w:r>
      <w:r>
        <w:rPr/>
        <w:t>indicators like angle of repose, Carr‟s index (CI) and Hausner‟s ratio (HR) were used in</w:t>
      </w:r>
      <w:r>
        <w:rPr>
          <w:spacing w:val="-57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flow.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angle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repose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SGS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improvement in flow as compared to CS and SGS-PM. As a rule of the thumb, angle of</w:t>
      </w:r>
      <w:r>
        <w:rPr>
          <w:spacing w:val="1"/>
        </w:rPr>
        <w:t> </w:t>
      </w:r>
      <w:r>
        <w:rPr/>
        <w:t>repose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°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cohesiveness of the powder. There was a decrease in interparticulate friction due to</w:t>
      </w:r>
      <w:r>
        <w:rPr>
          <w:spacing w:val="1"/>
        </w:rPr>
        <w:t> </w:t>
      </w:r>
      <w:r>
        <w:rPr/>
        <w:t>increase in particle size as a result of co-processing which reduced the cohesiveness of</w:t>
      </w:r>
      <w:r>
        <w:rPr>
          <w:spacing w:val="1"/>
        </w:rPr>
        <w:t> </w:t>
      </w:r>
      <w:r>
        <w:rPr/>
        <w:t>the powder thereby enhancing the flow of SGS. Similar observations were seen with</w:t>
      </w:r>
      <w:r>
        <w:rPr>
          <w:spacing w:val="1"/>
        </w:rPr>
        <w:t> </w:t>
      </w:r>
      <w:r>
        <w:rPr/>
        <w:t>PSV and SLC. The spherical shaped particles of SGS may also have contributed to its</w:t>
      </w:r>
      <w:r>
        <w:rPr>
          <w:spacing w:val="1"/>
        </w:rPr>
        <w:t> </w:t>
      </w:r>
      <w:r>
        <w:rPr/>
        <w:t>enhanced flow due to a reduction in the number of contact points between particles.</w:t>
      </w:r>
      <w:r>
        <w:rPr>
          <w:spacing w:val="1"/>
        </w:rPr>
        <w:t> </w:t>
      </w:r>
      <w:r>
        <w:rPr/>
        <w:t>Perfectly spherical particles have the least possible number of contacts and are usually</w:t>
      </w:r>
      <w:r>
        <w:rPr>
          <w:spacing w:val="1"/>
        </w:rPr>
        <w:t> </w:t>
      </w:r>
      <w:r>
        <w:rPr/>
        <w:t>the most</w:t>
      </w:r>
      <w:r>
        <w:rPr>
          <w:spacing w:val="1"/>
        </w:rPr>
        <w:t> </w:t>
      </w:r>
      <w:r>
        <w:rPr/>
        <w:t>readily flowable</w:t>
      </w:r>
      <w:r>
        <w:rPr>
          <w:spacing w:val="1"/>
        </w:rPr>
        <w:t> </w:t>
      </w:r>
      <w:r>
        <w:rPr/>
        <w:t>(Bodhmage,</w:t>
      </w:r>
      <w:r>
        <w:rPr>
          <w:spacing w:val="1"/>
        </w:rPr>
        <w:t> </w:t>
      </w:r>
      <w:r>
        <w:rPr/>
        <w:t>2006;</w:t>
      </w:r>
      <w:r>
        <w:rPr>
          <w:spacing w:val="1"/>
        </w:rPr>
        <w:t> </w:t>
      </w:r>
      <w:r>
        <w:rPr/>
        <w:t>Zhou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Qiu,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processing was found to improve the flow of powder by lowering the angle of repose</w:t>
      </w:r>
      <w:r>
        <w:rPr>
          <w:spacing w:val="1"/>
        </w:rPr>
        <w:t> </w:t>
      </w:r>
      <w:r>
        <w:rPr/>
        <w:t>(Kittipongpatana and Kittipongpatana, 2012; Adeoye and Alebiowu, 2014a; Daraghmeh</w:t>
      </w:r>
      <w:r>
        <w:rPr>
          <w:spacing w:val="-57"/>
        </w:rPr>
        <w:t> </w:t>
      </w:r>
      <w:r>
        <w:rPr>
          <w:i/>
        </w:rPr>
        <w:t>et al.</w:t>
      </w:r>
      <w:r>
        <w:rPr/>
        <w:t>, 2015). Flowability issues are generally attributed to the cohesive nature of fine</w:t>
      </w:r>
      <w:r>
        <w:rPr>
          <w:spacing w:val="1"/>
        </w:rPr>
        <w:t> </w:t>
      </w:r>
      <w:r>
        <w:rPr/>
        <w:t>powders</w:t>
      </w:r>
      <w:r>
        <w:rPr>
          <w:spacing w:val="12"/>
        </w:rPr>
        <w:t> </w:t>
      </w:r>
      <w:r>
        <w:rPr/>
        <w:t>or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mechanical</w:t>
      </w:r>
      <w:r>
        <w:rPr>
          <w:spacing w:val="14"/>
        </w:rPr>
        <w:t> </w:t>
      </w:r>
      <w:r>
        <w:rPr/>
        <w:t>interlocking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powders</w:t>
      </w:r>
      <w:r>
        <w:rPr>
          <w:spacing w:val="13"/>
        </w:rPr>
        <w:t> </w:t>
      </w:r>
      <w:r>
        <w:rPr/>
        <w:t>with</w:t>
      </w:r>
      <w:r>
        <w:rPr>
          <w:spacing w:val="14"/>
        </w:rPr>
        <w:t> </w:t>
      </w:r>
      <w:r>
        <w:rPr/>
        <w:t>irregular</w:t>
      </w:r>
      <w:r>
        <w:rPr>
          <w:spacing w:val="13"/>
        </w:rPr>
        <w:t> </w:t>
      </w:r>
      <w:r>
        <w:rPr/>
        <w:t>shapes.</w:t>
      </w:r>
      <w:r>
        <w:rPr>
          <w:spacing w:val="29"/>
        </w:rPr>
        <w:t> </w:t>
      </w:r>
      <w:r>
        <w:rPr/>
        <w:t>The</w:t>
      </w:r>
      <w:r>
        <w:rPr>
          <w:spacing w:val="13"/>
        </w:rPr>
        <w:t> </w:t>
      </w:r>
      <w:r>
        <w:rPr/>
        <w:t>flow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0"/>
        <w:jc w:val="both"/>
      </w:pPr>
      <w:r>
        <w:rPr/>
        <w:t>indices of HR and CI (Table 4.9) also revealed an improvement in the flow properties of</w:t>
      </w:r>
      <w:r>
        <w:rPr>
          <w:spacing w:val="-57"/>
        </w:rPr>
        <w:t> </w:t>
      </w:r>
      <w:r>
        <w:rPr/>
        <w:t>SGS as compared to CS and SGS-PM. Carr‟s index (CI) is a measure of powder bridge</w:t>
      </w:r>
      <w:r>
        <w:rPr>
          <w:spacing w:val="1"/>
        </w:rPr>
        <w:t> </w:t>
      </w:r>
      <w:r>
        <w:rPr/>
        <w:t>strength and stability, and Hausner‟s ratio (HR) is a measure of the interparticulate</w:t>
      </w:r>
      <w:r>
        <w:rPr>
          <w:spacing w:val="1"/>
        </w:rPr>
        <w:t> </w:t>
      </w:r>
      <w:r>
        <w:rPr/>
        <w:t>friction and consolidation (Kilicarslan </w:t>
      </w:r>
      <w:r>
        <w:rPr>
          <w:i/>
        </w:rPr>
        <w:t>et al.</w:t>
      </w:r>
      <w:r>
        <w:rPr/>
        <w:t>, 2009). Generally, lower values of these</w:t>
      </w:r>
      <w:r>
        <w:rPr>
          <w:spacing w:val="1"/>
        </w:rPr>
        <w:t> </w:t>
      </w:r>
      <w:r>
        <w:rPr/>
        <w:t>parameters are indicative of excellent flow. The true density gives an insight into the</w:t>
      </w:r>
      <w:r>
        <w:rPr>
          <w:spacing w:val="1"/>
        </w:rPr>
        <w:t> </w:t>
      </w:r>
      <w:r>
        <w:rPr/>
        <w:t>packing behaviour of the powder in tableting conditions and higher values have been</w:t>
      </w:r>
      <w:r>
        <w:rPr>
          <w:spacing w:val="1"/>
        </w:rPr>
        <w:t> </w:t>
      </w:r>
      <w:r>
        <w:rPr/>
        <w:t>associated with crystalline materials (Camargo, 2011; Tuomela </w:t>
      </w:r>
      <w:r>
        <w:rPr>
          <w:i/>
        </w:rPr>
        <w:t>et al.</w:t>
      </w:r>
      <w:r>
        <w:rPr/>
        <w:t>, 2015). According</w:t>
      </w:r>
      <w:r>
        <w:rPr>
          <w:spacing w:val="1"/>
        </w:rPr>
        <w:t> </w:t>
      </w:r>
      <w:r>
        <w:rPr/>
        <w:t>to Khomane </w:t>
      </w:r>
      <w:r>
        <w:rPr>
          <w:i/>
        </w:rPr>
        <w:t>et al </w:t>
      </w:r>
      <w:r>
        <w:rPr/>
        <w:t>(2013), higher true density was as a result of closer molecular packing</w:t>
      </w:r>
      <w:r>
        <w:rPr>
          <w:spacing w:val="-57"/>
        </w:rPr>
        <w:t> </w:t>
      </w:r>
      <w:r>
        <w:rPr/>
        <w:t>and this translates to greater bonding strength observed in tableting. Due to the loose</w:t>
      </w:r>
      <w:r>
        <w:rPr>
          <w:spacing w:val="1"/>
        </w:rPr>
        <w:t> </w:t>
      </w:r>
      <w:r>
        <w:rPr/>
        <w:t>packing of chains within the molecular structure of SGS, a lower value of true density</w:t>
      </w:r>
      <w:r>
        <w:rPr>
          <w:spacing w:val="1"/>
        </w:rPr>
        <w:t> </w:t>
      </w:r>
      <w:r>
        <w:rPr/>
        <w:t>was obtained in comparison to PSV and SLC. The difference observed in the true</w:t>
      </w:r>
      <w:r>
        <w:rPr>
          <w:spacing w:val="1"/>
        </w:rPr>
        <w:t> </w:t>
      </w:r>
      <w:r>
        <w:rPr/>
        <w:t>density values of SGS and CS has been attributed to the deposition of colloidal silicon</w:t>
      </w:r>
      <w:r>
        <w:rPr>
          <w:spacing w:val="1"/>
        </w:rPr>
        <w:t> </w:t>
      </w:r>
      <w:r>
        <w:rPr/>
        <w:t>dioxide in the particle structure of SGS which made the material much lighter than the</w:t>
      </w:r>
      <w:r>
        <w:rPr>
          <w:spacing w:val="1"/>
        </w:rPr>
        <w:t> </w:t>
      </w:r>
      <w:r>
        <w:rPr/>
        <w:t>parent CS</w:t>
      </w:r>
      <w:r>
        <w:rPr>
          <w:spacing w:val="1"/>
        </w:rPr>
        <w:t> </w:t>
      </w:r>
      <w:r>
        <w:rPr/>
        <w:t>(Camargo, 2011). The obtained values</w:t>
      </w:r>
      <w:r>
        <w:rPr>
          <w:spacing w:val="60"/>
        </w:rPr>
        <w:t> </w:t>
      </w:r>
      <w:r>
        <w:rPr/>
        <w:t>of true density were consistent 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values reported (Klevan, 2011).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numPr>
          <w:ilvl w:val="1"/>
          <w:numId w:val="23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bookmarkStart w:name="_TOC_250009" w:id="97"/>
      <w:r>
        <w:rPr/>
        <w:t>Compaction</w:t>
      </w:r>
      <w:r>
        <w:rPr>
          <w:spacing w:val="-1"/>
        </w:rPr>
        <w:t> </w:t>
      </w:r>
      <w:bookmarkEnd w:id="97"/>
      <w:r>
        <w:rPr/>
        <w:t>Studies</w:t>
      </w:r>
    </w:p>
    <w:p>
      <w:pPr>
        <w:pStyle w:val="BodyText"/>
        <w:rPr>
          <w:b/>
          <w:sz w:val="34"/>
        </w:rPr>
      </w:pPr>
    </w:p>
    <w:p>
      <w:pPr>
        <w:spacing w:line="480" w:lineRule="auto" w:before="0"/>
        <w:ind w:left="465" w:right="1252" w:firstLine="0"/>
        <w:jc w:val="both"/>
        <w:rPr>
          <w:sz w:val="23"/>
        </w:rPr>
      </w:pPr>
      <w:r>
        <w:rPr>
          <w:sz w:val="24"/>
        </w:rPr>
        <w:t>Powder compaction is the process of significant powder consolidation under applied</w:t>
      </w:r>
      <w:r>
        <w:rPr>
          <w:spacing w:val="1"/>
          <w:sz w:val="24"/>
        </w:rPr>
        <w:t> </w:t>
      </w:r>
      <w:r>
        <w:rPr>
          <w:sz w:val="24"/>
        </w:rPr>
        <w:t>pressure, leading to sufficient bonding and formation of tablets. Under the influence of</w:t>
      </w:r>
      <w:r>
        <w:rPr>
          <w:spacing w:val="1"/>
          <w:sz w:val="24"/>
        </w:rPr>
        <w:t> </w:t>
      </w:r>
      <w:r>
        <w:rPr>
          <w:sz w:val="24"/>
        </w:rPr>
        <w:t>applied</w:t>
      </w:r>
      <w:r>
        <w:rPr>
          <w:spacing w:val="1"/>
          <w:sz w:val="24"/>
        </w:rPr>
        <w:t> </w:t>
      </w:r>
      <w:r>
        <w:rPr>
          <w:sz w:val="24"/>
        </w:rPr>
        <w:t>pressure,</w:t>
      </w:r>
      <w:r>
        <w:rPr>
          <w:spacing w:val="1"/>
          <w:sz w:val="24"/>
        </w:rPr>
        <w:t> </w:t>
      </w:r>
      <w:r>
        <w:rPr>
          <w:sz w:val="24"/>
        </w:rPr>
        <w:t>powders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either</w:t>
      </w:r>
      <w:r>
        <w:rPr>
          <w:spacing w:val="1"/>
          <w:sz w:val="24"/>
        </w:rPr>
        <w:t> </w:t>
      </w:r>
      <w:r>
        <w:rPr>
          <w:sz w:val="24"/>
        </w:rPr>
        <w:t>consolidate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plastic</w:t>
      </w:r>
      <w:r>
        <w:rPr>
          <w:spacing w:val="1"/>
          <w:sz w:val="24"/>
        </w:rPr>
        <w:t> </w:t>
      </w:r>
      <w:r>
        <w:rPr>
          <w:sz w:val="24"/>
        </w:rPr>
        <w:t>deformation,</w:t>
      </w:r>
      <w:r>
        <w:rPr>
          <w:spacing w:val="1"/>
          <w:sz w:val="24"/>
        </w:rPr>
        <w:t> </w:t>
      </w:r>
      <w:r>
        <w:rPr>
          <w:sz w:val="24"/>
        </w:rPr>
        <w:t>elastic</w:t>
      </w:r>
      <w:r>
        <w:rPr>
          <w:spacing w:val="1"/>
          <w:sz w:val="24"/>
        </w:rPr>
        <w:t> </w:t>
      </w:r>
      <w:r>
        <w:rPr>
          <w:sz w:val="24"/>
        </w:rPr>
        <w:t>deformation or by fragmentation of particles (Joiris </w:t>
      </w:r>
      <w:r>
        <w:rPr>
          <w:i/>
          <w:sz w:val="24"/>
        </w:rPr>
        <w:t>et al</w:t>
      </w:r>
      <w:r>
        <w:rPr>
          <w:sz w:val="24"/>
        </w:rPr>
        <w:t>., 1998; Zhou and Qiu, 2010;</w:t>
      </w:r>
      <w:r>
        <w:rPr>
          <w:spacing w:val="1"/>
          <w:sz w:val="24"/>
        </w:rPr>
        <w:t> </w:t>
      </w:r>
      <w:r>
        <w:rPr>
          <w:sz w:val="24"/>
        </w:rPr>
        <w:t>Mahmoodi, 2012). F</w:t>
      </w:r>
      <w:r>
        <w:rPr>
          <w:sz w:val="23"/>
        </w:rPr>
        <w:t>ragmentation increases the number of surfaces available for bonding,</w:t>
      </w:r>
      <w:r>
        <w:rPr>
          <w:spacing w:val="1"/>
          <w:sz w:val="23"/>
        </w:rPr>
        <w:t> </w:t>
      </w:r>
      <w:r>
        <w:rPr>
          <w:sz w:val="23"/>
        </w:rPr>
        <w:t>while</w:t>
      </w:r>
      <w:r>
        <w:rPr>
          <w:spacing w:val="1"/>
          <w:sz w:val="23"/>
        </w:rPr>
        <w:t> </w:t>
      </w:r>
      <w:r>
        <w:rPr>
          <w:sz w:val="23"/>
        </w:rPr>
        <w:t>plastic</w:t>
      </w:r>
      <w:r>
        <w:rPr>
          <w:spacing w:val="1"/>
          <w:sz w:val="23"/>
        </w:rPr>
        <w:t> </w:t>
      </w:r>
      <w:r>
        <w:rPr>
          <w:sz w:val="23"/>
        </w:rPr>
        <w:t>deformation</w:t>
      </w:r>
      <w:r>
        <w:rPr>
          <w:spacing w:val="1"/>
          <w:sz w:val="23"/>
        </w:rPr>
        <w:t> </w:t>
      </w:r>
      <w:r>
        <w:rPr>
          <w:sz w:val="23"/>
        </w:rPr>
        <w:t>brings</w:t>
      </w:r>
      <w:r>
        <w:rPr>
          <w:spacing w:val="1"/>
          <w:sz w:val="23"/>
        </w:rPr>
        <w:t> </w:t>
      </w:r>
      <w:r>
        <w:rPr>
          <w:sz w:val="23"/>
        </w:rPr>
        <w:t>particles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close</w:t>
      </w:r>
      <w:r>
        <w:rPr>
          <w:spacing w:val="1"/>
          <w:sz w:val="23"/>
        </w:rPr>
        <w:t> </w:t>
      </w:r>
      <w:r>
        <w:rPr>
          <w:sz w:val="23"/>
        </w:rPr>
        <w:t>proximity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each</w:t>
      </w:r>
      <w:r>
        <w:rPr>
          <w:spacing w:val="1"/>
          <w:sz w:val="23"/>
        </w:rPr>
        <w:t> </w:t>
      </w:r>
      <w:r>
        <w:rPr>
          <w:sz w:val="23"/>
        </w:rPr>
        <w:t>other</w:t>
      </w:r>
      <w:r>
        <w:rPr>
          <w:spacing w:val="57"/>
          <w:sz w:val="23"/>
        </w:rPr>
        <w:t> </w:t>
      </w:r>
      <w:r>
        <w:rPr>
          <w:sz w:val="23"/>
        </w:rPr>
        <w:t>thereby</w:t>
      </w:r>
      <w:r>
        <w:rPr>
          <w:spacing w:val="1"/>
          <w:sz w:val="23"/>
        </w:rPr>
        <w:t> </w:t>
      </w:r>
      <w:r>
        <w:rPr>
          <w:sz w:val="23"/>
        </w:rPr>
        <w:t>increasing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area</w:t>
      </w:r>
      <w:r>
        <w:rPr>
          <w:spacing w:val="1"/>
          <w:sz w:val="23"/>
        </w:rPr>
        <w:t> </w:t>
      </w:r>
      <w:r>
        <w:rPr>
          <w:sz w:val="23"/>
        </w:rPr>
        <w:t>available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bonding.</w:t>
      </w:r>
      <w:r>
        <w:rPr>
          <w:spacing w:val="1"/>
          <w:sz w:val="23"/>
        </w:rPr>
        <w:t> </w:t>
      </w:r>
      <w:r>
        <w:rPr>
          <w:sz w:val="23"/>
        </w:rPr>
        <w:t>Hence,</w:t>
      </w:r>
      <w:r>
        <w:rPr>
          <w:spacing w:val="1"/>
          <w:sz w:val="23"/>
        </w:rPr>
        <w:t> </w:t>
      </w:r>
      <w:r>
        <w:rPr>
          <w:sz w:val="23"/>
        </w:rPr>
        <w:t>these</w:t>
      </w:r>
      <w:r>
        <w:rPr>
          <w:spacing w:val="1"/>
          <w:sz w:val="23"/>
        </w:rPr>
        <w:t> </w:t>
      </w:r>
      <w:r>
        <w:rPr>
          <w:sz w:val="23"/>
        </w:rPr>
        <w:t>two</w:t>
      </w:r>
      <w:r>
        <w:rPr>
          <w:spacing w:val="1"/>
          <w:sz w:val="23"/>
        </w:rPr>
        <w:t> </w:t>
      </w:r>
      <w:r>
        <w:rPr>
          <w:sz w:val="23"/>
        </w:rPr>
        <w:t>particle</w:t>
      </w:r>
      <w:r>
        <w:rPr>
          <w:spacing w:val="57"/>
          <w:sz w:val="23"/>
        </w:rPr>
        <w:t> </w:t>
      </w:r>
      <w:r>
        <w:rPr>
          <w:sz w:val="23"/>
        </w:rPr>
        <w:t>deformation</w:t>
      </w:r>
      <w:r>
        <w:rPr>
          <w:spacing w:val="1"/>
          <w:sz w:val="23"/>
        </w:rPr>
        <w:t> </w:t>
      </w:r>
      <w:r>
        <w:rPr>
          <w:sz w:val="23"/>
        </w:rPr>
        <w:t>mechanisms</w:t>
      </w:r>
      <w:r>
        <w:rPr>
          <w:spacing w:val="1"/>
          <w:sz w:val="23"/>
        </w:rPr>
        <w:t> </w:t>
      </w:r>
      <w:r>
        <w:rPr>
          <w:sz w:val="23"/>
        </w:rPr>
        <w:t>are</w:t>
      </w:r>
      <w:r>
        <w:rPr>
          <w:spacing w:val="1"/>
          <w:sz w:val="23"/>
        </w:rPr>
        <w:t> </w:t>
      </w:r>
      <w:r>
        <w:rPr>
          <w:sz w:val="23"/>
        </w:rPr>
        <w:t>bond</w:t>
      </w:r>
      <w:r>
        <w:rPr>
          <w:spacing w:val="1"/>
          <w:sz w:val="23"/>
        </w:rPr>
        <w:t> </w:t>
      </w:r>
      <w:r>
        <w:rPr>
          <w:sz w:val="23"/>
        </w:rPr>
        <w:t>producing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have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positive</w:t>
      </w:r>
      <w:r>
        <w:rPr>
          <w:spacing w:val="1"/>
          <w:sz w:val="23"/>
        </w:rPr>
        <w:t> </w:t>
      </w:r>
      <w:r>
        <w:rPr>
          <w:sz w:val="23"/>
        </w:rPr>
        <w:t>effect</w:t>
      </w:r>
      <w:r>
        <w:rPr>
          <w:spacing w:val="1"/>
          <w:sz w:val="23"/>
        </w:rPr>
        <w:t> </w:t>
      </w:r>
      <w:r>
        <w:rPr>
          <w:sz w:val="23"/>
        </w:rPr>
        <w:t>on</w:t>
      </w:r>
      <w:r>
        <w:rPr>
          <w:spacing w:val="1"/>
          <w:sz w:val="23"/>
        </w:rPr>
        <w:t> </w:t>
      </w:r>
      <w:r>
        <w:rPr>
          <w:sz w:val="23"/>
        </w:rPr>
        <w:t>tablet</w:t>
      </w:r>
      <w:r>
        <w:rPr>
          <w:spacing w:val="1"/>
          <w:sz w:val="23"/>
        </w:rPr>
        <w:t> </w:t>
      </w:r>
      <w:r>
        <w:rPr>
          <w:sz w:val="23"/>
        </w:rPr>
        <w:t>strength.</w:t>
      </w:r>
      <w:r>
        <w:rPr>
          <w:spacing w:val="1"/>
          <w:sz w:val="23"/>
        </w:rPr>
        <w:t> </w:t>
      </w:r>
      <w:r>
        <w:rPr>
          <w:sz w:val="23"/>
        </w:rPr>
        <w:t>Elastic</w:t>
      </w:r>
      <w:r>
        <w:rPr>
          <w:spacing w:val="-55"/>
          <w:sz w:val="23"/>
        </w:rPr>
        <w:t> </w:t>
      </w:r>
      <w:r>
        <w:rPr>
          <w:sz w:val="23"/>
        </w:rPr>
        <w:t>deformation</w:t>
      </w:r>
      <w:r>
        <w:rPr>
          <w:spacing w:val="12"/>
          <w:sz w:val="23"/>
        </w:rPr>
        <w:t> </w:t>
      </w:r>
      <w:r>
        <w:rPr>
          <w:sz w:val="23"/>
        </w:rPr>
        <w:t>can</w:t>
      </w:r>
      <w:r>
        <w:rPr>
          <w:spacing w:val="13"/>
          <w:sz w:val="23"/>
        </w:rPr>
        <w:t> </w:t>
      </w:r>
      <w:r>
        <w:rPr>
          <w:sz w:val="23"/>
        </w:rPr>
        <w:t>lead</w:t>
      </w:r>
      <w:r>
        <w:rPr>
          <w:spacing w:val="13"/>
          <w:sz w:val="23"/>
        </w:rPr>
        <w:t> </w:t>
      </w:r>
      <w:r>
        <w:rPr>
          <w:sz w:val="23"/>
        </w:rPr>
        <w:t>to</w:t>
      </w:r>
      <w:r>
        <w:rPr>
          <w:spacing w:val="13"/>
          <w:sz w:val="23"/>
        </w:rPr>
        <w:t> </w:t>
      </w:r>
      <w:r>
        <w:rPr>
          <w:sz w:val="23"/>
        </w:rPr>
        <w:t>bond</w:t>
      </w:r>
      <w:r>
        <w:rPr>
          <w:spacing w:val="12"/>
          <w:sz w:val="23"/>
        </w:rPr>
        <w:t> </w:t>
      </w:r>
      <w:r>
        <w:rPr>
          <w:sz w:val="23"/>
        </w:rPr>
        <w:t>separation</w:t>
      </w:r>
      <w:r>
        <w:rPr>
          <w:spacing w:val="13"/>
          <w:sz w:val="23"/>
        </w:rPr>
        <w:t> </w:t>
      </w:r>
      <w:r>
        <w:rPr>
          <w:sz w:val="23"/>
        </w:rPr>
        <w:t>after</w:t>
      </w:r>
      <w:r>
        <w:rPr>
          <w:spacing w:val="13"/>
          <w:sz w:val="23"/>
        </w:rPr>
        <w:t> </w:t>
      </w:r>
      <w:r>
        <w:rPr>
          <w:sz w:val="23"/>
        </w:rPr>
        <w:t>removal</w:t>
      </w:r>
      <w:r>
        <w:rPr>
          <w:spacing w:val="13"/>
          <w:sz w:val="23"/>
        </w:rPr>
        <w:t> </w:t>
      </w:r>
      <w:r>
        <w:rPr>
          <w:sz w:val="23"/>
        </w:rPr>
        <w:t>of</w:t>
      </w:r>
      <w:r>
        <w:rPr>
          <w:spacing w:val="12"/>
          <w:sz w:val="23"/>
        </w:rPr>
        <w:t> </w:t>
      </w:r>
      <w:r>
        <w:rPr>
          <w:sz w:val="23"/>
        </w:rPr>
        <w:t>the</w:t>
      </w:r>
      <w:r>
        <w:rPr>
          <w:spacing w:val="13"/>
          <w:sz w:val="23"/>
        </w:rPr>
        <w:t> </w:t>
      </w:r>
      <w:r>
        <w:rPr>
          <w:sz w:val="23"/>
        </w:rPr>
        <w:t>applied</w:t>
      </w:r>
      <w:r>
        <w:rPr>
          <w:spacing w:val="13"/>
          <w:sz w:val="23"/>
        </w:rPr>
        <w:t> </w:t>
      </w:r>
      <w:r>
        <w:rPr>
          <w:sz w:val="23"/>
        </w:rPr>
        <w:t>pressure</w:t>
      </w:r>
      <w:r>
        <w:rPr>
          <w:spacing w:val="13"/>
          <w:sz w:val="23"/>
        </w:rPr>
        <w:t> </w:t>
      </w:r>
      <w:r>
        <w:rPr>
          <w:sz w:val="23"/>
        </w:rPr>
        <w:t>as</w:t>
      </w:r>
      <w:r>
        <w:rPr>
          <w:spacing w:val="11"/>
          <w:sz w:val="23"/>
        </w:rPr>
        <w:t> </w:t>
      </w:r>
      <w:r>
        <w:rPr>
          <w:sz w:val="23"/>
        </w:rPr>
        <w:t>the</w:t>
      </w:r>
      <w:r>
        <w:rPr>
          <w:spacing w:val="13"/>
          <w:sz w:val="23"/>
        </w:rPr>
        <w:t> </w:t>
      </w:r>
      <w:r>
        <w:rPr>
          <w:sz w:val="23"/>
        </w:rPr>
        <w:t>tablet</w:t>
      </w:r>
    </w:p>
    <w:p>
      <w:pPr>
        <w:spacing w:after="0" w:line="480" w:lineRule="auto"/>
        <w:jc w:val="both"/>
        <w:rPr>
          <w:sz w:val="23"/>
        </w:rPr>
        <w:sectPr>
          <w:pgSz w:w="11910" w:h="16840"/>
          <w:pgMar w:header="0" w:footer="987" w:top="1320" w:bottom="1260" w:left="1520" w:right="160"/>
        </w:sectPr>
      </w:pPr>
    </w:p>
    <w:p>
      <w:pPr>
        <w:spacing w:line="480" w:lineRule="auto" w:before="74"/>
        <w:ind w:left="465" w:right="1250" w:firstLine="0"/>
        <w:jc w:val="both"/>
        <w:rPr>
          <w:sz w:val="24"/>
        </w:rPr>
      </w:pPr>
      <w:r>
        <w:rPr>
          <w:sz w:val="23"/>
        </w:rPr>
        <w:t>recovers in height (Klevan, 2011). With respect to mechanical properties, a combination of</w:t>
      </w:r>
      <w:r>
        <w:rPr>
          <w:spacing w:val="1"/>
          <w:sz w:val="23"/>
        </w:rPr>
        <w:t> </w:t>
      </w:r>
      <w:r>
        <w:rPr>
          <w:sz w:val="23"/>
        </w:rPr>
        <w:t>plastic deformation and brittle fracture is desirable and necessary because they are both</w:t>
      </w:r>
      <w:r>
        <w:rPr>
          <w:spacing w:val="1"/>
          <w:sz w:val="23"/>
        </w:rPr>
        <w:t> </w:t>
      </w:r>
      <w:r>
        <w:rPr>
          <w:sz w:val="23"/>
        </w:rPr>
        <w:t>irreversible and promote tableting (Egart </w:t>
      </w:r>
      <w:r>
        <w:rPr>
          <w:i/>
          <w:sz w:val="23"/>
        </w:rPr>
        <w:t>et al.</w:t>
      </w:r>
      <w:r>
        <w:rPr>
          <w:sz w:val="23"/>
        </w:rPr>
        <w:t>, 2014). The yield pressure, </w:t>
      </w:r>
      <w:r>
        <w:rPr>
          <w:i/>
          <w:sz w:val="23"/>
        </w:rPr>
        <w:t>P</w:t>
      </w:r>
      <w:r>
        <w:rPr>
          <w:i/>
          <w:sz w:val="23"/>
          <w:vertAlign w:val="subscript"/>
        </w:rPr>
        <w:t>Y</w:t>
      </w:r>
      <w:r>
        <w:rPr>
          <w:sz w:val="23"/>
          <w:vertAlign w:val="baseline"/>
        </w:rPr>
        <w:t>, as obtained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from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the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linear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portion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of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the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Heckel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plot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(Table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4.10)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is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an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index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of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plasticity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and</w:t>
      </w:r>
      <w:r>
        <w:rPr>
          <w:spacing w:val="1"/>
          <w:sz w:val="23"/>
          <w:vertAlign w:val="baseline"/>
        </w:rPr>
        <w:t> </w:t>
      </w:r>
      <w:r>
        <w:rPr>
          <w:sz w:val="24"/>
          <w:vertAlign w:val="baseline"/>
        </w:rPr>
        <w:t>represents the pressure at which the material begins to form a coherent compact by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apparent plastic deformation. </w:t>
      </w:r>
      <w:r>
        <w:rPr>
          <w:sz w:val="23"/>
          <w:vertAlign w:val="baseline"/>
        </w:rPr>
        <w:t>Higher values tending towards 200 MN/m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 are characteristic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of brittle materials while values ≤ 80 MN/m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 have been associated with plastic materials.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SGS deformed at a higher pressure compared to SGS-PM and this has been attributed to the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deposition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of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silicon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dioxidein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the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internal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structure.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Camargo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(2011)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observed</w:t>
      </w:r>
      <w:r>
        <w:rPr>
          <w:spacing w:val="1"/>
          <w:sz w:val="23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silicification could increase brittleness in the powder bed due to particle rearrangement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 deaggregation of fumed silica aggregates. The presence of gelatin in the particle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structure of cassava starch may also have contributed to the brittle behaviour of SGS as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gelatin is known to deform by brittle fracture under applied pressure. Based on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standards suggested by Roberts and Rowe (1987) for the mechanical classification 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pharmaceutical powders, SGS can be regarded as a brittle material. The </w:t>
      </w:r>
      <w:r>
        <w:rPr>
          <w:i/>
          <w:sz w:val="24"/>
          <w:vertAlign w:val="baseline"/>
        </w:rPr>
        <w:t>D</w:t>
      </w:r>
      <w:r>
        <w:rPr>
          <w:i/>
          <w:sz w:val="24"/>
          <w:vertAlign w:val="subscript"/>
        </w:rPr>
        <w:t>0</w:t>
      </w:r>
      <w:r>
        <w:rPr>
          <w:i/>
          <w:sz w:val="24"/>
          <w:vertAlign w:val="baseline"/>
        </w:rPr>
        <w:t> </w:t>
      </w:r>
      <w:r>
        <w:rPr>
          <w:sz w:val="24"/>
          <w:vertAlign w:val="baseline"/>
        </w:rPr>
        <w:t>values for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SGS and SGS-PM were comparable and this corresponds to the degree of densification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occurring due to slippage and particle rearrangement at the early stages of compression.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 total degree of densification occurring at low pressures represented by </w:t>
      </w:r>
      <w:r>
        <w:rPr>
          <w:i/>
          <w:sz w:val="24"/>
          <w:vertAlign w:val="baseline"/>
        </w:rPr>
        <w:t>D</w:t>
      </w:r>
      <w:r>
        <w:rPr>
          <w:i/>
          <w:sz w:val="24"/>
          <w:vertAlign w:val="subscript"/>
        </w:rPr>
        <w:t>A</w:t>
      </w:r>
      <w:r>
        <w:rPr>
          <w:i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higher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SGS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SGS-PM.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SGS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had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higher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tendency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fragmentation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evidenced by the </w:t>
      </w:r>
      <w:r>
        <w:rPr>
          <w:i/>
          <w:sz w:val="24"/>
          <w:vertAlign w:val="baseline"/>
        </w:rPr>
        <w:t>D</w:t>
      </w:r>
      <w:r>
        <w:rPr>
          <w:i/>
          <w:sz w:val="24"/>
          <w:vertAlign w:val="subscript"/>
        </w:rPr>
        <w:t>B</w:t>
      </w:r>
      <w:r>
        <w:rPr>
          <w:i/>
          <w:sz w:val="24"/>
          <w:vertAlign w:val="baseline"/>
        </w:rPr>
        <w:t> </w:t>
      </w:r>
      <w:r>
        <w:rPr>
          <w:sz w:val="24"/>
          <w:vertAlign w:val="baseline"/>
        </w:rPr>
        <w:t>parameter which was higher than that of SGS-PM. These observed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Heckel parameters may be due to the contribution of silicification in modifying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surface properties of SGS (Camargo, 2011). Heckel analysis was originally developed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metals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but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later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extended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pharmaceutical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powders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(Alderborn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Nyström,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1996). Hence, a lot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 caution must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be taken when using this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equation to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characterize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densification behaviour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powders with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several deformation mechanisms.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1"/>
        <w:jc w:val="both"/>
      </w:pPr>
      <w:r>
        <w:rPr/>
        <w:t>Due to the non-log-linearity encountered with Heckel analysis, Kawakita equation was</w:t>
      </w:r>
      <w:r>
        <w:rPr>
          <w:spacing w:val="1"/>
        </w:rPr>
        <w:t> </w:t>
      </w:r>
      <w:r>
        <w:rPr/>
        <w:t>adopted to linearize the compression data. The Kawakita parameters </w:t>
      </w:r>
      <w:r>
        <w:rPr>
          <w:i/>
        </w:rPr>
        <w:t>a</w:t>
      </w:r>
      <w:r>
        <w:rPr/>
        <w:t>, </w:t>
      </w:r>
      <w:r>
        <w:rPr>
          <w:i/>
        </w:rPr>
        <w:t>b</w:t>
      </w:r>
      <w:r>
        <w:rPr/>
        <w:t>, </w:t>
      </w:r>
      <w:r>
        <w:rPr>
          <w:i/>
        </w:rPr>
        <w:t>ab</w:t>
      </w:r>
      <w:r>
        <w:rPr/>
        <w:t>, and </w:t>
      </w:r>
      <w:r>
        <w:rPr>
          <w:i/>
        </w:rPr>
        <w:t>1/b</w:t>
      </w:r>
      <w:r>
        <w:rPr>
          <w:i/>
          <w:spacing w:val="1"/>
        </w:rPr>
        <w:t> </w:t>
      </w:r>
      <w:r>
        <w:rPr/>
        <w:t>were calculated from the intercept and slope of the plot as seen in Table 4.10. The</w:t>
      </w:r>
      <w:r>
        <w:rPr>
          <w:spacing w:val="1"/>
        </w:rPr>
        <w:t> </w:t>
      </w:r>
      <w:r>
        <w:rPr/>
        <w:t>parameter, </w:t>
      </w:r>
      <w:r>
        <w:rPr>
          <w:i/>
        </w:rPr>
        <w:t>a</w:t>
      </w:r>
      <w:r>
        <w:rPr/>
        <w:t>, which represents the compressibility, was higher for SGS than SGS-PM</w:t>
      </w:r>
      <w:r>
        <w:rPr>
          <w:spacing w:val="1"/>
        </w:rPr>
        <w:t> </w:t>
      </w:r>
      <w:r>
        <w:rPr/>
        <w:t>indicating that co-processing of cassava starch with the other excipients improved its</w:t>
      </w:r>
      <w:r>
        <w:rPr>
          <w:spacing w:val="1"/>
        </w:rPr>
        <w:t> </w:t>
      </w:r>
      <w:r>
        <w:rPr/>
        <w:t>compressibility. This can be attributed to an increased tendency for volume reduction</w:t>
      </w:r>
      <w:r>
        <w:rPr>
          <w:spacing w:val="1"/>
        </w:rPr>
        <w:t> </w:t>
      </w:r>
      <w:r>
        <w:rPr/>
        <w:t>under applied pressure corresponding to a reduction in porosity due to an alteration in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excipient.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contributed to the improved compressibility by ensuring a more rapid densification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bed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compression.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study</w:t>
      </w:r>
      <w:r>
        <w:rPr>
          <w:spacing w:val="1"/>
        </w:rPr>
        <w:t> </w:t>
      </w:r>
      <w:r>
        <w:rPr/>
        <w:t>conducted by Daraghmeh </w:t>
      </w:r>
      <w:r>
        <w:rPr>
          <w:i/>
        </w:rPr>
        <w:t>et al </w:t>
      </w:r>
      <w:r>
        <w:rPr/>
        <w:t>(2010) where the co-processing of chitin with mannitol</w:t>
      </w:r>
      <w:r>
        <w:rPr>
          <w:spacing w:val="1"/>
        </w:rPr>
        <w:t> </w:t>
      </w:r>
      <w:r>
        <w:rPr/>
        <w:t>improved the compressibility. The parameter, </w:t>
      </w:r>
      <w:r>
        <w:rPr>
          <w:i/>
        </w:rPr>
        <w:t>1/b</w:t>
      </w:r>
      <w:r>
        <w:rPr/>
        <w:t>, is an inverse measure of the 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deformation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defines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pressure required to reduce the powder bed by 50 %. SGS demonstrated a more rapid</w:t>
      </w:r>
      <w:r>
        <w:rPr>
          <w:spacing w:val="1"/>
        </w:rPr>
        <w:t> </w:t>
      </w:r>
      <w:r>
        <w:rPr/>
        <w:t>onset of plastic deformation compared to its physical mixture and is probably due to the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interparticulate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opposes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promoting the ease of compression (Camargo, 2011). The relatively high value of </w:t>
      </w:r>
      <w:r>
        <w:rPr>
          <w:i/>
        </w:rPr>
        <w:t>ab </w:t>
      </w:r>
      <w:r>
        <w:rPr/>
        <w:t>for</w:t>
      </w:r>
      <w:r>
        <w:rPr>
          <w:spacing w:val="-57"/>
        </w:rPr>
        <w:t> </w:t>
      </w:r>
      <w:r>
        <w:rPr/>
        <w:t>SGS, which is a measure of the extent of particle rearrangement, is an indication of the</w:t>
      </w:r>
      <w:r>
        <w:rPr>
          <w:spacing w:val="1"/>
        </w:rPr>
        <w:t> </w:t>
      </w:r>
      <w:r>
        <w:rPr/>
        <w:t>high degree of packing occurring at the onset of compression. This implies that co-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micro-irregularities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facilitates</w:t>
      </w:r>
      <w:r>
        <w:rPr>
          <w:spacing w:val="-57"/>
        </w:rPr>
        <w:t> </w:t>
      </w:r>
      <w:r>
        <w:rPr/>
        <w:t>particle rearrangement during the densification process of compaction (Daraghmeh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2010). As a result, co-processing of cassava starch with gelatin and colloidal silicon</w:t>
      </w:r>
      <w:r>
        <w:rPr>
          <w:spacing w:val="1"/>
        </w:rPr>
        <w:t> </w:t>
      </w:r>
      <w:r>
        <w:rPr/>
        <w:t>dioxide has positively improved the compression characteristics of starch as shown by</w:t>
      </w:r>
      <w:r>
        <w:rPr>
          <w:spacing w:val="1"/>
        </w:rPr>
        <w:t> </w:t>
      </w:r>
      <w:r>
        <w:rPr/>
        <w:t>Kawakita analysis.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1"/>
        <w:jc w:val="both"/>
      </w:pPr>
      <w:r>
        <w:rPr/>
        <w:t>The transformation of powders into tablets by compaction involves a two-stage process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consolidation.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consolidation</w:t>
      </w:r>
      <w:r>
        <w:rPr>
          <w:spacing w:val="1"/>
        </w:rPr>
        <w:t> </w:t>
      </w:r>
      <w:r>
        <w:rPr/>
        <w:t>stage,</w:t>
      </w:r>
      <w:r>
        <w:rPr>
          <w:spacing w:val="60"/>
        </w:rPr>
        <w:t> </w:t>
      </w:r>
      <w:r>
        <w:rPr/>
        <w:t>interparticulate</w:t>
      </w:r>
      <w:r>
        <w:rPr>
          <w:spacing w:val="1"/>
        </w:rPr>
        <w:t> </w:t>
      </w:r>
      <w:r>
        <w:rPr/>
        <w:t>bond formation takes place. The degree of interparticulate bonding (bonding area) and</w:t>
      </w:r>
      <w:r>
        <w:rPr>
          <w:spacing w:val="1"/>
        </w:rPr>
        <w:t> </w:t>
      </w:r>
      <w:r>
        <w:rPr/>
        <w:t>bond strength (bonding strength per unit area) determines the final quality of the tablets.</w:t>
      </w:r>
      <w:r>
        <w:rPr>
          <w:spacing w:val="-57"/>
        </w:rPr>
        <w:t> </w:t>
      </w:r>
      <w:r>
        <w:rPr/>
        <w:t>The extent of bonding area can be obtained from the compressibility plots (porosity vs</w:t>
      </w:r>
      <w:r>
        <w:rPr>
          <w:spacing w:val="1"/>
        </w:rPr>
        <w:t> </w:t>
      </w:r>
      <w:r>
        <w:rPr/>
        <w:t>compression pressure), whereas the bonding strength per unit bonding area is obtained</w:t>
      </w:r>
      <w:r>
        <w:rPr>
          <w:spacing w:val="1"/>
        </w:rPr>
        <w:t> </w:t>
      </w:r>
      <w:r>
        <w:rPr/>
        <w:t>from the compactibility plot (porosity vs tensile strength). Collectively both parameters</w:t>
      </w:r>
      <w:r>
        <w:rPr>
          <w:spacing w:val="1"/>
        </w:rPr>
        <w:t> </w:t>
      </w:r>
      <w:r>
        <w:rPr/>
        <w:t>contribute to the quality of the tablets given by tabletability (Upadhyay </w:t>
      </w:r>
      <w:r>
        <w:rPr>
          <w:i/>
        </w:rPr>
        <w:t>et al.</w:t>
      </w:r>
      <w:r>
        <w:rPr/>
        <w:t>, 2013).</w:t>
      </w:r>
      <w:r>
        <w:rPr>
          <w:spacing w:val="1"/>
        </w:rPr>
        <w:t> </w:t>
      </w:r>
      <w:r>
        <w:rPr/>
        <w:t>Compressibility has been defined as the ability of the powder bed to undergo volume</w:t>
      </w:r>
      <w:r>
        <w:rPr>
          <w:spacing w:val="1"/>
        </w:rPr>
        <w:t> </w:t>
      </w:r>
      <w:r>
        <w:rPr/>
        <w:t>reduction under the given pressure and is represented by a plot of tablet porosity against</w:t>
      </w:r>
      <w:r>
        <w:rPr>
          <w:spacing w:val="1"/>
        </w:rPr>
        <w:t> </w:t>
      </w:r>
      <w:r>
        <w:rPr/>
        <w:t>applied pressure (Khomane </w:t>
      </w:r>
      <w:r>
        <w:rPr>
          <w:i/>
        </w:rPr>
        <w:t>et al</w:t>
      </w:r>
      <w:r>
        <w:rPr/>
        <w:t>., 2013). The lower the porosity at a given pressure, the</w:t>
      </w:r>
      <w:r>
        <w:rPr>
          <w:spacing w:val="1"/>
        </w:rPr>
        <w:t> </w:t>
      </w:r>
      <w:r>
        <w:rPr/>
        <w:t>higher is the compressibility. Higher compressibility implies greater bonding area of the</w:t>
      </w:r>
      <w:r>
        <w:rPr>
          <w:spacing w:val="-57"/>
        </w:rPr>
        <w:t> </w:t>
      </w:r>
      <w:r>
        <w:rPr/>
        <w:t>tablet. A decrease in porosity was seen with an increase in compaction pressure for SGS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SGS-PM.</w:t>
      </w:r>
      <w:r>
        <w:rPr>
          <w:spacing w:val="1"/>
        </w:rPr>
        <w:t> </w:t>
      </w:r>
      <w:r>
        <w:rPr/>
        <w:t>Compressibility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SGS</w:t>
      </w:r>
      <w:r>
        <w:rPr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SGS-PM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compaction pressures (Fig. 4.23). Mechanical properties and particulate properties are</w:t>
      </w:r>
      <w:r>
        <w:rPr>
          <w:spacing w:val="1"/>
        </w:rPr>
        <w:t> </w:t>
      </w:r>
      <w:r>
        <w:rPr/>
        <w:t>among other factors that have contributed to the compressibility of a material (Joiris </w:t>
      </w:r>
      <w:r>
        <w:rPr>
          <w:i/>
          <w:sz w:val="22"/>
        </w:rPr>
        <w:t>et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al.</w:t>
      </w:r>
      <w:r>
        <w:rPr/>
        <w:t>, 1998).</w:t>
      </w:r>
    </w:p>
    <w:p>
      <w:pPr>
        <w:pStyle w:val="BodyText"/>
        <w:spacing w:line="480" w:lineRule="auto" w:before="122"/>
        <w:ind w:left="465" w:right="1250"/>
        <w:jc w:val="both"/>
      </w:pPr>
      <w:r>
        <w:rPr/>
        <w:t>Compactibility is the ability of a material to produce tablets with sufficient tensile</w:t>
      </w:r>
      <w:r>
        <w:rPr>
          <w:spacing w:val="1"/>
        </w:rPr>
        <w:t> </w:t>
      </w:r>
      <w:r>
        <w:rPr/>
        <w:t>strength under the effect of densification and is represented by a plot of tablet tensile</w:t>
      </w:r>
      <w:r>
        <w:rPr>
          <w:spacing w:val="1"/>
        </w:rPr>
        <w:t> </w:t>
      </w:r>
      <w:r>
        <w:rPr/>
        <w:t>strength versus porosity (Egart </w:t>
      </w:r>
      <w:r>
        <w:rPr>
          <w:i/>
        </w:rPr>
        <w:t>et al.</w:t>
      </w:r>
      <w:r>
        <w:rPr/>
        <w:t>, 2014). The tensile strength of SGS and SGS-PM</w:t>
      </w:r>
      <w:r>
        <w:rPr>
          <w:spacing w:val="1"/>
        </w:rPr>
        <w:t> </w:t>
      </w:r>
      <w:r>
        <w:rPr/>
        <w:t>increased with a decrease in porosity and an increase in compaction pressure (Fig. 4.24).</w:t>
      </w:r>
      <w:r>
        <w:rPr>
          <w:spacing w:val="-57"/>
        </w:rPr>
        <w:t> </w:t>
      </w:r>
      <w:r>
        <w:rPr/>
        <w:t>SGS showed higher tensile strength, at a given porosity, indicating higher bonding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SGS-PM.</w:t>
      </w:r>
      <w:r>
        <w:rPr>
          <w:spacing w:val="1"/>
        </w:rPr>
        <w:t> </w:t>
      </w:r>
      <w:r>
        <w:rPr/>
        <w:t>Silicification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 in compactibility due to the modification of the particle surface roughness (</w:t>
      </w:r>
      <w:r>
        <w:rPr>
          <w:spacing w:val="1"/>
        </w:rPr>
        <w:t> </w:t>
      </w:r>
      <w:r>
        <w:rPr/>
        <w:t>Hamed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2010; Camargo, 2011).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3"/>
        <w:jc w:val="both"/>
      </w:pPr>
      <w:r>
        <w:rPr/>
        <w:t>Compactibility of pharmaceutical powders is mainly governed by the dominant bond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(intermolecular</w:t>
      </w:r>
      <w:r>
        <w:rPr>
          <w:spacing w:val="1"/>
        </w:rPr>
        <w:t> </w:t>
      </w:r>
      <w:r>
        <w:rPr/>
        <w:t>forces,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bridges,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interlocking)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surface area over which these bonds are active. Intermolecular forces constitute the</w:t>
      </w:r>
      <w:r>
        <w:rPr>
          <w:spacing w:val="1"/>
        </w:rPr>
        <w:t> </w:t>
      </w:r>
      <w:r>
        <w:rPr/>
        <w:t>dominant bond mechanism for pharmaceutical materials. These intermolecular forces</w:t>
      </w:r>
      <w:r>
        <w:rPr>
          <w:spacing w:val="1"/>
        </w:rPr>
        <w:t> </w:t>
      </w:r>
      <w:r>
        <w:rPr/>
        <w:t>(van</w:t>
      </w:r>
      <w:r>
        <w:rPr>
          <w:spacing w:val="1"/>
        </w:rPr>
        <w:t> </w:t>
      </w:r>
      <w:r>
        <w:rPr/>
        <w:t>der</w:t>
      </w:r>
      <w:r>
        <w:rPr>
          <w:spacing w:val="1"/>
        </w:rPr>
        <w:t> </w:t>
      </w:r>
      <w:r>
        <w:rPr/>
        <w:t>Waals</w:t>
      </w:r>
      <w:r>
        <w:rPr>
          <w:spacing w:val="1"/>
        </w:rPr>
        <w:t> </w:t>
      </w:r>
      <w:r>
        <w:rPr/>
        <w:t>force,</w:t>
      </w:r>
      <w:r>
        <w:rPr>
          <w:spacing w:val="1"/>
        </w:rPr>
        <w:t> </w:t>
      </w:r>
      <w:r>
        <w:rPr/>
        <w:t>electrostatic</w:t>
      </w:r>
      <w:r>
        <w:rPr>
          <w:spacing w:val="1"/>
        </w:rPr>
        <w:t> </w:t>
      </w:r>
      <w:r>
        <w:rPr/>
        <w:t>force,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bonds)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interactions, hence the surface area (more interactions can be formed) might have a</w:t>
      </w:r>
      <w:r>
        <w:rPr>
          <w:spacing w:val="1"/>
        </w:rPr>
        <w:t> </w:t>
      </w:r>
      <w:r>
        <w:rPr/>
        <w:t>significant effect on the mechanical strength of compacts (Klevan, 2011; Mahmoodi,</w:t>
      </w:r>
      <w:r>
        <w:rPr>
          <w:spacing w:val="1"/>
        </w:rPr>
        <w:t> </w:t>
      </w:r>
      <w:r>
        <w:rPr/>
        <w:t>2012).</w:t>
      </w:r>
    </w:p>
    <w:p>
      <w:pPr>
        <w:pStyle w:val="BodyText"/>
        <w:spacing w:line="480" w:lineRule="auto" w:before="121"/>
        <w:ind w:left="465" w:right="1252"/>
        <w:jc w:val="both"/>
      </w:pPr>
      <w:r>
        <w:rPr/>
        <w:t>Tabletability is the capacity of a powdered material to be transformed into a tablet of</w:t>
      </w:r>
      <w:r>
        <w:rPr>
          <w:spacing w:val="1"/>
        </w:rPr>
        <w:t> </w:t>
      </w:r>
      <w:r>
        <w:rPr/>
        <w:t>specified strength under the effectof compaction pressure and is represented by a plot of</w:t>
      </w:r>
      <w:r>
        <w:rPr>
          <w:spacing w:val="-57"/>
        </w:rPr>
        <w:t> </w:t>
      </w:r>
      <w:r>
        <w:rPr/>
        <w:t>tablet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pressure.</w:t>
      </w:r>
      <w:r>
        <w:rPr>
          <w:spacing w:val="1"/>
        </w:rPr>
        <w:t> </w:t>
      </w:r>
      <w:r>
        <w:rPr/>
        <w:t>Tabletability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SGS</w:t>
      </w:r>
      <w:r>
        <w:rPr>
          <w:spacing w:val="60"/>
        </w:rPr>
        <w:t> </w:t>
      </w:r>
      <w:r>
        <w:rPr/>
        <w:t>remained</w:t>
      </w:r>
      <w:r>
        <w:rPr>
          <w:spacing w:val="1"/>
        </w:rPr>
        <w:t> </w:t>
      </w:r>
      <w:r>
        <w:rPr/>
        <w:t>higher at all measured compaction pressures (Fig. 4.25) in comparison to SGS-PM with</w:t>
      </w:r>
      <w:r>
        <w:rPr>
          <w:spacing w:val="1"/>
        </w:rPr>
        <w:t> </w:t>
      </w:r>
      <w:r>
        <w:rPr/>
        <w:t>maximum tensile strength attained at 100 MPa. The concept of inter-particulate </w:t>
      </w:r>
      <w:r>
        <w:rPr>
          <w:i/>
        </w:rPr>
        <w:t>bonding</w:t>
      </w:r>
      <w:r>
        <w:rPr>
          <w:i/>
          <w:spacing w:val="-57"/>
        </w:rPr>
        <w:t> </w:t>
      </w:r>
      <w:r>
        <w:rPr>
          <w:i/>
        </w:rPr>
        <w:t>area </w:t>
      </w:r>
      <w:r>
        <w:rPr/>
        <w:t>and </w:t>
      </w:r>
      <w:r>
        <w:rPr>
          <w:i/>
        </w:rPr>
        <w:t>bonding strength </w:t>
      </w:r>
      <w:r>
        <w:rPr/>
        <w:t>otherwise referred to as BABS model has been used to</w:t>
      </w:r>
      <w:r>
        <w:rPr>
          <w:spacing w:val="1"/>
        </w:rPr>
        <w:t> </w:t>
      </w:r>
      <w:r>
        <w:rPr/>
        <w:t>explain tabletability of powders (Sun, 2011). The superior tabletability observed with</w:t>
      </w:r>
      <w:r>
        <w:rPr>
          <w:spacing w:val="1"/>
        </w:rPr>
        <w:t> </w:t>
      </w:r>
      <w:r>
        <w:rPr/>
        <w:t>SGS as compared to SGS-PM can be attributed to the strength of the intermolecular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bonding</w:t>
      </w:r>
      <w:r>
        <w:rPr>
          <w:spacing w:val="1"/>
        </w:rPr>
        <w:t> </w:t>
      </w:r>
      <w:r>
        <w:rPr/>
        <w:t>holding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increased</w:t>
      </w:r>
      <w:r>
        <w:rPr>
          <w:spacing w:val="60"/>
        </w:rPr>
        <w:t> </w:t>
      </w:r>
      <w:r>
        <w:rPr/>
        <w:t>interfacial</w:t>
      </w:r>
      <w:r>
        <w:rPr>
          <w:spacing w:val="1"/>
        </w:rPr>
        <w:t> </w:t>
      </w:r>
      <w:r>
        <w:rPr/>
        <w:t>adhesion between particles. The findings of Adeoye and Alebiowu (2014a)have shown</w:t>
      </w:r>
      <w:r>
        <w:rPr>
          <w:spacing w:val="1"/>
        </w:rPr>
        <w:t> </w:t>
      </w:r>
      <w:r>
        <w:rPr/>
        <w:t>that compressibility, compactibility and tabletability is enhanced when excipients are</w:t>
      </w:r>
      <w:r>
        <w:rPr>
          <w:spacing w:val="1"/>
        </w:rPr>
        <w:t> </w:t>
      </w:r>
      <w:r>
        <w:rPr/>
        <w:t>co-processed together.</w:t>
      </w:r>
      <w:r>
        <w:rPr>
          <w:spacing w:val="1"/>
        </w:rPr>
        <w:t> </w:t>
      </w:r>
      <w:r>
        <w:rPr/>
        <w:t>Tabletability has been conferred on a material by the interplay</w:t>
      </w:r>
      <w:r>
        <w:rPr>
          <w:spacing w:val="1"/>
        </w:rPr>
        <w:t> </w:t>
      </w:r>
      <w:r>
        <w:rPr/>
        <w:t>between the compaction conditions (pressure and strain rate), mechanical properties,</w:t>
      </w:r>
      <w:r>
        <w:rPr>
          <w:spacing w:val="1"/>
        </w:rPr>
        <w:t> </w:t>
      </w:r>
      <w:r>
        <w:rPr/>
        <w:t>particle properties and chemical nature of the surfaces (Zhou and Qiu, 2010). Tablets of</w:t>
      </w:r>
      <w:r>
        <w:rPr>
          <w:spacing w:val="1"/>
        </w:rPr>
        <w:t> </w:t>
      </w:r>
      <w:r>
        <w:rPr/>
        <w:t>appropriate mechanical strength can only be produced from materials with sufficient</w:t>
      </w:r>
      <w:r>
        <w:rPr>
          <w:spacing w:val="1"/>
        </w:rPr>
        <w:t> </w:t>
      </w:r>
      <w:r>
        <w:rPr/>
        <w:t>tabletability.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numPr>
          <w:ilvl w:val="1"/>
          <w:numId w:val="23"/>
        </w:numPr>
        <w:tabs>
          <w:tab w:pos="1185" w:val="left" w:leader="none"/>
          <w:tab w:pos="1186" w:val="left" w:leader="none"/>
        </w:tabs>
        <w:spacing w:line="240" w:lineRule="auto" w:before="76" w:after="0"/>
        <w:ind w:left="1185" w:right="0" w:hanging="721"/>
        <w:jc w:val="left"/>
      </w:pPr>
      <w:bookmarkStart w:name="_TOC_250008" w:id="98"/>
      <w:r>
        <w:rPr/>
        <w:t>Tablet</w:t>
      </w:r>
      <w:r>
        <w:rPr>
          <w:spacing w:val="-5"/>
        </w:rPr>
        <w:t> </w:t>
      </w:r>
      <w:bookmarkEnd w:id="98"/>
      <w:r>
        <w:rPr/>
        <w:t>Properties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5" w:right="1254"/>
        <w:jc w:val="both"/>
      </w:pPr>
      <w:r>
        <w:rPr/>
        <w:t>In order to validate process and product development of tablets, they are routinely</w:t>
      </w:r>
      <w:r>
        <w:rPr>
          <w:spacing w:val="1"/>
        </w:rPr>
        <w:t> </w:t>
      </w:r>
      <w:r>
        <w:rPr/>
        <w:t>subjected to a series of tests prescribed by compendial and non-compendial standards.</w:t>
      </w:r>
      <w:r>
        <w:rPr>
          <w:spacing w:val="1"/>
        </w:rPr>
        <w:t> </w:t>
      </w:r>
      <w:r>
        <w:rPr/>
        <w:t>Tablets are expected to conform to specifications set by these standards before their</w:t>
      </w:r>
      <w:r>
        <w:rPr>
          <w:spacing w:val="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can accepted or approved for</w:t>
      </w:r>
      <w:r>
        <w:rPr>
          <w:spacing w:val="-2"/>
        </w:rPr>
        <w:t> </w:t>
      </w:r>
      <w:r>
        <w:rPr/>
        <w:t>use.</w:t>
      </w:r>
    </w:p>
    <w:p>
      <w:pPr>
        <w:pStyle w:val="BodyText"/>
        <w:spacing w:line="480" w:lineRule="auto" w:before="120"/>
        <w:ind w:left="465" w:right="1251"/>
        <w:jc w:val="both"/>
      </w:pPr>
      <w:r>
        <w:rPr/>
        <w:t>The test for uniformity of weight is a simple way to assess variation in content of drug</w:t>
      </w:r>
      <w:r>
        <w:rPr>
          <w:spacing w:val="1"/>
        </w:rPr>
        <w:t> </w:t>
      </w:r>
      <w:r>
        <w:rPr/>
        <w:t>dose,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during</w:t>
      </w:r>
      <w:r>
        <w:rPr>
          <w:spacing w:val="60"/>
        </w:rPr>
        <w:t> </w:t>
      </w:r>
      <w:r>
        <w:rPr/>
        <w:t>tablet</w:t>
      </w:r>
      <w:r>
        <w:rPr>
          <w:spacing w:val="1"/>
        </w:rPr>
        <w:t> </w:t>
      </w:r>
      <w:r>
        <w:rPr/>
        <w:t>production. There was no significant variation in the weights of tablets produced by</w:t>
      </w:r>
      <w:r>
        <w:rPr>
          <w:spacing w:val="1"/>
        </w:rPr>
        <w:t> </w:t>
      </w:r>
      <w:r>
        <w:rPr/>
        <w:t>SGS, PSV and SLC as they were all within the limits specified by the USP/NF (2009).</w:t>
      </w:r>
      <w:r>
        <w:rPr>
          <w:spacing w:val="1"/>
        </w:rPr>
        <w:t> </w:t>
      </w:r>
      <w:r>
        <w:rPr/>
        <w:t>This has been attributed to the uniformity in the flow of powder volumes of their</w:t>
      </w:r>
      <w:r>
        <w:rPr>
          <w:spacing w:val="1"/>
        </w:rPr>
        <w:t> </w:t>
      </w:r>
      <w:r>
        <w:rPr/>
        <w:t>respective formulations into the die cavity during tableting. The flow properties as</w:t>
      </w:r>
      <w:r>
        <w:rPr>
          <w:spacing w:val="1"/>
        </w:rPr>
        <w:t> </w:t>
      </w:r>
      <w:r>
        <w:rPr/>
        <w:t>assessed by angle of repose (Table 4.9) revealed that all three materials had excellent</w:t>
      </w:r>
      <w:r>
        <w:rPr>
          <w:spacing w:val="1"/>
        </w:rPr>
        <w:t> </w:t>
      </w:r>
      <w:r>
        <w:rPr/>
        <w:t>powder flow which ensured uniform filling of the powder mix into the die cavity during</w:t>
      </w:r>
      <w:r>
        <w:rPr>
          <w:spacing w:val="1"/>
        </w:rPr>
        <w:t> </w:t>
      </w:r>
      <w:r>
        <w:rPr/>
        <w:t>tableting.</w:t>
      </w:r>
    </w:p>
    <w:p>
      <w:pPr>
        <w:pStyle w:val="BodyText"/>
        <w:spacing w:line="480" w:lineRule="auto" w:before="122"/>
        <w:ind w:left="465" w:right="1254"/>
        <w:jc w:val="both"/>
      </w:pPr>
      <w:r>
        <w:rPr/>
        <w:t>The mechanical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 tablets is an</w:t>
      </w:r>
      <w:r>
        <w:rPr>
          <w:spacing w:val="1"/>
        </w:rPr>
        <w:t> </w:t>
      </w:r>
      <w:r>
        <w:rPr/>
        <w:t>important property and it plays</w:t>
      </w:r>
      <w:r>
        <w:rPr>
          <w:spacing w:val="60"/>
        </w:rPr>
        <w:t> </w:t>
      </w:r>
      <w:r>
        <w:rPr/>
        <w:t>a significant</w:t>
      </w:r>
      <w:r>
        <w:rPr>
          <w:spacing w:val="1"/>
        </w:rPr>
        <w:t> </w:t>
      </w:r>
      <w:r>
        <w:rPr/>
        <w:t>role in product development and manufacturing control. Tensile strength and hardness</w:t>
      </w:r>
      <w:r>
        <w:rPr>
          <w:spacing w:val="1"/>
        </w:rPr>
        <w:t> </w:t>
      </w:r>
      <w:r>
        <w:rPr/>
        <w:t>serve as the indicators of the strength of a compact. Pharmaceutical ingredients which</w:t>
      </w:r>
      <w:r>
        <w:rPr>
          <w:spacing w:val="1"/>
        </w:rPr>
        <w:t> </w:t>
      </w:r>
      <w:r>
        <w:rPr/>
        <w:t>bond well together are capable of forming tablets with high tensile strength. The tensile</w:t>
      </w:r>
      <w:r>
        <w:rPr>
          <w:spacing w:val="1"/>
        </w:rPr>
        <w:t> </w:t>
      </w:r>
      <w:r>
        <w:rPr/>
        <w:t>strength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prepared</w:t>
      </w:r>
      <w:r>
        <w:rPr>
          <w:spacing w:val="2"/>
        </w:rPr>
        <w:t> </w:t>
      </w:r>
      <w:r>
        <w:rPr/>
        <w:t>with</w:t>
      </w:r>
      <w:r>
        <w:rPr>
          <w:spacing w:val="2"/>
        </w:rPr>
        <w:t> </w:t>
      </w:r>
      <w:r>
        <w:rPr/>
        <w:t>different</w:t>
      </w:r>
      <w:r>
        <w:rPr>
          <w:spacing w:val="3"/>
        </w:rPr>
        <w:t> </w:t>
      </w:r>
      <w:r>
        <w:rPr/>
        <w:t>excipients</w:t>
      </w:r>
      <w:r>
        <w:rPr>
          <w:spacing w:val="2"/>
        </w:rPr>
        <w:t> </w:t>
      </w:r>
      <w:r>
        <w:rPr/>
        <w:t>ranked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order:</w:t>
      </w:r>
      <w:r>
        <w:rPr>
          <w:spacing w:val="3"/>
        </w:rPr>
        <w:t> </w:t>
      </w:r>
      <w:r>
        <w:rPr/>
        <w:t>PSV</w:t>
      </w:r>
    </w:p>
    <w:p>
      <w:pPr>
        <w:pStyle w:val="BodyText"/>
        <w:spacing w:line="480" w:lineRule="auto"/>
        <w:ind w:left="465" w:right="1254"/>
        <w:jc w:val="both"/>
      </w:pPr>
      <w:r>
        <w:rPr/>
        <w:t>&gt; SGS &gt; SLC with PSV exhibiting superior tensile strength when compressed at the</w:t>
      </w:r>
      <w:r>
        <w:rPr>
          <w:spacing w:val="1"/>
        </w:rPr>
        <w:t> </w:t>
      </w:r>
      <w:r>
        <w:rPr/>
        <w:t>same pressure. This can be explained by the high bonding capacity of microcrystalline</w:t>
      </w:r>
      <w:r>
        <w:rPr>
          <w:spacing w:val="1"/>
        </w:rPr>
        <w:t> </w:t>
      </w:r>
      <w:r>
        <w:rPr/>
        <w:t>cellulose (MCC) which densify by plastic deformation and promote interparticulate</w:t>
      </w:r>
      <w:r>
        <w:rPr>
          <w:spacing w:val="1"/>
        </w:rPr>
        <w:t> </w:t>
      </w:r>
      <w:r>
        <w:rPr/>
        <w:t>bonding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bonding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interlocking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irregularly</w:t>
      </w:r>
      <w:r>
        <w:rPr>
          <w:spacing w:val="1"/>
        </w:rPr>
        <w:t> </w:t>
      </w:r>
      <w:r>
        <w:rPr/>
        <w:t>shaped elongated particles of MCC. The presence of silicon dioxide on the surface of</w:t>
      </w:r>
      <w:r>
        <w:rPr>
          <w:spacing w:val="1"/>
        </w:rPr>
        <w:t> </w:t>
      </w:r>
      <w:r>
        <w:rPr/>
        <w:t>MCC</w:t>
      </w:r>
      <w:r>
        <w:rPr>
          <w:spacing w:val="29"/>
        </w:rPr>
        <w:t> </w:t>
      </w:r>
      <w:r>
        <w:rPr/>
        <w:t>may</w:t>
      </w:r>
      <w:r>
        <w:rPr>
          <w:spacing w:val="21"/>
        </w:rPr>
        <w:t> </w:t>
      </w:r>
      <w:r>
        <w:rPr/>
        <w:t>also</w:t>
      </w:r>
      <w:r>
        <w:rPr>
          <w:spacing w:val="29"/>
        </w:rPr>
        <w:t> </w:t>
      </w:r>
      <w:r>
        <w:rPr/>
        <w:t>have</w:t>
      </w:r>
      <w:r>
        <w:rPr>
          <w:spacing w:val="27"/>
        </w:rPr>
        <w:t> </w:t>
      </w:r>
      <w:r>
        <w:rPr/>
        <w:t>contributed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its</w:t>
      </w:r>
      <w:r>
        <w:rPr>
          <w:spacing w:val="26"/>
        </w:rPr>
        <w:t> </w:t>
      </w:r>
      <w:r>
        <w:rPr/>
        <w:t>compressibility</w:t>
      </w:r>
      <w:r>
        <w:rPr>
          <w:spacing w:val="21"/>
        </w:rPr>
        <w:t> </w:t>
      </w:r>
      <w:r>
        <w:rPr/>
        <w:t>as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compressibility-enhancing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0"/>
        <w:jc w:val="both"/>
      </w:pPr>
      <w:r>
        <w:rPr/>
        <w:t>agent (Rojas and Kumar, 2011). Therefore, the strength of a tablet depends on the</w:t>
      </w:r>
      <w:r>
        <w:rPr>
          <w:spacing w:val="1"/>
        </w:rPr>
        <w:t> </w:t>
      </w:r>
      <w:r>
        <w:rPr/>
        <w:t>number of bonding sites and the strength of bonding between particles. The nature 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interparticulate</w:t>
      </w:r>
      <w:r>
        <w:rPr>
          <w:spacing w:val="1"/>
        </w:rPr>
        <w:t> </w:t>
      </w:r>
      <w:r>
        <w:rPr/>
        <w:t>bonding</w:t>
      </w:r>
      <w:r>
        <w:rPr>
          <w:spacing w:val="1"/>
        </w:rPr>
        <w:t> </w:t>
      </w:r>
      <w:r>
        <w:rPr/>
        <w:t>attraction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der</w:t>
      </w:r>
      <w:r>
        <w:rPr>
          <w:spacing w:val="1"/>
        </w:rPr>
        <w:t> </w:t>
      </w:r>
      <w:r>
        <w:rPr/>
        <w:t>Waals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pharmaceutical tablets. Other forces that may be implicated in tablet bonding include</w:t>
      </w:r>
      <w:r>
        <w:rPr>
          <w:spacing w:val="1"/>
        </w:rPr>
        <w:t> </w:t>
      </w:r>
      <w:r>
        <w:rPr/>
        <w:t>hydrogen bonding, solid bridges, mechanical interlocking and asperity melting or fusion</w:t>
      </w:r>
      <w:r>
        <w:rPr>
          <w:spacing w:val="-57"/>
        </w:rPr>
        <w:t> </w:t>
      </w:r>
      <w:r>
        <w:rPr/>
        <w:t>(Klevan, 2011; Mahmoodi, 2012). Tablets of SGS, most likely, had lesser bonding sites</w:t>
      </w:r>
      <w:r>
        <w:rPr>
          <w:spacing w:val="1"/>
        </w:rPr>
        <w:t> </w:t>
      </w:r>
      <w:r>
        <w:rPr/>
        <w:t>than PSV due to the lower relative densities obtained during Heckel analysis. Relative</w:t>
      </w:r>
      <w:r>
        <w:rPr>
          <w:spacing w:val="1"/>
        </w:rPr>
        <w:t> </w:t>
      </w:r>
      <w:r>
        <w:rPr/>
        <w:t>density (solid fraction) or porosity is a major determinant of tablet hardness (Patel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2006; Zhou and Qiu, 2010; Sun, 2011). The denser the powder bed, the lower the</w:t>
      </w:r>
      <w:r>
        <w:rPr>
          <w:spacing w:val="1"/>
        </w:rPr>
        <w:t> </w:t>
      </w:r>
      <w:r>
        <w:rPr/>
        <w:t>porosity and</w:t>
      </w:r>
      <w:r>
        <w:rPr>
          <w:spacing w:val="1"/>
        </w:rPr>
        <w:t> </w:t>
      </w:r>
      <w:r>
        <w:rPr/>
        <w:t>the higher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 tablet.</w:t>
      </w:r>
      <w:r>
        <w:rPr>
          <w:spacing w:val="1"/>
        </w:rPr>
        <w:t> </w:t>
      </w:r>
      <w:r>
        <w:rPr/>
        <w:t>However, this</w:t>
      </w:r>
      <w:r>
        <w:rPr>
          <w:spacing w:val="1"/>
        </w:rPr>
        <w:t> </w:t>
      </w:r>
      <w:r>
        <w:rPr/>
        <w:t>may not</w:t>
      </w:r>
      <w:r>
        <w:rPr>
          <w:spacing w:val="1"/>
        </w:rPr>
        <w:t> </w:t>
      </w:r>
      <w:r>
        <w:rPr/>
        <w:t>apply 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densification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Essentially, tablets with sufficient mechanical strength have been produced</w:t>
      </w:r>
      <w:r>
        <w:rPr>
          <w:spacing w:val="1"/>
        </w:rPr>
        <w:t> </w:t>
      </w:r>
      <w:r>
        <w:rPr/>
        <w:t>using co-processed excipients(Hamed, 2009; Hamed</w:t>
      </w:r>
      <w:r>
        <w:rPr>
          <w:i/>
        </w:rPr>
        <w:t>et al.</w:t>
      </w:r>
      <w:r>
        <w:rPr/>
        <w:t>, 2010; Rojas </w:t>
      </w:r>
      <w:r>
        <w:rPr>
          <w:i/>
        </w:rPr>
        <w:t>et al.</w:t>
      </w:r>
      <w:r>
        <w:rPr/>
        <w:t>, 2012;</w:t>
      </w:r>
      <w:r>
        <w:rPr>
          <w:spacing w:val="1"/>
        </w:rPr>
        <w:t> </w:t>
      </w:r>
      <w:r>
        <w:rPr/>
        <w:t>Okoye </w:t>
      </w:r>
      <w:r>
        <w:rPr>
          <w:i/>
        </w:rPr>
        <w:t>et al.</w:t>
      </w:r>
      <w:r>
        <w:rPr/>
        <w:t>, 2014). Elastic recovery arising during the decompression stage of tableting</w:t>
      </w:r>
      <w:r>
        <w:rPr>
          <w:spacing w:val="-57"/>
        </w:rPr>
        <w:t> </w:t>
      </w:r>
      <w:r>
        <w:rPr/>
        <w:t>negates the strength of tablets. A parameter referred to as bonding index (BI) has been</w:t>
      </w:r>
      <w:r>
        <w:rPr>
          <w:spacing w:val="1"/>
        </w:rPr>
        <w:t> </w:t>
      </w:r>
      <w:r>
        <w:rPr/>
        <w:t>used to gain more insight on the extent to which elastic recovery affects the bonds</w:t>
      </w:r>
      <w:r>
        <w:rPr>
          <w:spacing w:val="1"/>
        </w:rPr>
        <w:t> </w:t>
      </w:r>
      <w:r>
        <w:rPr/>
        <w:t>formed during compaction stage of tableting. Bonding index has been defined as the</w:t>
      </w:r>
      <w:r>
        <w:rPr>
          <w:spacing w:val="1"/>
        </w:rPr>
        <w:t> </w:t>
      </w:r>
      <w:r>
        <w:rPr/>
        <w:t>ratio between tensile strength and hardness of a tablet (Zhou and Qiu, 2010). It is a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bonding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decompression.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contacts</w:t>
      </w:r>
      <w:r>
        <w:rPr>
          <w:spacing w:val="1"/>
        </w:rPr>
        <w:t> </w:t>
      </w:r>
      <w:r>
        <w:rPr/>
        <w:t>(bonding)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compression.</w:t>
      </w:r>
      <w:r>
        <w:rPr>
          <w:spacing w:val="1"/>
        </w:rPr>
        <w:t> </w:t>
      </w:r>
      <w:r>
        <w:rPr/>
        <w:t>However, some bonding may be lost (broken) during the decompression due to elastic</w:t>
      </w:r>
      <w:r>
        <w:rPr>
          <w:spacing w:val="1"/>
        </w:rPr>
        <w:t> </w:t>
      </w:r>
      <w:r>
        <w:rPr/>
        <w:t>recovery. A large BI indicates strong bonding due to a relatively small fraction of lost</w:t>
      </w:r>
      <w:r>
        <w:rPr>
          <w:spacing w:val="1"/>
        </w:rPr>
        <w:t> </w:t>
      </w:r>
      <w:r>
        <w:rPr/>
        <w:t>bonding. A bonding index exceeding 0.01 is typically desired. There was no significant</w:t>
      </w:r>
      <w:r>
        <w:rPr>
          <w:spacing w:val="1"/>
        </w:rPr>
        <w:t> </w:t>
      </w:r>
      <w:r>
        <w:rPr/>
        <w:t>difference in the bonding index of all three excipients as the values obtained were</w:t>
      </w:r>
      <w:r>
        <w:rPr>
          <w:spacing w:val="1"/>
        </w:rPr>
        <w:t> </w:t>
      </w:r>
      <w:r>
        <w:rPr/>
        <w:t>closely</w:t>
      </w:r>
      <w:r>
        <w:rPr>
          <w:spacing w:val="-5"/>
        </w:rPr>
        <w:t> </w:t>
      </w:r>
      <w:r>
        <w:rPr/>
        <w:t>similar.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2"/>
        <w:jc w:val="both"/>
      </w:pPr>
      <w:r>
        <w:rPr/>
        <w:t>One of the main objectives of compaction is to obtain tablets that are sufficiently strong</w:t>
      </w:r>
      <w:r>
        <w:rPr>
          <w:spacing w:val="1"/>
        </w:rPr>
        <w:t> </w:t>
      </w:r>
      <w:r>
        <w:rPr/>
        <w:t>to withstand subsequent processing and transportation. Tablet friability is a measure of</w:t>
      </w:r>
      <w:r>
        <w:rPr>
          <w:spacing w:val="1"/>
        </w:rPr>
        <w:t> </w:t>
      </w:r>
      <w:r>
        <w:rPr/>
        <w:t>the ability of tablets to withstand stresses. According to the USP/NF (2009), tablets</w:t>
      </w:r>
      <w:r>
        <w:rPr>
          <w:spacing w:val="1"/>
        </w:rPr>
        <w:t> </w:t>
      </w:r>
      <w:r>
        <w:rPr/>
        <w:t>should show no more than 1 % loss in weight. This test is more rigorous than the</w:t>
      </w:r>
      <w:r>
        <w:rPr>
          <w:spacing w:val="1"/>
        </w:rPr>
        <w:t> </w:t>
      </w:r>
      <w:r>
        <w:rPr/>
        <w:t>crushing strength test since in the friability test compacts are submitted to mechanical</w:t>
      </w:r>
      <w:r>
        <w:rPr>
          <w:spacing w:val="1"/>
        </w:rPr>
        <w:t> </w:t>
      </w:r>
      <w:r>
        <w:rPr/>
        <w:t>stresses simulating wearing due to handling and mechanical shock. All the batches of</w:t>
      </w:r>
      <w:r>
        <w:rPr>
          <w:spacing w:val="1"/>
        </w:rPr>
        <w:t> </w:t>
      </w:r>
      <w:r>
        <w:rPr/>
        <w:t>tablets produced met the requirement except for SLC tablets. The failure of SLC tablets</w:t>
      </w:r>
      <w:r>
        <w:rPr>
          <w:spacing w:val="1"/>
        </w:rPr>
        <w:t> </w:t>
      </w:r>
      <w:r>
        <w:rPr/>
        <w:t>to pass friability test may be attributed to the presence of starch interspersed in the</w:t>
      </w:r>
      <w:r>
        <w:rPr>
          <w:spacing w:val="1"/>
        </w:rPr>
        <w:t> </w:t>
      </w:r>
      <w:r>
        <w:rPr/>
        <w:t>particle</w:t>
      </w:r>
      <w:r>
        <w:rPr>
          <w:spacing w:val="39"/>
        </w:rPr>
        <w:t> </w:t>
      </w:r>
      <w:r>
        <w:rPr/>
        <w:t>structure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lactose</w:t>
      </w:r>
      <w:r>
        <w:rPr>
          <w:spacing w:val="43"/>
        </w:rPr>
        <w:t> </w:t>
      </w:r>
      <w:r>
        <w:rPr/>
        <w:t>leading</w:t>
      </w:r>
      <w:r>
        <w:rPr>
          <w:spacing w:val="40"/>
        </w:rPr>
        <w:t> </w:t>
      </w:r>
      <w:r>
        <w:rPr/>
        <w:t>to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formation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weaker</w:t>
      </w:r>
      <w:r>
        <w:rPr>
          <w:spacing w:val="41"/>
        </w:rPr>
        <w:t> </w:t>
      </w:r>
      <w:r>
        <w:rPr/>
        <w:t>bonds</w:t>
      </w:r>
      <w:r>
        <w:rPr>
          <w:spacing w:val="42"/>
        </w:rPr>
        <w:t> </w:t>
      </w:r>
      <w:r>
        <w:rPr/>
        <w:t>that</w:t>
      </w:r>
      <w:r>
        <w:rPr>
          <w:spacing w:val="42"/>
        </w:rPr>
        <w:t> </w:t>
      </w:r>
      <w:r>
        <w:rPr/>
        <w:t>produced</w:t>
      </w:r>
      <w:r>
        <w:rPr>
          <w:spacing w:val="-58"/>
        </w:rPr>
        <w:t> </w:t>
      </w:r>
      <w:r>
        <w:rPr/>
        <w:t>weak</w:t>
      </w:r>
      <w:r>
        <w:rPr>
          <w:spacing w:val="-1"/>
        </w:rPr>
        <w:t> </w:t>
      </w:r>
      <w:r>
        <w:rPr/>
        <w:t>tablets.</w:t>
      </w:r>
    </w:p>
    <w:p>
      <w:pPr>
        <w:pStyle w:val="BodyText"/>
        <w:spacing w:line="480" w:lineRule="auto" w:before="121"/>
        <w:ind w:left="465" w:right="1251"/>
        <w:jc w:val="both"/>
      </w:pPr>
      <w:r>
        <w:rPr/>
        <w:t>The ability of a compressed tablet to release the drug is measured by the disintegration</w:t>
      </w:r>
      <w:r>
        <w:rPr>
          <w:spacing w:val="1"/>
        </w:rPr>
        <w:t> </w:t>
      </w:r>
      <w:r>
        <w:rPr/>
        <w:t>test. This is the time it takes for a dosage form to break into primary particles upon</w:t>
      </w:r>
      <w:r>
        <w:rPr>
          <w:spacing w:val="1"/>
        </w:rPr>
        <w:t> </w:t>
      </w:r>
      <w:r>
        <w:rPr/>
        <w:t>exposure to an appropriate medium with mild agitation. Disintegration tests are only</w:t>
      </w:r>
      <w:r>
        <w:rPr>
          <w:spacing w:val="1"/>
        </w:rPr>
        <w:t> </w:t>
      </w:r>
      <w:r>
        <w:rPr/>
        <w:t>indirectly related to drug bioavailability and product performance. For conventional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tablets,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exceed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min.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markedly</w:t>
      </w:r>
      <w:r>
        <w:rPr>
          <w:spacing w:val="-57"/>
        </w:rPr>
        <w:t> </w:t>
      </w:r>
      <w:r>
        <w:rPr/>
        <w:t>affected by formulation ingredients and processing, hence, it‟s used as a quality control</w:t>
      </w:r>
      <w:r>
        <w:rPr>
          <w:spacing w:val="1"/>
        </w:rPr>
        <w:t> </w:t>
      </w:r>
      <w:r>
        <w:rPr/>
        <w:t>tool.</w:t>
      </w:r>
      <w:r>
        <w:rPr>
          <w:spacing w:val="1"/>
        </w:rPr>
        <w:t> </w:t>
      </w:r>
      <w:r>
        <w:rPr/>
        <w:t>The study revealed that all the tablets produced passed the disintegration test with</w:t>
      </w:r>
      <w:r>
        <w:rPr>
          <w:spacing w:val="1"/>
        </w:rPr>
        <w:t> </w:t>
      </w:r>
      <w:r>
        <w:rPr/>
        <w:t>SGS tablets disintegrating in less than 30 s. This has been attributed to the amorphous</w:t>
      </w:r>
      <w:r>
        <w:rPr>
          <w:spacing w:val="1"/>
        </w:rPr>
        <w:t> </w:t>
      </w:r>
      <w:r>
        <w:rPr/>
        <w:t>content of starch which facilitates disintegration and the degree of porosity of the tablets</w:t>
      </w:r>
      <w:r>
        <w:rPr>
          <w:spacing w:val="-57"/>
        </w:rPr>
        <w:t> </w:t>
      </w:r>
      <w:r>
        <w:rPr/>
        <w:t>formed.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SGS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deposition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silicon</w:t>
      </w:r>
      <w:r>
        <w:rPr>
          <w:spacing w:val="13"/>
        </w:rPr>
        <w:t> </w:t>
      </w:r>
      <w:r>
        <w:rPr/>
        <w:t>dioxide</w:t>
      </w:r>
      <w:r>
        <w:rPr>
          <w:spacing w:val="14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surface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starch</w:t>
      </w:r>
      <w:r>
        <w:rPr>
          <w:spacing w:val="16"/>
        </w:rPr>
        <w:t> </w:t>
      </w:r>
      <w:r>
        <w:rPr/>
        <w:t>during</w:t>
      </w:r>
      <w:r>
        <w:rPr>
          <w:spacing w:val="15"/>
        </w:rPr>
        <w:t> </w:t>
      </w:r>
      <w:r>
        <w:rPr/>
        <w:t>co-processing</w:t>
      </w:r>
      <w:r>
        <w:rPr>
          <w:spacing w:val="14"/>
        </w:rPr>
        <w:t> </w:t>
      </w:r>
      <w:r>
        <w:rPr/>
        <w:t>which</w:t>
      </w:r>
      <w:r>
        <w:rPr>
          <w:spacing w:val="14"/>
        </w:rPr>
        <w:t> </w:t>
      </w:r>
      <w:r>
        <w:rPr/>
        <w:t>leads</w:t>
      </w:r>
      <w:r>
        <w:rPr>
          <w:spacing w:val="-57"/>
        </w:rPr>
        <w:t> </w:t>
      </w:r>
      <w:r>
        <w:rPr/>
        <w:t>to creation of more pore channels that imbibe more water into the matrix of SGS during</w:t>
      </w:r>
      <w:r>
        <w:rPr>
          <w:spacing w:val="1"/>
        </w:rPr>
        <w:t> </w:t>
      </w:r>
      <w:r>
        <w:rPr/>
        <w:t>disintegration ( El-Barghouthi</w:t>
      </w:r>
      <w:r>
        <w:rPr>
          <w:spacing w:val="1"/>
        </w:rPr>
        <w:t> </w:t>
      </w:r>
      <w:r>
        <w:rPr>
          <w:i/>
        </w:rPr>
        <w:t>et al.</w:t>
      </w:r>
      <w:r>
        <w:rPr/>
        <w:t>, 2008;</w:t>
      </w:r>
      <w:r>
        <w:rPr>
          <w:spacing w:val="-1"/>
        </w:rPr>
        <w:t> </w:t>
      </w:r>
      <w:r>
        <w:rPr/>
        <w:t>Daraghmeh</w:t>
      </w:r>
      <w:r>
        <w:rPr>
          <w:spacing w:val="-1"/>
        </w:rPr>
        <w:t> </w:t>
      </w:r>
      <w:r>
        <w:rPr>
          <w:i/>
        </w:rPr>
        <w:t>et al.</w:t>
      </w:r>
      <w:r>
        <w:rPr/>
        <w:t>, 2015).</w:t>
      </w:r>
    </w:p>
    <w:p>
      <w:pPr>
        <w:pStyle w:val="BodyText"/>
        <w:spacing w:line="480" w:lineRule="auto" w:before="119"/>
        <w:ind w:left="465" w:right="1263"/>
        <w:jc w:val="both"/>
      </w:pPr>
      <w:r>
        <w:rPr/>
        <w:t>Drug dissolution is the process by which drug molecules are liberated from a dosage</w:t>
      </w:r>
      <w:r>
        <w:rPr>
          <w:spacing w:val="1"/>
        </w:rPr>
        <w:t> </w:t>
      </w:r>
      <w:r>
        <w:rPr/>
        <w:t>form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enter</w:t>
      </w:r>
      <w:r>
        <w:rPr>
          <w:spacing w:val="23"/>
        </w:rPr>
        <w:t> </w:t>
      </w:r>
      <w:r>
        <w:rPr/>
        <w:t>into</w:t>
      </w:r>
      <w:r>
        <w:rPr>
          <w:spacing w:val="23"/>
        </w:rPr>
        <w:t> </w:t>
      </w:r>
      <w:r>
        <w:rPr/>
        <w:t>solution.</w:t>
      </w:r>
      <w:r>
        <w:rPr>
          <w:spacing w:val="24"/>
        </w:rPr>
        <w:t> </w:t>
      </w:r>
      <w:r>
        <w:rPr/>
        <w:t>This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an</w:t>
      </w:r>
      <w:r>
        <w:rPr>
          <w:spacing w:val="23"/>
        </w:rPr>
        <w:t> </w:t>
      </w:r>
      <w:r>
        <w:rPr/>
        <w:t>important</w:t>
      </w:r>
      <w:r>
        <w:rPr>
          <w:spacing w:val="24"/>
        </w:rPr>
        <w:t> </w:t>
      </w:r>
      <w:r>
        <w:rPr/>
        <w:t>step</w:t>
      </w:r>
      <w:r>
        <w:rPr>
          <w:spacing w:val="24"/>
        </w:rPr>
        <w:t> </w:t>
      </w:r>
      <w:r>
        <w:rPr/>
        <w:t>because</w:t>
      </w:r>
      <w:r>
        <w:rPr>
          <w:spacing w:val="25"/>
        </w:rPr>
        <w:t> </w:t>
      </w:r>
      <w:r>
        <w:rPr/>
        <w:t>only</w:t>
      </w:r>
      <w:r>
        <w:rPr>
          <w:spacing w:val="18"/>
        </w:rPr>
        <w:t> </w:t>
      </w:r>
      <w:r>
        <w:rPr/>
        <w:t>drugs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solution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2"/>
        <w:jc w:val="both"/>
      </w:pPr>
      <w:r>
        <w:rPr/>
        <w:t>can produce pharmacological action. The effectiveness of a tablet in releasing its drug</w:t>
      </w:r>
      <w:r>
        <w:rPr>
          <w:spacing w:val="1"/>
        </w:rPr>
        <w:t> </w:t>
      </w:r>
      <w:r>
        <w:rPr/>
        <w:t>for systemic absorption is influenced by the rate of disintegration and deaggregation of</w:t>
      </w:r>
      <w:r>
        <w:rPr>
          <w:spacing w:val="1"/>
        </w:rPr>
        <w:t> </w:t>
      </w:r>
      <w:r>
        <w:rPr/>
        <w:t>granules. The drug release profile for SGS, PSV and SLC reveal that more than 80 % of</w:t>
      </w:r>
      <w:r>
        <w:rPr>
          <w:spacing w:val="1"/>
        </w:rPr>
        <w:t> </w:t>
      </w:r>
      <w:r>
        <w:rPr/>
        <w:t>ibuprofen was released after a time period of 60 min. This agrees with the specification</w:t>
      </w:r>
      <w:r>
        <w:rPr>
          <w:spacing w:val="1"/>
        </w:rPr>
        <w:t> </w:t>
      </w:r>
      <w:r>
        <w:rPr/>
        <w:t>for drug release as mentioned under the monograph for Ibuprofen (USP/NF, 2009). The</w:t>
      </w:r>
      <w:r>
        <w:rPr>
          <w:spacing w:val="1"/>
        </w:rPr>
        <w:t> </w:t>
      </w:r>
      <w:r>
        <w:rPr/>
        <w:t>time taken to achieve 50 % drug release was same for SGS and SLC due possibly to the</w:t>
      </w:r>
      <w:r>
        <w:rPr>
          <w:spacing w:val="1"/>
        </w:rPr>
        <w:t> </w:t>
      </w:r>
      <w:r>
        <w:rPr/>
        <w:t>rapid disintegration time observed. Drug release from PSV was slower compared to the</w:t>
      </w:r>
      <w:r>
        <w:rPr>
          <w:spacing w:val="1"/>
        </w:rPr>
        <w:t> </w:t>
      </w:r>
      <w:r>
        <w:rPr/>
        <w:t>other two excipients and this observation can be correlated to the greater tensile strength</w:t>
      </w:r>
      <w:r>
        <w:rPr>
          <w:spacing w:val="-57"/>
        </w:rPr>
        <w:t> </w:t>
      </w:r>
      <w:r>
        <w:rPr/>
        <w:t>of its tablets which invariably slows down its disintegration into constituent particles.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comparisons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profiles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concept of similarity factor (ƒ</w:t>
      </w:r>
      <w:r>
        <w:rPr>
          <w:vertAlign w:val="subscript"/>
        </w:rPr>
        <w:t>2</w:t>
      </w:r>
      <w:r>
        <w:rPr>
          <w:vertAlign w:val="baseline"/>
        </w:rPr>
        <w:t>) as reported in literature (Kumar </w:t>
      </w:r>
      <w:r>
        <w:rPr>
          <w:i/>
          <w:vertAlign w:val="baseline"/>
        </w:rPr>
        <w:t>et al.</w:t>
      </w:r>
      <w:r>
        <w:rPr>
          <w:vertAlign w:val="baseline"/>
        </w:rPr>
        <w:t>, 2008).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similarity factor (ƒ</w:t>
      </w:r>
      <w:r>
        <w:rPr>
          <w:vertAlign w:val="subscript"/>
        </w:rPr>
        <w:t>2</w:t>
      </w:r>
      <w:r>
        <w:rPr>
          <w:vertAlign w:val="baseline"/>
        </w:rPr>
        <w:t>) is a logarithmic reciprocal square root transformation of the sum of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squared error and is a measurement of the similarity in the percentage drug release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 any two curves. </w:t>
      </w:r>
      <w:r>
        <w:rPr>
          <w:rFonts w:ascii="Arial" w:hAnsi="Arial"/>
          <w:i/>
          <w:sz w:val="25"/>
          <w:vertAlign w:val="baseline"/>
        </w:rPr>
        <w:t>Ƒ </w:t>
      </w:r>
      <w:r>
        <w:rPr>
          <w:i/>
          <w:sz w:val="25"/>
          <w:vertAlign w:val="subscript"/>
        </w:rPr>
        <w:t>2</w:t>
      </w:r>
      <w:r>
        <w:rPr>
          <w:vertAlign w:val="baseline"/>
        </w:rPr>
        <w:t>values greater than 50 (50–100) implies similarities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drug-release</w:t>
      </w:r>
      <w:r>
        <w:rPr>
          <w:spacing w:val="1"/>
          <w:vertAlign w:val="baseline"/>
        </w:rPr>
        <w:t> </w:t>
      </w:r>
      <w:r>
        <w:rPr>
          <w:vertAlign w:val="baseline"/>
        </w:rPr>
        <w:t>profile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two</w:t>
      </w:r>
      <w:r>
        <w:rPr>
          <w:spacing w:val="1"/>
          <w:vertAlign w:val="baseline"/>
        </w:rPr>
        <w:t> </w:t>
      </w:r>
      <w:r>
        <w:rPr>
          <w:vertAlign w:val="baseline"/>
        </w:rPr>
        <w:t>curves.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 basis of the</w:t>
      </w:r>
      <w:r>
        <w:rPr>
          <w:spacing w:val="60"/>
          <w:vertAlign w:val="baseline"/>
        </w:rPr>
        <w:t> </w:t>
      </w:r>
      <w:r>
        <w:rPr>
          <w:vertAlign w:val="baseline"/>
        </w:rPr>
        <w:t>values obtained, SGS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SLC</w:t>
      </w:r>
      <w:r>
        <w:rPr>
          <w:spacing w:val="44"/>
          <w:vertAlign w:val="baseline"/>
        </w:rPr>
        <w:t> </w:t>
      </w:r>
      <w:r>
        <w:rPr>
          <w:vertAlign w:val="baseline"/>
        </w:rPr>
        <w:t>had</w:t>
      </w:r>
      <w:r>
        <w:rPr>
          <w:spacing w:val="44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44"/>
          <w:vertAlign w:val="baseline"/>
        </w:rPr>
        <w:t> </w:t>
      </w:r>
      <w:r>
        <w:rPr>
          <w:vertAlign w:val="baseline"/>
        </w:rPr>
        <w:t>drug</w:t>
      </w:r>
      <w:r>
        <w:rPr>
          <w:spacing w:val="41"/>
          <w:vertAlign w:val="baseline"/>
        </w:rPr>
        <w:t> </w:t>
      </w:r>
      <w:r>
        <w:rPr>
          <w:vertAlign w:val="baseline"/>
        </w:rPr>
        <w:t>release</w:t>
      </w:r>
      <w:r>
        <w:rPr>
          <w:spacing w:val="43"/>
          <w:vertAlign w:val="baseline"/>
        </w:rPr>
        <w:t> </w:t>
      </w:r>
      <w:r>
        <w:rPr>
          <w:vertAlign w:val="baseline"/>
        </w:rPr>
        <w:t>profiles</w:t>
      </w:r>
      <w:r>
        <w:rPr>
          <w:spacing w:val="48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44"/>
          <w:vertAlign w:val="baseline"/>
        </w:rPr>
        <w:t> </w:t>
      </w:r>
      <w:r>
        <w:rPr>
          <w:vertAlign w:val="baseline"/>
        </w:rPr>
        <w:t>to</w:t>
      </w:r>
      <w:r>
        <w:rPr>
          <w:spacing w:val="44"/>
          <w:vertAlign w:val="baseline"/>
        </w:rPr>
        <w:t> </w:t>
      </w:r>
      <w:r>
        <w:rPr>
          <w:vertAlign w:val="baseline"/>
        </w:rPr>
        <w:t>SGS</w:t>
      </w:r>
      <w:r>
        <w:rPr>
          <w:spacing w:val="45"/>
          <w:vertAlign w:val="baseline"/>
        </w:rPr>
        <w:t> </w:t>
      </w:r>
      <w:r>
        <w:rPr>
          <w:vertAlign w:val="baseline"/>
        </w:rPr>
        <w:t>and</w:t>
      </w:r>
      <w:r>
        <w:rPr>
          <w:spacing w:val="44"/>
          <w:vertAlign w:val="baseline"/>
        </w:rPr>
        <w:t> </w:t>
      </w:r>
      <w:r>
        <w:rPr>
          <w:vertAlign w:val="baseline"/>
        </w:rPr>
        <w:t>PSV.</w:t>
      </w:r>
      <w:r>
        <w:rPr>
          <w:spacing w:val="43"/>
          <w:vertAlign w:val="baseline"/>
        </w:rPr>
        <w:t> </w:t>
      </w:r>
      <w:r>
        <w:rPr>
          <w:vertAlign w:val="baseline"/>
        </w:rPr>
        <w:t>Due</w:t>
      </w:r>
      <w:r>
        <w:rPr>
          <w:spacing w:val="43"/>
          <w:vertAlign w:val="baseline"/>
        </w:rPr>
        <w:t> </w:t>
      </w:r>
      <w:r>
        <w:rPr>
          <w:vertAlign w:val="baseline"/>
        </w:rPr>
        <w:t>to</w:t>
      </w:r>
      <w:r>
        <w:rPr>
          <w:spacing w:val="44"/>
          <w:vertAlign w:val="baseline"/>
        </w:rPr>
        <w:t> </w:t>
      </w:r>
      <w:r>
        <w:rPr>
          <w:vertAlign w:val="baseline"/>
        </w:rPr>
        <w:t>the</w:t>
      </w:r>
      <w:r>
        <w:rPr>
          <w:spacing w:val="43"/>
          <w:vertAlign w:val="baseline"/>
        </w:rPr>
        <w:t> </w:t>
      </w:r>
      <w:r>
        <w:rPr>
          <w:vertAlign w:val="baseline"/>
        </w:rPr>
        <w:t>high</w:t>
      </w:r>
      <w:r>
        <w:rPr>
          <w:spacing w:val="-57"/>
          <w:vertAlign w:val="baseline"/>
        </w:rPr>
        <w:t> </w:t>
      </w:r>
      <w:r>
        <w:rPr>
          <w:vertAlign w:val="baseline"/>
        </w:rPr>
        <w:t>plastic deforming ability of PSV, a stronger interparticulate attraction between the drug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excipient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particles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led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slow</w:t>
      </w:r>
      <w:r>
        <w:rPr>
          <w:spacing w:val="1"/>
          <w:vertAlign w:val="baseline"/>
        </w:rPr>
        <w:t> </w:t>
      </w:r>
      <w:r>
        <w:rPr>
          <w:vertAlign w:val="baseline"/>
        </w:rPr>
        <w:t>detachment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drug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dissolution. Contrastingly, the brittle nature of SGS and SLC, coupled with the high</w:t>
      </w:r>
      <w:r>
        <w:rPr>
          <w:spacing w:val="1"/>
          <w:vertAlign w:val="baseline"/>
        </w:rPr>
        <w:t> </w:t>
      </w:r>
      <w:r>
        <w:rPr>
          <w:vertAlign w:val="baseline"/>
        </w:rPr>
        <w:t>level of porosity in both tablet matrixes facilitated the rapid release of ibuprofen due to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uptake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capillary</w:t>
      </w:r>
      <w:r>
        <w:rPr>
          <w:spacing w:val="-3"/>
          <w:vertAlign w:val="baseline"/>
        </w:rPr>
        <w:t> </w:t>
      </w:r>
      <w:r>
        <w:rPr>
          <w:vertAlign w:val="baseline"/>
        </w:rPr>
        <w:t>action.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ind w:left="645" w:right="1436"/>
        <w:jc w:val="center"/>
      </w:pPr>
      <w:bookmarkStart w:name="_TOC_250007" w:id="99"/>
      <w:r>
        <w:rPr/>
        <w:t>CHAPTER</w:t>
      </w:r>
      <w:r>
        <w:rPr>
          <w:spacing w:val="-2"/>
        </w:rPr>
        <w:t> </w:t>
      </w:r>
      <w:bookmarkEnd w:id="99"/>
      <w:r>
        <w:rPr/>
        <w:t>SIX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1"/>
          <w:numId w:val="24"/>
        </w:numPr>
        <w:tabs>
          <w:tab w:pos="1185" w:val="left" w:leader="none"/>
          <w:tab w:pos="1186" w:val="left" w:leader="none"/>
        </w:tabs>
        <w:spacing w:line="480" w:lineRule="auto" w:before="218" w:after="0"/>
        <w:ind w:left="1185" w:right="1311" w:hanging="720"/>
        <w:jc w:val="left"/>
      </w:pPr>
      <w:bookmarkStart w:name="_TOC_250006" w:id="100"/>
      <w:r>
        <w:rPr/>
        <w:t>SUMMARY, CONTRIBUTION TO KNOWLEDGE, CONCLUSION AND</w:t>
      </w:r>
      <w:r>
        <w:rPr>
          <w:spacing w:val="-57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bookmarkEnd w:id="100"/>
      <w:r>
        <w:rPr/>
        <w:t>FURTHER STUDY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3"/>
        <w:numPr>
          <w:ilvl w:val="1"/>
          <w:numId w:val="24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5" w:right="0" w:hanging="721"/>
        <w:jc w:val="left"/>
      </w:pPr>
      <w:bookmarkStart w:name="_TOC_250005" w:id="101"/>
      <w:bookmarkEnd w:id="101"/>
      <w:r>
        <w:rPr/>
        <w:t>Summary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5" w:right="1256"/>
        <w:jc w:val="both"/>
      </w:pPr>
      <w:r>
        <w:rPr/>
        <w:t>Co-processing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ibuprofen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co-processing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gelatin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colloidal</w:t>
      </w:r>
      <w:r>
        <w:rPr>
          <w:spacing w:val="1"/>
        </w:rPr>
        <w:t> </w:t>
      </w:r>
      <w:r>
        <w:rPr/>
        <w:t>silicon</w:t>
      </w:r>
      <w:r>
        <w:rPr>
          <w:spacing w:val="1"/>
        </w:rPr>
        <w:t> </w:t>
      </w:r>
      <w:r>
        <w:rPr/>
        <w:t>dioxide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optimized</w:t>
      </w:r>
      <w:r>
        <w:rPr>
          <w:spacing w:val="1"/>
        </w:rPr>
        <w:t> </w:t>
      </w:r>
      <w:r>
        <w:rPr/>
        <w:t>ratios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robust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multifunctional</w:t>
      </w:r>
      <w:r>
        <w:rPr>
          <w:spacing w:val="-1"/>
        </w:rPr>
        <w:t> </w:t>
      </w:r>
      <w:r>
        <w:rPr/>
        <w:t>profile.</w:t>
      </w:r>
    </w:p>
    <w:p>
      <w:pPr>
        <w:pStyle w:val="BodyText"/>
        <w:spacing w:line="480" w:lineRule="auto" w:before="121"/>
        <w:ind w:left="465" w:right="1253"/>
        <w:jc w:val="both"/>
      </w:pP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(DoE)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optimize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processed excipient by determining the proportion by percentage weight of each of the</w:t>
      </w:r>
      <w:r>
        <w:rPr>
          <w:spacing w:val="1"/>
        </w:rPr>
        <w:t> </w:t>
      </w:r>
      <w:r>
        <w:rPr/>
        <w:t>ingredients used in co-processing. The optimized formula for preparing the coprocessed</w:t>
      </w:r>
      <w:r>
        <w:rPr>
          <w:spacing w:val="1"/>
        </w:rPr>
        <w:t> </w:t>
      </w:r>
      <w:r>
        <w:rPr/>
        <w:t>excipient, </w:t>
      </w:r>
      <w:r>
        <w:rPr>
          <w:i/>
        </w:rPr>
        <w:t>StarGelaSil </w:t>
      </w:r>
      <w:r>
        <w:rPr/>
        <w:t>(SGS) with a multifunctional profile was found to be Cassava</w:t>
      </w:r>
      <w:r>
        <w:rPr>
          <w:spacing w:val="1"/>
        </w:rPr>
        <w:t> </w:t>
      </w:r>
      <w:r>
        <w:rPr/>
        <w:t>starch</w:t>
      </w:r>
      <w:r>
        <w:rPr>
          <w:spacing w:val="-1"/>
        </w:rPr>
        <w:t> </w:t>
      </w:r>
      <w:r>
        <w:rPr/>
        <w:t>(90</w:t>
      </w:r>
      <w:r>
        <w:rPr>
          <w:spacing w:val="-1"/>
        </w:rPr>
        <w:t> </w:t>
      </w:r>
      <w:r>
        <w:rPr/>
        <w:t>%),</w:t>
      </w:r>
      <w:r>
        <w:rPr>
          <w:spacing w:val="-1"/>
        </w:rPr>
        <w:t> </w:t>
      </w:r>
      <w:r>
        <w:rPr/>
        <w:t>Gelatin (7.5</w:t>
      </w:r>
      <w:r>
        <w:rPr>
          <w:spacing w:val="-2"/>
        </w:rPr>
        <w:t> </w:t>
      </w:r>
      <w:r>
        <w:rPr/>
        <w:t>%)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Colloidal silicon</w:t>
      </w:r>
      <w:r>
        <w:rPr>
          <w:spacing w:val="-1"/>
        </w:rPr>
        <w:t> </w:t>
      </w:r>
      <w:r>
        <w:rPr/>
        <w:t>dioxide (2.5</w:t>
      </w:r>
      <w:r>
        <w:rPr>
          <w:spacing w:val="-1"/>
        </w:rPr>
        <w:t> </w:t>
      </w:r>
      <w:r>
        <w:rPr/>
        <w:t>%)</w:t>
      </w:r>
      <w:r>
        <w:rPr>
          <w:spacing w:val="3"/>
        </w:rPr>
        <w:t> </w:t>
      </w:r>
      <w:r>
        <w:rPr/>
        <w:t>respectively.</w:t>
      </w:r>
    </w:p>
    <w:p>
      <w:pPr>
        <w:pStyle w:val="BodyText"/>
        <w:spacing w:line="480" w:lineRule="auto" w:before="121"/>
        <w:ind w:left="465" w:right="1251"/>
        <w:jc w:val="both"/>
      </w:pPr>
      <w:r>
        <w:rPr/>
        <w:t>Solid-state characterization of StarGelaSil revealed an increase in size of spherically-</w:t>
      </w:r>
      <w:r>
        <w:rPr>
          <w:spacing w:val="1"/>
        </w:rPr>
        <w:t> </w:t>
      </w:r>
      <w:r>
        <w:rPr/>
        <w:t>shaped particles with a rough surface. The birefringent property of cassava starch was</w:t>
      </w:r>
      <w:r>
        <w:rPr>
          <w:spacing w:val="1"/>
        </w:rPr>
        <w:t> </w:t>
      </w:r>
      <w:r>
        <w:rPr/>
        <w:t>not lost as a result of co-processing. The material was found to be largely amorphous in</w:t>
      </w:r>
      <w:r>
        <w:rPr>
          <w:spacing w:val="1"/>
        </w:rPr>
        <w:t> </w:t>
      </w:r>
      <w:r>
        <w:rPr/>
        <w:t>nature,</w:t>
      </w:r>
      <w:r>
        <w:rPr>
          <w:spacing w:val="-1"/>
        </w:rPr>
        <w:t> </w:t>
      </w:r>
      <w:r>
        <w:rPr/>
        <w:t>moderately</w:t>
      </w:r>
      <w:r>
        <w:rPr>
          <w:spacing w:val="-5"/>
        </w:rPr>
        <w:t> </w:t>
      </w:r>
      <w:r>
        <w:rPr/>
        <w:t>hygroscopic</w:t>
      </w:r>
      <w:r>
        <w:rPr>
          <w:spacing w:val="1"/>
        </w:rPr>
        <w:t> </w:t>
      </w:r>
      <w:r>
        <w:rPr/>
        <w:t>and compatible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drug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choice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480" w:lineRule="auto" w:before="118"/>
        <w:ind w:left="465" w:right="1255"/>
        <w:jc w:val="both"/>
      </w:pPr>
      <w:r>
        <w:rPr/>
        <w:t>Flow and compression properties of </w:t>
      </w:r>
      <w:r>
        <w:rPr>
          <w:i/>
        </w:rPr>
        <w:t>StarGelaSil </w:t>
      </w:r>
      <w:r>
        <w:rPr/>
        <w:t>were enhanced when compared to</w:t>
      </w:r>
      <w:r>
        <w:rPr>
          <w:spacing w:val="1"/>
        </w:rPr>
        <w:t> </w:t>
      </w:r>
      <w:r>
        <w:rPr/>
        <w:t>cassava starch and the physical mixture of the constituent excipients. There was an</w:t>
      </w:r>
      <w:r>
        <w:rPr>
          <w:spacing w:val="1"/>
        </w:rPr>
        <w:t> </w:t>
      </w:r>
      <w:r>
        <w:rPr/>
        <w:t>improvement in the compressibility, tabletability and compactibility (CTC) profile of</w:t>
      </w:r>
      <w:r>
        <w:rPr>
          <w:spacing w:val="1"/>
        </w:rPr>
        <w:t> </w:t>
      </w:r>
      <w:r>
        <w:rPr>
          <w:i/>
        </w:rPr>
        <w:t>StarGelaSil</w:t>
      </w:r>
      <w:r>
        <w:rPr>
          <w:i/>
          <w:spacing w:val="-1"/>
        </w:rPr>
        <w:t> </w:t>
      </w:r>
      <w:r>
        <w:rPr/>
        <w:t>when compared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physical mixture</w:t>
      </w:r>
      <w:r>
        <w:rPr>
          <w:spacing w:val="-3"/>
        </w:rPr>
        <w:t> </w:t>
      </w:r>
      <w:r>
        <w:rPr/>
        <w:t>of the</w:t>
      </w:r>
      <w:r>
        <w:rPr>
          <w:spacing w:val="2"/>
        </w:rPr>
        <w:t> </w:t>
      </w:r>
      <w:r>
        <w:rPr/>
        <w:t>constituent excipients.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line="480" w:lineRule="auto" w:before="72"/>
        <w:ind w:left="465" w:right="1257"/>
        <w:jc w:val="both"/>
      </w:pPr>
      <w:r>
        <w:rPr/>
        <w:t>Tablets produced by </w:t>
      </w:r>
      <w:r>
        <w:rPr>
          <w:i/>
        </w:rPr>
        <w:t>StarGelaSil </w:t>
      </w:r>
      <w:r>
        <w:rPr/>
        <w:t>met the USP/NF (2009) specifications for desirable</w:t>
      </w:r>
      <w:r>
        <w:rPr>
          <w:spacing w:val="1"/>
        </w:rPr>
        <w:t> </w:t>
      </w:r>
      <w:r>
        <w:rPr/>
        <w:t>tablets</w:t>
      </w:r>
      <w:r>
        <w:rPr>
          <w:spacing w:val="-1"/>
        </w:rPr>
        <w:t> </w:t>
      </w:r>
      <w:r>
        <w:rPr/>
        <w:t>and compared well with tablets produced by</w:t>
      </w:r>
      <w:r>
        <w:rPr>
          <w:spacing w:val="-4"/>
        </w:rPr>
        <w:t> </w:t>
      </w:r>
      <w:r>
        <w:rPr/>
        <w:t>Prosolv</w:t>
      </w:r>
      <w:r>
        <w:rPr>
          <w:vertAlign w:val="superscript"/>
        </w:rPr>
        <w:t>®</w:t>
      </w:r>
      <w:r>
        <w:rPr>
          <w:vertAlign w:val="baseline"/>
        </w:rPr>
        <w:t> and StarLac</w:t>
      </w:r>
      <w:r>
        <w:rPr>
          <w:vertAlign w:val="superscript"/>
        </w:rPr>
        <w:t>®</w:t>
      </w:r>
      <w:r>
        <w:rPr>
          <w:vertAlign w:val="baseline"/>
        </w:rPr>
        <w:t>.</w:t>
      </w:r>
    </w:p>
    <w:p>
      <w:pPr>
        <w:pStyle w:val="Heading3"/>
        <w:numPr>
          <w:ilvl w:val="1"/>
          <w:numId w:val="24"/>
        </w:numPr>
        <w:tabs>
          <w:tab w:pos="1185" w:val="left" w:leader="none"/>
          <w:tab w:pos="1186" w:val="left" w:leader="none"/>
        </w:tabs>
        <w:spacing w:line="240" w:lineRule="auto" w:before="245" w:after="0"/>
        <w:ind w:left="1185" w:right="0" w:hanging="721"/>
        <w:jc w:val="left"/>
      </w:pPr>
      <w:bookmarkStart w:name="_TOC_250004" w:id="102"/>
      <w:r>
        <w:rPr/>
        <w:t>Contribution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bookmarkEnd w:id="102"/>
      <w:r>
        <w:rPr/>
        <w:t>Knowledge</w:t>
      </w:r>
    </w:p>
    <w:p>
      <w:pPr>
        <w:pStyle w:val="BodyText"/>
        <w:rPr>
          <w:b/>
          <w:sz w:val="34"/>
        </w:rPr>
      </w:pPr>
    </w:p>
    <w:p>
      <w:pPr>
        <w:pStyle w:val="ListParagraph"/>
        <w:numPr>
          <w:ilvl w:val="2"/>
          <w:numId w:val="24"/>
        </w:numPr>
        <w:tabs>
          <w:tab w:pos="1186" w:val="left" w:leader="none"/>
        </w:tabs>
        <w:spacing w:line="240" w:lineRule="auto" w:before="0" w:after="0"/>
        <w:ind w:left="1185" w:right="1256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application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26"/>
          <w:sz w:val="24"/>
        </w:rPr>
        <w:t> </w:t>
      </w:r>
      <w:r>
        <w:rPr>
          <w:sz w:val="24"/>
        </w:rPr>
        <w:t>scientific</w:t>
      </w:r>
      <w:r>
        <w:rPr>
          <w:spacing w:val="26"/>
          <w:sz w:val="24"/>
        </w:rPr>
        <w:t> </w:t>
      </w:r>
      <w:r>
        <w:rPr>
          <w:sz w:val="24"/>
        </w:rPr>
        <w:t>approach</w:t>
      </w:r>
      <w:r>
        <w:rPr>
          <w:spacing w:val="27"/>
          <w:sz w:val="24"/>
        </w:rPr>
        <w:t> </w:t>
      </w:r>
      <w:r>
        <w:rPr>
          <w:sz w:val="24"/>
        </w:rPr>
        <w:t>(DoE)</w:t>
      </w:r>
      <w:r>
        <w:rPr>
          <w:spacing w:val="31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optimize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composition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co-processed</w:t>
      </w:r>
      <w:r>
        <w:rPr>
          <w:spacing w:val="1"/>
          <w:sz w:val="24"/>
        </w:rPr>
        <w:t> </w:t>
      </w:r>
      <w:r>
        <w:rPr>
          <w:sz w:val="24"/>
        </w:rPr>
        <w:t>excipient, SGS.</w:t>
      </w:r>
    </w:p>
    <w:p>
      <w:pPr>
        <w:pStyle w:val="ListParagraph"/>
        <w:numPr>
          <w:ilvl w:val="2"/>
          <w:numId w:val="24"/>
        </w:numPr>
        <w:tabs>
          <w:tab w:pos="1186" w:val="left" w:leader="none"/>
        </w:tabs>
        <w:spacing w:line="240" w:lineRule="auto" w:before="120" w:after="0"/>
        <w:ind w:left="1185" w:right="1253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study</w:t>
      </w:r>
      <w:r>
        <w:rPr>
          <w:spacing w:val="21"/>
          <w:sz w:val="24"/>
        </w:rPr>
        <w:t> </w:t>
      </w:r>
      <w:r>
        <w:rPr>
          <w:sz w:val="24"/>
        </w:rPr>
        <w:t>was</w:t>
      </w:r>
      <w:r>
        <w:rPr>
          <w:spacing w:val="26"/>
          <w:sz w:val="24"/>
        </w:rPr>
        <w:t> </w:t>
      </w:r>
      <w:r>
        <w:rPr>
          <w:sz w:val="24"/>
        </w:rPr>
        <w:t>able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show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distribution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gelatin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matrix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co-</w:t>
      </w:r>
      <w:r>
        <w:rPr>
          <w:spacing w:val="-57"/>
          <w:sz w:val="24"/>
        </w:rPr>
        <w:t> </w:t>
      </w:r>
      <w:r>
        <w:rPr>
          <w:sz w:val="24"/>
        </w:rPr>
        <w:t>processed excipient using</w:t>
      </w:r>
      <w:r>
        <w:rPr>
          <w:spacing w:val="-3"/>
          <w:sz w:val="24"/>
        </w:rPr>
        <w:t> </w:t>
      </w:r>
      <w:r>
        <w:rPr>
          <w:sz w:val="24"/>
        </w:rPr>
        <w:t>confocal</w:t>
      </w:r>
      <w:r>
        <w:rPr>
          <w:spacing w:val="-1"/>
          <w:sz w:val="24"/>
        </w:rPr>
        <w:t> </w:t>
      </w:r>
      <w:r>
        <w:rPr>
          <w:sz w:val="24"/>
        </w:rPr>
        <w:t>laser scanning microscopy.</w:t>
      </w:r>
    </w:p>
    <w:p>
      <w:pPr>
        <w:pStyle w:val="ListParagraph"/>
        <w:numPr>
          <w:ilvl w:val="2"/>
          <w:numId w:val="24"/>
        </w:numPr>
        <w:tabs>
          <w:tab w:pos="1186" w:val="left" w:leader="none"/>
        </w:tabs>
        <w:spacing w:line="240" w:lineRule="auto" w:before="121" w:after="0"/>
        <w:ind w:left="1185" w:right="1253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development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a</w:t>
      </w:r>
      <w:r>
        <w:rPr>
          <w:spacing w:val="26"/>
          <w:sz w:val="24"/>
        </w:rPr>
        <w:t> </w:t>
      </w:r>
      <w:r>
        <w:rPr>
          <w:sz w:val="24"/>
        </w:rPr>
        <w:t>three-component</w:t>
      </w:r>
      <w:r>
        <w:rPr>
          <w:spacing w:val="28"/>
          <w:sz w:val="24"/>
        </w:rPr>
        <w:t> </w:t>
      </w:r>
      <w:r>
        <w:rPr>
          <w:sz w:val="24"/>
        </w:rPr>
        <w:t>multifunctional</w:t>
      </w:r>
      <w:r>
        <w:rPr>
          <w:spacing w:val="29"/>
          <w:sz w:val="24"/>
        </w:rPr>
        <w:t> </w:t>
      </w:r>
      <w:r>
        <w:rPr>
          <w:sz w:val="24"/>
        </w:rPr>
        <w:t>co-processed</w:t>
      </w:r>
      <w:r>
        <w:rPr>
          <w:spacing w:val="29"/>
          <w:sz w:val="24"/>
        </w:rPr>
        <w:t> </w:t>
      </w:r>
      <w:r>
        <w:rPr>
          <w:sz w:val="24"/>
        </w:rPr>
        <w:t>excipient</w:t>
      </w:r>
      <w:r>
        <w:rPr>
          <w:spacing w:val="-57"/>
          <w:sz w:val="24"/>
        </w:rPr>
        <w:t> </w:t>
      </w:r>
      <w:r>
        <w:rPr>
          <w:sz w:val="24"/>
        </w:rPr>
        <w:t>containing cassava</w:t>
      </w:r>
      <w:r>
        <w:rPr>
          <w:spacing w:val="-1"/>
          <w:sz w:val="24"/>
        </w:rPr>
        <w:t> </w:t>
      </w:r>
      <w:r>
        <w:rPr>
          <w:sz w:val="24"/>
        </w:rPr>
        <w:t>starch</w:t>
      </w:r>
      <w:r>
        <w:rPr>
          <w:spacing w:val="2"/>
          <w:sz w:val="24"/>
        </w:rPr>
        <w:t> </w:t>
      </w:r>
      <w:r>
        <w:rPr>
          <w:sz w:val="24"/>
        </w:rPr>
        <w:t>as the parent excipient.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1"/>
          <w:numId w:val="24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5" w:right="0" w:hanging="721"/>
        <w:jc w:val="left"/>
      </w:pPr>
      <w:bookmarkStart w:name="_TOC_250003" w:id="103"/>
      <w:bookmarkEnd w:id="103"/>
      <w:r>
        <w:rPr/>
        <w:t>Conclusion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1"/>
        <w:ind w:left="465" w:right="1252"/>
        <w:jc w:val="both"/>
      </w:pPr>
      <w:r>
        <w:rPr/>
        <w:t>The aim of this study was to improve the functionality of cassava starch for tablet</w:t>
      </w:r>
      <w:r>
        <w:rPr>
          <w:spacing w:val="1"/>
        </w:rPr>
        <w:t> </w:t>
      </w:r>
      <w:r>
        <w:rPr/>
        <w:t>formulation by direct compression. This was achieved by co-processing cassava starch</w:t>
      </w:r>
      <w:r>
        <w:rPr>
          <w:spacing w:val="1"/>
        </w:rPr>
        <w:t> </w:t>
      </w:r>
      <w:r>
        <w:rPr/>
        <w:t>with optimized quantities of gelatin and colloidal silicon dioxide as determined by</w:t>
      </w:r>
      <w:r>
        <w:rPr>
          <w:spacing w:val="1"/>
        </w:rPr>
        <w:t> </w:t>
      </w:r>
      <w:r>
        <w:rPr/>
        <w:t>Design of Experiment (DoE). The resulting excipient coded “</w:t>
      </w:r>
      <w:r>
        <w:rPr>
          <w:i/>
        </w:rPr>
        <w:t>StarGelaSil</w:t>
      </w:r>
      <w:r>
        <w:rPr/>
        <w:t>” exhibited</w:t>
      </w:r>
      <w:r>
        <w:rPr>
          <w:spacing w:val="1"/>
        </w:rPr>
        <w:t> </w:t>
      </w:r>
      <w:r>
        <w:rPr/>
        <w:t>superior characteristics required for tableting when compared to its parent excipient</w:t>
      </w:r>
      <w:r>
        <w:rPr>
          <w:spacing w:val="1"/>
        </w:rPr>
        <w:t> </w:t>
      </w:r>
      <w:r>
        <w:rPr/>
        <w:t>(Cassava</w:t>
      </w:r>
      <w:r>
        <w:rPr>
          <w:spacing w:val="1"/>
        </w:rPr>
        <w:t> </w:t>
      </w:r>
      <w:r>
        <w:rPr/>
        <w:t>starch)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mixture,</w:t>
      </w:r>
      <w:r>
        <w:rPr>
          <w:spacing w:val="1"/>
        </w:rPr>
        <w:t> </w:t>
      </w:r>
      <w:r>
        <w:rPr>
          <w:i/>
        </w:rPr>
        <w:t>StarGelaSil-PM</w:t>
      </w:r>
      <w:r>
        <w:rPr>
          <w:i/>
          <w:spacing w:val="1"/>
        </w:rPr>
        <w:t> </w:t>
      </w:r>
      <w:r>
        <w:rPr/>
        <w:t>(SGS-PM).</w:t>
      </w:r>
      <w:r>
        <w:rPr>
          <w:spacing w:val="60"/>
        </w:rPr>
        <w:t> </w:t>
      </w:r>
      <w:r>
        <w:rPr/>
        <w:t>Ibuprofen</w:t>
      </w:r>
      <w:r>
        <w:rPr>
          <w:spacing w:val="1"/>
        </w:rPr>
        <w:t> </w:t>
      </w:r>
      <w:r>
        <w:rPr/>
        <w:t>tablets produced using StarGelaSil as the sole</w:t>
      </w:r>
      <w:r>
        <w:rPr>
          <w:spacing w:val="60"/>
        </w:rPr>
        <w:t> </w:t>
      </w:r>
      <w:r>
        <w:rPr/>
        <w:t>excipient were found to</w:t>
      </w:r>
      <w:r>
        <w:rPr>
          <w:spacing w:val="60"/>
        </w:rPr>
        <w:t> </w:t>
      </w:r>
      <w:r>
        <w:rPr/>
        <w:t>have met the</w:t>
      </w:r>
      <w:r>
        <w:rPr>
          <w:spacing w:val="1"/>
        </w:rPr>
        <w:t> </w:t>
      </w:r>
      <w:r>
        <w:rPr/>
        <w:t>USP specifications for desirable tablets and compared well with commercially available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(Prosolv®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StarLac®)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>
          <w:i/>
        </w:rPr>
        <w:t>StarGelaSil</w:t>
      </w:r>
      <w:r>
        <w:rPr/>
        <w:t>can therefore be put forward as a suitable excipient for tablet formulation by</w:t>
      </w:r>
      <w:r>
        <w:rPr>
          <w:spacing w:val="1"/>
        </w:rPr>
        <w:t> </w:t>
      </w:r>
      <w:r>
        <w:rPr/>
        <w:t>direct</w:t>
      </w:r>
      <w:r>
        <w:rPr>
          <w:spacing w:val="-1"/>
        </w:rPr>
        <w:t> </w:t>
      </w:r>
      <w:r>
        <w:rPr/>
        <w:t>compression.</w:t>
      </w:r>
    </w:p>
    <w:p>
      <w:pPr>
        <w:pStyle w:val="BodyText"/>
        <w:spacing w:before="2"/>
        <w:rPr>
          <w:sz w:val="21"/>
        </w:rPr>
      </w:pPr>
    </w:p>
    <w:p>
      <w:pPr>
        <w:pStyle w:val="Heading3"/>
        <w:numPr>
          <w:ilvl w:val="1"/>
          <w:numId w:val="24"/>
        </w:numPr>
        <w:tabs>
          <w:tab w:pos="1186" w:val="left" w:leader="none"/>
        </w:tabs>
        <w:spacing w:line="240" w:lineRule="auto" w:before="0" w:after="0"/>
        <w:ind w:left="1185" w:right="0" w:hanging="721"/>
        <w:jc w:val="both"/>
      </w:pPr>
      <w:bookmarkStart w:name="_TOC_250002" w:id="104"/>
      <w:r>
        <w:rPr/>
        <w:t>Recommendations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2"/>
        </w:rPr>
        <w:t> </w:t>
      </w:r>
      <w:bookmarkEnd w:id="104"/>
      <w:r>
        <w:rPr/>
        <w:t>study</w:t>
      </w:r>
    </w:p>
    <w:p>
      <w:pPr>
        <w:pStyle w:val="BodyText"/>
        <w:rPr>
          <w:b/>
          <w:sz w:val="34"/>
        </w:rPr>
      </w:pPr>
    </w:p>
    <w:p>
      <w:pPr>
        <w:pStyle w:val="ListParagraph"/>
        <w:numPr>
          <w:ilvl w:val="2"/>
          <w:numId w:val="24"/>
        </w:numPr>
        <w:tabs>
          <w:tab w:pos="1186" w:val="left" w:leader="none"/>
        </w:tabs>
        <w:spacing w:line="240" w:lineRule="auto" w:before="0" w:after="0"/>
        <w:ind w:left="1185" w:right="1254" w:hanging="360"/>
        <w:jc w:val="left"/>
        <w:rPr>
          <w:sz w:val="24"/>
        </w:rPr>
      </w:pPr>
      <w:r>
        <w:rPr>
          <w:sz w:val="24"/>
        </w:rPr>
        <w:t>Design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Experiment</w:t>
      </w:r>
      <w:r>
        <w:rPr>
          <w:spacing w:val="7"/>
          <w:sz w:val="24"/>
        </w:rPr>
        <w:t> </w:t>
      </w:r>
      <w:r>
        <w:rPr>
          <w:sz w:val="24"/>
        </w:rPr>
        <w:t>(DoE)</w:t>
      </w:r>
      <w:r>
        <w:rPr>
          <w:spacing w:val="6"/>
          <w:sz w:val="24"/>
        </w:rPr>
        <w:t> </w:t>
      </w:r>
      <w:r>
        <w:rPr>
          <w:sz w:val="24"/>
        </w:rPr>
        <w:t>can</w:t>
      </w:r>
      <w:r>
        <w:rPr>
          <w:spacing w:val="6"/>
          <w:sz w:val="24"/>
        </w:rPr>
        <w:t> </w:t>
      </w:r>
      <w:r>
        <w:rPr>
          <w:sz w:val="24"/>
        </w:rPr>
        <w:t>be</w:t>
      </w:r>
      <w:r>
        <w:rPr>
          <w:spacing w:val="6"/>
          <w:sz w:val="24"/>
        </w:rPr>
        <w:t> </w:t>
      </w:r>
      <w:r>
        <w:rPr>
          <w:sz w:val="24"/>
        </w:rPr>
        <w:t>applied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optimize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co-processing</w:t>
      </w:r>
      <w:r>
        <w:rPr>
          <w:spacing w:val="-57"/>
          <w:sz w:val="24"/>
        </w:rPr>
        <w:t> </w:t>
      </w:r>
      <w:r>
        <w:rPr>
          <w:sz w:val="24"/>
        </w:rPr>
        <w:t>technique.</w:t>
      </w:r>
    </w:p>
    <w:p>
      <w:pPr>
        <w:pStyle w:val="ListParagraph"/>
        <w:numPr>
          <w:ilvl w:val="2"/>
          <w:numId w:val="24"/>
        </w:numPr>
        <w:tabs>
          <w:tab w:pos="1186" w:val="left" w:leader="none"/>
        </w:tabs>
        <w:spacing w:line="240" w:lineRule="auto" w:before="120" w:after="0"/>
        <w:ind w:left="1185" w:right="1259" w:hanging="360"/>
        <w:jc w:val="left"/>
        <w:rPr>
          <w:sz w:val="24"/>
        </w:rPr>
      </w:pPr>
      <w:r>
        <w:rPr>
          <w:sz w:val="24"/>
        </w:rPr>
        <w:t>Further</w:t>
      </w:r>
      <w:r>
        <w:rPr>
          <w:spacing w:val="45"/>
          <w:sz w:val="24"/>
        </w:rPr>
        <w:t> </w:t>
      </w:r>
      <w:r>
        <w:rPr>
          <w:sz w:val="24"/>
        </w:rPr>
        <w:t>characterization</w:t>
      </w:r>
      <w:r>
        <w:rPr>
          <w:spacing w:val="44"/>
          <w:sz w:val="24"/>
        </w:rPr>
        <w:t> </w:t>
      </w:r>
      <w:r>
        <w:rPr>
          <w:sz w:val="24"/>
        </w:rPr>
        <w:t>studies</w:t>
      </w:r>
      <w:r>
        <w:rPr>
          <w:spacing w:val="44"/>
          <w:sz w:val="24"/>
        </w:rPr>
        <w:t> </w:t>
      </w:r>
      <w:r>
        <w:rPr>
          <w:sz w:val="24"/>
        </w:rPr>
        <w:t>at</w:t>
      </w:r>
      <w:r>
        <w:rPr>
          <w:spacing w:val="44"/>
          <w:sz w:val="24"/>
        </w:rPr>
        <w:t> </w:t>
      </w:r>
      <w:r>
        <w:rPr>
          <w:sz w:val="24"/>
        </w:rPr>
        <w:t>molecular</w:t>
      </w:r>
      <w:r>
        <w:rPr>
          <w:spacing w:val="43"/>
          <w:sz w:val="24"/>
        </w:rPr>
        <w:t> </w:t>
      </w:r>
      <w:r>
        <w:rPr>
          <w:sz w:val="24"/>
        </w:rPr>
        <w:t>level</w:t>
      </w:r>
      <w:r>
        <w:rPr>
          <w:spacing w:val="44"/>
          <w:sz w:val="24"/>
        </w:rPr>
        <w:t> </w:t>
      </w:r>
      <w:r>
        <w:rPr>
          <w:sz w:val="24"/>
        </w:rPr>
        <w:t>can</w:t>
      </w:r>
      <w:r>
        <w:rPr>
          <w:spacing w:val="44"/>
          <w:sz w:val="24"/>
        </w:rPr>
        <w:t> </w:t>
      </w:r>
      <w:r>
        <w:rPr>
          <w:sz w:val="24"/>
        </w:rPr>
        <w:t>be</w:t>
      </w:r>
      <w:r>
        <w:rPr>
          <w:spacing w:val="43"/>
          <w:sz w:val="24"/>
        </w:rPr>
        <w:t> </w:t>
      </w:r>
      <w:r>
        <w:rPr>
          <w:sz w:val="24"/>
        </w:rPr>
        <w:t>done</w:t>
      </w:r>
      <w:r>
        <w:rPr>
          <w:spacing w:val="43"/>
          <w:sz w:val="24"/>
        </w:rPr>
        <w:t> </w:t>
      </w:r>
      <w:r>
        <w:rPr>
          <w:sz w:val="24"/>
        </w:rPr>
        <w:t>to</w:t>
      </w:r>
      <w:r>
        <w:rPr>
          <w:spacing w:val="44"/>
          <w:sz w:val="24"/>
        </w:rPr>
        <w:t> </w:t>
      </w:r>
      <w:r>
        <w:rPr>
          <w:sz w:val="24"/>
        </w:rPr>
        <w:t>gain</w:t>
      </w:r>
      <w:r>
        <w:rPr>
          <w:spacing w:val="44"/>
          <w:sz w:val="24"/>
        </w:rPr>
        <w:t> </w:t>
      </w:r>
      <w:r>
        <w:rPr>
          <w:sz w:val="24"/>
        </w:rPr>
        <w:t>more</w:t>
      </w:r>
      <w:r>
        <w:rPr>
          <w:spacing w:val="-57"/>
          <w:sz w:val="24"/>
        </w:rPr>
        <w:t> </w:t>
      </w:r>
      <w:r>
        <w:rPr>
          <w:sz w:val="24"/>
        </w:rPr>
        <w:t>insights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basis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-1"/>
          <w:sz w:val="24"/>
        </w:rPr>
        <w:t> </w:t>
      </w:r>
      <w:r>
        <w:rPr>
          <w:sz w:val="24"/>
        </w:rPr>
        <w:t>functionality</w:t>
      </w:r>
      <w:r>
        <w:rPr>
          <w:spacing w:val="-4"/>
          <w:sz w:val="24"/>
        </w:rPr>
        <w:t> </w:t>
      </w:r>
      <w:r>
        <w:rPr>
          <w:sz w:val="24"/>
        </w:rPr>
        <w:t>as a</w:t>
      </w:r>
      <w:r>
        <w:rPr>
          <w:spacing w:val="-1"/>
          <w:sz w:val="24"/>
        </w:rPr>
        <w:t> </w:t>
      </w:r>
      <w:r>
        <w:rPr>
          <w:sz w:val="24"/>
        </w:rPr>
        <w:t>result of</w:t>
      </w:r>
      <w:r>
        <w:rPr>
          <w:spacing w:val="-1"/>
          <w:sz w:val="24"/>
        </w:rPr>
        <w:t> </w:t>
      </w:r>
      <w:r>
        <w:rPr>
          <w:sz w:val="24"/>
        </w:rPr>
        <w:t>co-processing.</w:t>
      </w:r>
    </w:p>
    <w:p>
      <w:pPr>
        <w:pStyle w:val="ListParagraph"/>
        <w:numPr>
          <w:ilvl w:val="2"/>
          <w:numId w:val="24"/>
        </w:numPr>
        <w:tabs>
          <w:tab w:pos="1186" w:val="left" w:leader="none"/>
        </w:tabs>
        <w:spacing w:line="240" w:lineRule="auto" w:before="120" w:after="0"/>
        <w:ind w:left="1185" w:right="1262" w:hanging="360"/>
        <w:jc w:val="left"/>
        <w:rPr>
          <w:sz w:val="24"/>
        </w:rPr>
      </w:pPr>
      <w:r>
        <w:rPr>
          <w:sz w:val="24"/>
        </w:rPr>
        <w:t>Other</w:t>
      </w:r>
      <w:r>
        <w:rPr>
          <w:spacing w:val="19"/>
          <w:sz w:val="24"/>
        </w:rPr>
        <w:t> </w:t>
      </w:r>
      <w:r>
        <w:rPr>
          <w:sz w:val="24"/>
        </w:rPr>
        <w:t>compaction</w:t>
      </w:r>
      <w:r>
        <w:rPr>
          <w:spacing w:val="19"/>
          <w:sz w:val="24"/>
        </w:rPr>
        <w:t> </w:t>
      </w:r>
      <w:r>
        <w:rPr>
          <w:sz w:val="24"/>
        </w:rPr>
        <w:t>models</w:t>
      </w:r>
      <w:r>
        <w:rPr>
          <w:spacing w:val="19"/>
          <w:sz w:val="24"/>
        </w:rPr>
        <w:t> </w:t>
      </w:r>
      <w:r>
        <w:rPr>
          <w:sz w:val="24"/>
        </w:rPr>
        <w:t>like</w:t>
      </w:r>
      <w:r>
        <w:rPr>
          <w:spacing w:val="18"/>
          <w:sz w:val="24"/>
        </w:rPr>
        <w:t> </w:t>
      </w:r>
      <w:r>
        <w:rPr>
          <w:sz w:val="24"/>
        </w:rPr>
        <w:t>Walker,</w:t>
      </w:r>
      <w:r>
        <w:rPr>
          <w:spacing w:val="19"/>
          <w:sz w:val="24"/>
        </w:rPr>
        <w:t> </w:t>
      </w:r>
      <w:r>
        <w:rPr>
          <w:sz w:val="24"/>
        </w:rPr>
        <w:t>Rhyskewitch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Modified</w:t>
      </w:r>
      <w:r>
        <w:rPr>
          <w:spacing w:val="19"/>
          <w:sz w:val="24"/>
        </w:rPr>
        <w:t> </w:t>
      </w:r>
      <w:r>
        <w:rPr>
          <w:sz w:val="24"/>
        </w:rPr>
        <w:t>Heckel</w:t>
      </w:r>
      <w:r>
        <w:rPr>
          <w:spacing w:val="-57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 employed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characterize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compaction</w:t>
      </w:r>
      <w:r>
        <w:rPr>
          <w:spacing w:val="-1"/>
          <w:sz w:val="24"/>
        </w:rPr>
        <w:t> </w:t>
      </w:r>
      <w:r>
        <w:rPr>
          <w:sz w:val="24"/>
        </w:rPr>
        <w:t>behaviour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SGS.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20" w:bottom="1260" w:left="1520" w:right="160"/>
        </w:sectPr>
      </w:pPr>
    </w:p>
    <w:p>
      <w:pPr>
        <w:pStyle w:val="ListParagraph"/>
        <w:numPr>
          <w:ilvl w:val="2"/>
          <w:numId w:val="24"/>
        </w:numPr>
        <w:tabs>
          <w:tab w:pos="1186" w:val="left" w:leader="none"/>
        </w:tabs>
        <w:spacing w:line="240" w:lineRule="auto" w:before="72" w:after="0"/>
        <w:ind w:left="1185" w:right="1261" w:hanging="360"/>
        <w:jc w:val="left"/>
        <w:rPr>
          <w:sz w:val="24"/>
        </w:rPr>
      </w:pPr>
      <w:r>
        <w:rPr>
          <w:sz w:val="24"/>
        </w:rPr>
        <w:t>Formulation</w:t>
      </w:r>
      <w:r>
        <w:rPr>
          <w:spacing w:val="44"/>
          <w:sz w:val="24"/>
        </w:rPr>
        <w:t> </w:t>
      </w:r>
      <w:r>
        <w:rPr>
          <w:sz w:val="24"/>
        </w:rPr>
        <w:t>studies</w:t>
      </w:r>
      <w:r>
        <w:rPr>
          <w:spacing w:val="43"/>
          <w:sz w:val="24"/>
        </w:rPr>
        <w:t> </w:t>
      </w:r>
      <w:r>
        <w:rPr>
          <w:sz w:val="24"/>
        </w:rPr>
        <w:t>can</w:t>
      </w:r>
      <w:r>
        <w:rPr>
          <w:spacing w:val="46"/>
          <w:sz w:val="24"/>
        </w:rPr>
        <w:t> </w:t>
      </w:r>
      <w:r>
        <w:rPr>
          <w:sz w:val="24"/>
        </w:rPr>
        <w:t>be</w:t>
      </w:r>
      <w:r>
        <w:rPr>
          <w:spacing w:val="43"/>
          <w:sz w:val="24"/>
        </w:rPr>
        <w:t> </w:t>
      </w:r>
      <w:r>
        <w:rPr>
          <w:sz w:val="24"/>
        </w:rPr>
        <w:t>carried</w:t>
      </w:r>
      <w:r>
        <w:rPr>
          <w:spacing w:val="44"/>
          <w:sz w:val="24"/>
        </w:rPr>
        <w:t> </w:t>
      </w:r>
      <w:r>
        <w:rPr>
          <w:sz w:val="24"/>
        </w:rPr>
        <w:t>out</w:t>
      </w:r>
      <w:r>
        <w:rPr>
          <w:spacing w:val="44"/>
          <w:sz w:val="24"/>
        </w:rPr>
        <w:t> </w:t>
      </w:r>
      <w:r>
        <w:rPr>
          <w:sz w:val="24"/>
        </w:rPr>
        <w:t>using</w:t>
      </w:r>
      <w:r>
        <w:rPr>
          <w:spacing w:val="42"/>
          <w:sz w:val="24"/>
        </w:rPr>
        <w:t> </w:t>
      </w:r>
      <w:r>
        <w:rPr>
          <w:sz w:val="24"/>
        </w:rPr>
        <w:t>other</w:t>
      </w:r>
      <w:r>
        <w:rPr>
          <w:spacing w:val="43"/>
          <w:sz w:val="24"/>
        </w:rPr>
        <w:t> </w:t>
      </w:r>
      <w:r>
        <w:rPr>
          <w:sz w:val="24"/>
        </w:rPr>
        <w:t>poorly</w:t>
      </w:r>
      <w:r>
        <w:rPr>
          <w:spacing w:val="40"/>
          <w:sz w:val="24"/>
        </w:rPr>
        <w:t> </w:t>
      </w:r>
      <w:r>
        <w:rPr>
          <w:sz w:val="24"/>
        </w:rPr>
        <w:t>compressible</w:t>
      </w:r>
      <w:r>
        <w:rPr>
          <w:spacing w:val="46"/>
          <w:sz w:val="24"/>
        </w:rPr>
        <w:t> </w:t>
      </w:r>
      <w:r>
        <w:rPr>
          <w:sz w:val="24"/>
        </w:rPr>
        <w:t>drug</w:t>
      </w:r>
      <w:r>
        <w:rPr>
          <w:spacing w:val="-57"/>
          <w:sz w:val="24"/>
        </w:rPr>
        <w:t> </w:t>
      </w:r>
      <w:r>
        <w:rPr>
          <w:sz w:val="24"/>
        </w:rPr>
        <w:t>models.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ind w:left="643" w:right="1436"/>
        <w:jc w:val="center"/>
      </w:pPr>
      <w:bookmarkStart w:name="_TOC_250001" w:id="105"/>
      <w:bookmarkEnd w:id="105"/>
      <w:r>
        <w:rPr/>
        <w:t>REFERENCES</w:t>
      </w:r>
    </w:p>
    <w:p>
      <w:pPr>
        <w:pStyle w:val="BodyText"/>
        <w:spacing w:before="1"/>
        <w:rPr>
          <w:b/>
          <w:sz w:val="34"/>
        </w:rPr>
      </w:pPr>
    </w:p>
    <w:p>
      <w:pPr>
        <w:spacing w:before="0"/>
        <w:ind w:left="1185" w:right="1253" w:hanging="720"/>
        <w:jc w:val="both"/>
        <w:rPr>
          <w:sz w:val="24"/>
        </w:rPr>
      </w:pPr>
      <w:r>
        <w:rPr>
          <w:sz w:val="24"/>
        </w:rPr>
        <w:t>Adeagbo,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Alebiowu,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(2008).Evaluation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cocoa</w:t>
      </w:r>
      <w:r>
        <w:rPr>
          <w:spacing w:val="1"/>
          <w:sz w:val="24"/>
        </w:rPr>
        <w:t> </w:t>
      </w:r>
      <w:r>
        <w:rPr>
          <w:sz w:val="24"/>
        </w:rPr>
        <w:t>butter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1"/>
          <w:sz w:val="24"/>
        </w:rPr>
        <w:t> </w:t>
      </w:r>
      <w:r>
        <w:rPr>
          <w:sz w:val="24"/>
        </w:rPr>
        <w:t>lubricant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co-processing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pharmaceutical</w:t>
      </w:r>
      <w:r>
        <w:rPr>
          <w:spacing w:val="1"/>
          <w:sz w:val="24"/>
        </w:rPr>
        <w:t> </w:t>
      </w:r>
      <w:r>
        <w:rPr>
          <w:sz w:val="24"/>
        </w:rPr>
        <w:t>tablets.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 </w:t>
      </w:r>
      <w:r>
        <w:rPr>
          <w:b/>
          <w:sz w:val="24"/>
        </w:rPr>
        <w:t>13(3)</w:t>
      </w:r>
      <w:r>
        <w:rPr>
          <w:sz w:val="24"/>
        </w:rPr>
        <w:t>: 197-204.</w:t>
      </w:r>
    </w:p>
    <w:p>
      <w:pPr>
        <w:pStyle w:val="BodyText"/>
        <w:spacing w:before="120"/>
        <w:ind w:left="1185" w:right="1254" w:hanging="720"/>
        <w:jc w:val="both"/>
      </w:pPr>
      <w:r>
        <w:rPr/>
        <w:t>Adedokun,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Itiola,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(2010).Material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characteristics of natural and pregelatinized forms of four starches.</w:t>
      </w:r>
      <w:r>
        <w:rPr>
          <w:i/>
        </w:rPr>
        <w:t>Carbohydrate</w:t>
      </w:r>
      <w:r>
        <w:rPr>
          <w:i/>
          <w:spacing w:val="-57"/>
        </w:rPr>
        <w:t> </w:t>
      </w:r>
      <w:r>
        <w:rPr>
          <w:i/>
        </w:rPr>
        <w:t>Polymers</w:t>
      </w:r>
      <w:r>
        <w:rPr/>
        <w:t>,</w:t>
      </w:r>
      <w:r>
        <w:rPr>
          <w:spacing w:val="-1"/>
        </w:rPr>
        <w:t> </w:t>
      </w:r>
      <w:r>
        <w:rPr>
          <w:b/>
        </w:rPr>
        <w:t>79</w:t>
      </w:r>
      <w:r>
        <w:rPr/>
        <w:t>: 818-824.</w:t>
      </w:r>
    </w:p>
    <w:p>
      <w:pPr>
        <w:pStyle w:val="BodyText"/>
        <w:spacing w:before="120"/>
        <w:ind w:left="1185" w:right="1254" w:hanging="720"/>
        <w:jc w:val="both"/>
      </w:pPr>
      <w:r>
        <w:rPr/>
        <w:t>Adeoye, O. and Alebiowu, G. (2014a). Flow, packing and compaction properties of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co-processed multifunctional</w:t>
      </w:r>
      <w:r>
        <w:rPr>
          <w:spacing w:val="1"/>
        </w:rPr>
        <w:t> </w:t>
      </w:r>
      <w:r>
        <w:rPr/>
        <w:t>directly compressible excipients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from tapioca starch and mannitol. </w:t>
      </w:r>
      <w:r>
        <w:rPr>
          <w:i/>
        </w:rPr>
        <w:t>Pharmaceutical Development Technology</w:t>
      </w:r>
      <w:r>
        <w:rPr/>
        <w:t>, </w:t>
      </w:r>
      <w:r>
        <w:rPr>
          <w:b/>
        </w:rPr>
        <w:t>19</w:t>
      </w:r>
      <w:r>
        <w:rPr>
          <w:b/>
          <w:spacing w:val="1"/>
        </w:rPr>
        <w:t> </w:t>
      </w:r>
      <w:r>
        <w:rPr>
          <w:b/>
        </w:rPr>
        <w:t>(8)</w:t>
      </w:r>
      <w:r>
        <w:rPr/>
        <w:t>:</w:t>
      </w:r>
      <w:r>
        <w:rPr>
          <w:spacing w:val="-1"/>
        </w:rPr>
        <w:t> </w:t>
      </w:r>
      <w:r>
        <w:rPr/>
        <w:t>901-910.</w:t>
      </w:r>
    </w:p>
    <w:p>
      <w:pPr>
        <w:spacing w:before="121"/>
        <w:ind w:left="1185" w:right="1253" w:hanging="720"/>
        <w:jc w:val="both"/>
        <w:rPr>
          <w:sz w:val="24"/>
        </w:rPr>
      </w:pPr>
      <w:r>
        <w:rPr>
          <w:sz w:val="24"/>
        </w:rPr>
        <w:t>Adeoye,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Alebiowu,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(2014b).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co-processed</w:t>
      </w:r>
      <w:r>
        <w:rPr>
          <w:spacing w:val="1"/>
          <w:sz w:val="24"/>
        </w:rPr>
        <w:t> </w:t>
      </w:r>
      <w:r>
        <w:rPr>
          <w:sz w:val="24"/>
        </w:rPr>
        <w:t>disintegrants</w:t>
      </w:r>
      <w:r>
        <w:rPr>
          <w:spacing w:val="1"/>
          <w:sz w:val="24"/>
        </w:rPr>
        <w:t> </w:t>
      </w:r>
      <w:r>
        <w:rPr>
          <w:sz w:val="24"/>
        </w:rPr>
        <w:t>produced from tapioca starch and mannitol in orally disintegrating paracetamol</w:t>
      </w:r>
      <w:r>
        <w:rPr>
          <w:spacing w:val="1"/>
          <w:sz w:val="24"/>
        </w:rPr>
        <w:t> </w:t>
      </w:r>
      <w:r>
        <w:rPr>
          <w:sz w:val="24"/>
        </w:rPr>
        <w:t>tablets.</w:t>
      </w:r>
      <w:r>
        <w:rPr>
          <w:spacing w:val="-1"/>
          <w:sz w:val="24"/>
        </w:rPr>
        <w:t> </w:t>
      </w:r>
      <w:r>
        <w:rPr>
          <w:i/>
          <w:sz w:val="24"/>
        </w:rPr>
        <w:t>Acta Poloniae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Pharmaceutica-Drug 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71 (5)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803-811.</w:t>
      </w:r>
    </w:p>
    <w:p>
      <w:pPr>
        <w:spacing w:before="120"/>
        <w:ind w:left="1185" w:right="1253" w:hanging="720"/>
        <w:jc w:val="both"/>
        <w:rPr>
          <w:sz w:val="24"/>
        </w:rPr>
      </w:pPr>
      <w:r>
        <w:rPr>
          <w:sz w:val="24"/>
        </w:rPr>
        <w:t>Adolfsson, A. and Nystrom, C. (1996). Tablet strength, porosity, elasticity and solid</w:t>
      </w:r>
      <w:r>
        <w:rPr>
          <w:spacing w:val="1"/>
          <w:sz w:val="24"/>
        </w:rPr>
        <w:t> </w:t>
      </w:r>
      <w:r>
        <w:rPr>
          <w:sz w:val="24"/>
        </w:rPr>
        <w:t>state structure of tablets</w:t>
      </w:r>
      <w:r>
        <w:rPr>
          <w:spacing w:val="1"/>
          <w:sz w:val="24"/>
        </w:rPr>
        <w:t> </w:t>
      </w:r>
      <w:r>
        <w:rPr>
          <w:sz w:val="24"/>
        </w:rPr>
        <w:t>compressed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loads.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132</w:t>
      </w:r>
      <w:r>
        <w:rPr>
          <w:sz w:val="24"/>
        </w:rPr>
        <w:t>: 95-106.</w:t>
      </w:r>
    </w:p>
    <w:p>
      <w:pPr>
        <w:pStyle w:val="BodyText"/>
        <w:spacing w:before="120"/>
        <w:ind w:left="1185" w:right="1254" w:hanging="720"/>
        <w:jc w:val="both"/>
      </w:pPr>
      <w:r>
        <w:rPr/>
        <w:t>Airaksinen,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Karjalainen,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Shevchenko,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Westermarck,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Leppänen,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Rantanen, J. and Yliruusi, J. (2005).Role of water in the physical stability of</w:t>
      </w:r>
      <w:r>
        <w:rPr>
          <w:spacing w:val="1"/>
        </w:rPr>
        <w:t> </w:t>
      </w:r>
      <w:r>
        <w:rPr/>
        <w:t>solid dosage formulations.</w:t>
      </w:r>
      <w:r>
        <w:rPr>
          <w:i/>
        </w:rPr>
        <w:t>Journal of Pharmaceutical Sciences</w:t>
      </w:r>
      <w:r>
        <w:rPr/>
        <w:t>, </w:t>
      </w:r>
      <w:r>
        <w:rPr>
          <w:b/>
        </w:rPr>
        <w:t>94(10)</w:t>
      </w:r>
      <w:r>
        <w:rPr/>
        <w:t>: 2147–</w:t>
      </w:r>
      <w:r>
        <w:rPr>
          <w:spacing w:val="1"/>
        </w:rPr>
        <w:t> </w:t>
      </w:r>
      <w:r>
        <w:rPr/>
        <w:t>2165.</w:t>
      </w:r>
    </w:p>
    <w:p>
      <w:pPr>
        <w:pStyle w:val="BodyText"/>
        <w:spacing w:before="121"/>
        <w:ind w:left="465"/>
        <w:jc w:val="both"/>
      </w:pPr>
      <w:r>
        <w:rPr/>
        <w:t>Al-Akayleh,</w:t>
      </w:r>
      <w:r>
        <w:rPr>
          <w:spacing w:val="19"/>
        </w:rPr>
        <w:t> </w:t>
      </w:r>
      <w:r>
        <w:rPr/>
        <w:t>F.,</w:t>
      </w:r>
      <w:r>
        <w:rPr>
          <w:spacing w:val="19"/>
        </w:rPr>
        <w:t> </w:t>
      </w:r>
      <w:r>
        <w:rPr/>
        <w:t>Al-Mishlab,</w:t>
      </w:r>
      <w:r>
        <w:rPr>
          <w:spacing w:val="20"/>
        </w:rPr>
        <w:t> </w:t>
      </w:r>
      <w:r>
        <w:rPr/>
        <w:t>M.,</w:t>
      </w:r>
      <w:r>
        <w:rPr>
          <w:spacing w:val="19"/>
        </w:rPr>
        <w:t> </w:t>
      </w:r>
      <w:r>
        <w:rPr/>
        <w:t>Shubair,</w:t>
      </w:r>
      <w:r>
        <w:rPr>
          <w:spacing w:val="20"/>
        </w:rPr>
        <w:t> </w:t>
      </w:r>
      <w:r>
        <w:rPr/>
        <w:t>M.,</w:t>
      </w:r>
      <w:r>
        <w:rPr>
          <w:spacing w:val="19"/>
        </w:rPr>
        <w:t> </w:t>
      </w:r>
      <w:r>
        <w:rPr/>
        <w:t>Alkhatib,</w:t>
      </w:r>
      <w:r>
        <w:rPr>
          <w:spacing w:val="19"/>
        </w:rPr>
        <w:t> </w:t>
      </w:r>
      <w:r>
        <w:rPr/>
        <w:t>H.</w:t>
      </w:r>
      <w:r>
        <w:rPr>
          <w:spacing w:val="19"/>
        </w:rPr>
        <w:t> </w:t>
      </w:r>
      <w:r>
        <w:rPr/>
        <w:t>S.,</w:t>
      </w:r>
      <w:r>
        <w:rPr>
          <w:spacing w:val="19"/>
        </w:rPr>
        <w:t> </w:t>
      </w:r>
      <w:r>
        <w:rPr/>
        <w:t>Rashid,</w:t>
      </w:r>
      <w:r>
        <w:rPr>
          <w:spacing w:val="21"/>
        </w:rPr>
        <w:t> </w:t>
      </w:r>
      <w:r>
        <w:rPr/>
        <w:t>I.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Badwan,</w:t>
      </w:r>
    </w:p>
    <w:p>
      <w:pPr>
        <w:spacing w:before="0"/>
        <w:ind w:left="1185" w:right="1254" w:firstLine="0"/>
        <w:jc w:val="both"/>
        <w:rPr>
          <w:sz w:val="24"/>
        </w:rPr>
      </w:pPr>
      <w:r>
        <w:rPr>
          <w:sz w:val="24"/>
        </w:rPr>
        <w:t>A. (2013). Development and evaluation of a novel, multifunctional co-processed</w:t>
      </w:r>
      <w:r>
        <w:rPr>
          <w:spacing w:val="-57"/>
          <w:sz w:val="24"/>
        </w:rPr>
        <w:t> </w:t>
      </w:r>
      <w:r>
        <w:rPr>
          <w:sz w:val="24"/>
        </w:rPr>
        <w:t>excipient</w:t>
      </w:r>
      <w:r>
        <w:rPr>
          <w:spacing w:val="1"/>
          <w:sz w:val="24"/>
        </w:rPr>
        <w:t> </w:t>
      </w:r>
      <w:r>
        <w:rPr>
          <w:sz w:val="24"/>
        </w:rPr>
        <w:t>via</w:t>
      </w:r>
      <w:r>
        <w:rPr>
          <w:spacing w:val="1"/>
          <w:sz w:val="24"/>
        </w:rPr>
        <w:t> </w:t>
      </w:r>
      <w:r>
        <w:rPr>
          <w:sz w:val="24"/>
        </w:rPr>
        <w:t>roller</w:t>
      </w:r>
      <w:r>
        <w:rPr>
          <w:spacing w:val="1"/>
          <w:sz w:val="24"/>
        </w:rPr>
        <w:t> </w:t>
      </w:r>
      <w:r>
        <w:rPr>
          <w:sz w:val="24"/>
        </w:rPr>
        <w:t>compaction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α-lactose</w:t>
      </w:r>
      <w:r>
        <w:rPr>
          <w:spacing w:val="1"/>
          <w:sz w:val="24"/>
        </w:rPr>
        <w:t> </w:t>
      </w:r>
      <w:r>
        <w:rPr>
          <w:sz w:val="24"/>
        </w:rPr>
        <w:t>monohydrate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magnesium</w:t>
      </w:r>
      <w:r>
        <w:rPr>
          <w:spacing w:val="1"/>
          <w:sz w:val="24"/>
        </w:rPr>
        <w:t> </w:t>
      </w:r>
      <w:r>
        <w:rPr>
          <w:sz w:val="24"/>
        </w:rPr>
        <w:t>silicate.</w:t>
      </w:r>
      <w:r>
        <w:rPr>
          <w:spacing w:val="-1"/>
          <w:sz w:val="24"/>
        </w:rPr>
        <w:t> </w:t>
      </w:r>
      <w:r>
        <w:rPr>
          <w:i/>
          <w:sz w:val="24"/>
        </w:rPr>
        <w:t>Journal of Excipients and 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Chemicals</w:t>
      </w:r>
      <w:r>
        <w:rPr>
          <w:sz w:val="24"/>
        </w:rPr>
        <w:t>, </w:t>
      </w:r>
      <w:r>
        <w:rPr>
          <w:b/>
          <w:sz w:val="24"/>
        </w:rPr>
        <w:t>4 (2)</w:t>
      </w:r>
      <w:r>
        <w:rPr>
          <w:sz w:val="24"/>
        </w:rPr>
        <w:t>: 27-37.</w:t>
      </w:r>
    </w:p>
    <w:p>
      <w:pPr>
        <w:pStyle w:val="BodyText"/>
        <w:spacing w:before="120"/>
        <w:ind w:left="1185" w:right="1255" w:hanging="720"/>
        <w:jc w:val="both"/>
      </w:pPr>
      <w:r>
        <w:rPr/>
        <w:t>Alderborn,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Nystrom,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(1996).Pharmaceutical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technology.Marcel</w:t>
      </w:r>
      <w:r>
        <w:rPr>
          <w:spacing w:val="-1"/>
        </w:rPr>
        <w:t> </w:t>
      </w:r>
      <w:r>
        <w:rPr/>
        <w:t>Dekker,</w:t>
      </w:r>
      <w:r>
        <w:rPr>
          <w:spacing w:val="1"/>
        </w:rPr>
        <w:t> </w:t>
      </w:r>
      <w:r>
        <w:rPr/>
        <w:t>Inc.</w:t>
      </w:r>
      <w:r>
        <w:rPr>
          <w:rFonts w:ascii="Arial MT"/>
          <w:color w:val="535353"/>
        </w:rPr>
        <w:t>,</w:t>
      </w:r>
      <w:r>
        <w:rPr>
          <w:rFonts w:ascii="Arial MT"/>
          <w:color w:val="535353"/>
          <w:spacing w:val="1"/>
        </w:rPr>
        <w:t> </w:t>
      </w:r>
      <w:r>
        <w:rPr/>
        <w:t>New York,</w:t>
      </w:r>
      <w:r>
        <w:rPr>
          <w:spacing w:val="1"/>
        </w:rPr>
        <w:t> </w:t>
      </w:r>
      <w:r>
        <w:rPr/>
        <w:t>NY.</w:t>
      </w:r>
    </w:p>
    <w:p>
      <w:pPr>
        <w:pStyle w:val="BodyText"/>
        <w:spacing w:before="119"/>
        <w:ind w:left="1185" w:right="1249" w:hanging="720"/>
        <w:jc w:val="both"/>
      </w:pPr>
      <w:r>
        <w:rPr/>
        <w:t>Alebiowu,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Sorghum</w:t>
      </w:r>
      <w:r>
        <w:rPr>
          <w:i/>
          <w:spacing w:val="1"/>
        </w:rPr>
        <w:t> </w:t>
      </w:r>
      <w:r>
        <w:rPr>
          <w:i/>
        </w:rPr>
        <w:t>bicolor</w:t>
      </w:r>
      <w:r>
        <w:rPr>
          <w:i/>
          <w:spacing w:val="1"/>
        </w:rPr>
        <w:t> </w:t>
      </w:r>
      <w:r>
        <w:rPr/>
        <w:t>Linn</w:t>
      </w:r>
      <w:r>
        <w:rPr>
          <w:spacing w:val="-57"/>
        </w:rPr>
        <w:t> </w:t>
      </w:r>
      <w:r>
        <w:rPr/>
        <w:t>(Poaceae)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I: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properties of sorghum starch granulations. </w:t>
      </w:r>
      <w:r>
        <w:rPr>
          <w:i/>
        </w:rPr>
        <w:t>Discovery Innovation</w:t>
      </w:r>
      <w:r>
        <w:rPr/>
        <w:t>, </w:t>
      </w:r>
      <w:r>
        <w:rPr>
          <w:b/>
        </w:rPr>
        <w:t>13(1/2)</w:t>
      </w:r>
      <w:r>
        <w:rPr/>
        <w:t>: 73–</w:t>
      </w:r>
      <w:r>
        <w:rPr>
          <w:spacing w:val="1"/>
        </w:rPr>
        <w:t> </w:t>
      </w:r>
      <w:r>
        <w:rPr/>
        <w:t>77.</w:t>
      </w:r>
    </w:p>
    <w:p>
      <w:pPr>
        <w:pStyle w:val="BodyText"/>
        <w:spacing w:before="140"/>
        <w:ind w:left="1185" w:right="1253" w:hanging="720"/>
        <w:jc w:val="both"/>
      </w:pPr>
      <w:r>
        <w:rPr/>
        <w:t>Alebiowu,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Itiola,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(2002).Compressional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pregelatinized forms of sorghum, plantain and corn starches and the mechanical</w:t>
      </w:r>
      <w:r>
        <w:rPr>
          <w:spacing w:val="1"/>
        </w:rPr>
        <w:t> </w:t>
      </w:r>
      <w:r>
        <w:rPr/>
        <w:t>properties of their tablets.</w:t>
      </w:r>
      <w:r>
        <w:rPr>
          <w:i/>
        </w:rPr>
        <w:t>Drug Development and Industrial Pharmacy</w:t>
      </w:r>
      <w:r>
        <w:rPr/>
        <w:t>, </w:t>
      </w:r>
      <w:r>
        <w:rPr>
          <w:b/>
        </w:rPr>
        <w:t>28</w:t>
      </w:r>
      <w:r>
        <w:rPr/>
        <w:t>: 663-</w:t>
      </w:r>
      <w:r>
        <w:rPr>
          <w:spacing w:val="1"/>
        </w:rPr>
        <w:t> </w:t>
      </w:r>
      <w:r>
        <w:rPr/>
        <w:t>672.</w:t>
      </w:r>
    </w:p>
    <w:p>
      <w:pPr>
        <w:pStyle w:val="BodyText"/>
        <w:spacing w:before="120"/>
        <w:ind w:left="1185" w:right="1256" w:hanging="720"/>
        <w:jc w:val="both"/>
      </w:pPr>
      <w:r>
        <w:rPr/>
        <w:t>Alebiowu,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Itiola,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pregelatinized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disintegrants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interacting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disintegrant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>
          <w:i/>
        </w:rPr>
        <w:t>Pharmaceutical</w:t>
      </w:r>
      <w:r>
        <w:rPr>
          <w:i/>
          <w:spacing w:val="-1"/>
        </w:rPr>
        <w:t> </w:t>
      </w:r>
      <w:r>
        <w:rPr>
          <w:i/>
        </w:rPr>
        <w:t>Technology</w:t>
      </w:r>
      <w:r>
        <w:rPr/>
        <w:t>, </w:t>
      </w:r>
      <w:r>
        <w:rPr>
          <w:b/>
        </w:rPr>
        <w:t>27:</w:t>
      </w:r>
      <w:r>
        <w:rPr>
          <w:b/>
          <w:spacing w:val="-1"/>
        </w:rPr>
        <w:t> </w:t>
      </w:r>
      <w:r>
        <w:rPr/>
        <w:t>28–33.</w:t>
      </w:r>
    </w:p>
    <w:p>
      <w:pPr>
        <w:spacing w:line="390" w:lineRule="atLeast" w:before="27"/>
        <w:ind w:left="465" w:right="1255" w:firstLine="0"/>
        <w:jc w:val="both"/>
        <w:rPr>
          <w:i/>
          <w:sz w:val="24"/>
        </w:rPr>
      </w:pPr>
      <w:r>
        <w:rPr>
          <w:sz w:val="24"/>
        </w:rPr>
        <w:t>Allen,</w:t>
      </w:r>
      <w:r>
        <w:rPr>
          <w:spacing w:val="5"/>
          <w:sz w:val="24"/>
        </w:rPr>
        <w:t> </w:t>
      </w:r>
      <w:r>
        <w:rPr>
          <w:sz w:val="24"/>
        </w:rPr>
        <w:t>J.D.</w:t>
      </w:r>
      <w:r>
        <w:rPr>
          <w:spacing w:val="5"/>
          <w:sz w:val="24"/>
        </w:rPr>
        <w:t> </w:t>
      </w:r>
      <w:r>
        <w:rPr>
          <w:sz w:val="24"/>
        </w:rPr>
        <w:t>(1996).</w:t>
      </w:r>
      <w:r>
        <w:rPr>
          <w:spacing w:val="8"/>
          <w:sz w:val="24"/>
        </w:rPr>
        <w:t> </w:t>
      </w:r>
      <w:r>
        <w:rPr>
          <w:sz w:val="24"/>
        </w:rPr>
        <w:t>Improving</w:t>
      </w:r>
      <w:r>
        <w:rPr>
          <w:spacing w:val="3"/>
          <w:sz w:val="24"/>
        </w:rPr>
        <w:t> </w:t>
      </w:r>
      <w:r>
        <w:rPr>
          <w:sz w:val="24"/>
        </w:rPr>
        <w:t>DC</w:t>
      </w:r>
      <w:r>
        <w:rPr>
          <w:spacing w:val="6"/>
          <w:sz w:val="24"/>
        </w:rPr>
        <w:t> </w:t>
      </w:r>
      <w:r>
        <w:rPr>
          <w:sz w:val="24"/>
        </w:rPr>
        <w:t>with</w:t>
      </w:r>
      <w:r>
        <w:rPr>
          <w:spacing w:val="5"/>
          <w:sz w:val="24"/>
        </w:rPr>
        <w:t> </w:t>
      </w:r>
      <w:r>
        <w:rPr>
          <w:sz w:val="24"/>
        </w:rPr>
        <w:t>SMCC.</w:t>
      </w:r>
      <w:r>
        <w:rPr>
          <w:i/>
          <w:sz w:val="24"/>
        </w:rPr>
        <w:t>Manufacturing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Chemist</w:t>
      </w:r>
      <w:r>
        <w:rPr>
          <w:sz w:val="24"/>
        </w:rPr>
        <w:t>,</w:t>
      </w:r>
      <w:r>
        <w:rPr>
          <w:spacing w:val="5"/>
          <w:sz w:val="24"/>
        </w:rPr>
        <w:t> </w:t>
      </w:r>
      <w:r>
        <w:rPr>
          <w:b/>
          <w:sz w:val="24"/>
        </w:rPr>
        <w:t>67</w:t>
      </w:r>
      <w:r>
        <w:rPr>
          <w:sz w:val="24"/>
        </w:rPr>
        <w:t>:19-23.</w:t>
      </w:r>
      <w:r>
        <w:rPr>
          <w:spacing w:val="1"/>
          <w:sz w:val="24"/>
        </w:rPr>
        <w:t> </w:t>
      </w:r>
      <w:r>
        <w:rPr>
          <w:sz w:val="24"/>
        </w:rPr>
        <w:t>Allen,</w:t>
      </w:r>
      <w:r>
        <w:rPr>
          <w:spacing w:val="58"/>
          <w:sz w:val="24"/>
        </w:rPr>
        <w:t> </w:t>
      </w:r>
      <w:r>
        <w:rPr>
          <w:sz w:val="24"/>
        </w:rPr>
        <w:t>L.V.,</w:t>
      </w:r>
      <w:r>
        <w:rPr>
          <w:spacing w:val="55"/>
          <w:sz w:val="24"/>
        </w:rPr>
        <w:t> </w:t>
      </w:r>
      <w:r>
        <w:rPr>
          <w:sz w:val="24"/>
        </w:rPr>
        <w:t>Popovich,</w:t>
      </w:r>
      <w:r>
        <w:rPr>
          <w:spacing w:val="1"/>
          <w:sz w:val="24"/>
        </w:rPr>
        <w:t> </w:t>
      </w:r>
      <w:r>
        <w:rPr>
          <w:sz w:val="24"/>
        </w:rPr>
        <w:t>N.G.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9"/>
          <w:sz w:val="24"/>
        </w:rPr>
        <w:t> </w:t>
      </w:r>
      <w:r>
        <w:rPr>
          <w:sz w:val="24"/>
        </w:rPr>
        <w:t>Ansel,</w:t>
      </w:r>
      <w:r>
        <w:rPr>
          <w:spacing w:val="59"/>
          <w:sz w:val="24"/>
        </w:rPr>
        <w:t> </w:t>
      </w:r>
      <w:r>
        <w:rPr>
          <w:sz w:val="24"/>
        </w:rPr>
        <w:t>H.C.</w:t>
      </w:r>
      <w:r>
        <w:rPr>
          <w:spacing w:val="56"/>
          <w:sz w:val="24"/>
        </w:rPr>
        <w:t> </w:t>
      </w:r>
      <w:r>
        <w:rPr>
          <w:sz w:val="24"/>
        </w:rPr>
        <w:t>(Eds.)</w:t>
      </w:r>
      <w:r>
        <w:rPr>
          <w:spacing w:val="56"/>
          <w:sz w:val="24"/>
        </w:rPr>
        <w:t> </w:t>
      </w:r>
      <w:r>
        <w:rPr>
          <w:sz w:val="24"/>
        </w:rPr>
        <w:t>(1999).</w:t>
      </w:r>
      <w:r>
        <w:rPr>
          <w:i/>
          <w:sz w:val="24"/>
        </w:rPr>
        <w:t>Ansel's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Pharmaceutical</w:t>
      </w:r>
    </w:p>
    <w:p>
      <w:pPr>
        <w:spacing w:before="6"/>
        <w:ind w:left="1185" w:right="1254" w:firstLine="0"/>
        <w:jc w:val="both"/>
        <w:rPr>
          <w:sz w:val="24"/>
        </w:rPr>
      </w:pPr>
      <w:r>
        <w:rPr>
          <w:i/>
          <w:sz w:val="24"/>
        </w:rPr>
        <w:t>Dosage Forms and Drug Delivery Systems</w:t>
      </w:r>
      <w:r>
        <w:rPr>
          <w:sz w:val="24"/>
        </w:rPr>
        <w:t>, Lippincont Williams and Wilkins,</w:t>
      </w:r>
      <w:r>
        <w:rPr>
          <w:spacing w:val="1"/>
          <w:sz w:val="24"/>
        </w:rPr>
        <w:t> </w:t>
      </w:r>
      <w:r>
        <w:rPr>
          <w:sz w:val="24"/>
        </w:rPr>
        <w:t>Philadelphia,</w:t>
      </w:r>
      <w:r>
        <w:rPr>
          <w:spacing w:val="-1"/>
          <w:sz w:val="24"/>
        </w:rPr>
        <w:t> </w:t>
      </w:r>
      <w:r>
        <w:rPr>
          <w:sz w:val="24"/>
        </w:rPr>
        <w:t>USA, p. 423.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before="72"/>
        <w:ind w:left="1185" w:right="1253" w:hanging="720"/>
        <w:jc w:val="both"/>
      </w:pPr>
      <w:r>
        <w:rPr/>
        <w:t>Almaya, A. and Aburub, A. (2008).Effect of particle size on compaction of materials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deformation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lubricants.</w:t>
      </w:r>
      <w:r>
        <w:rPr>
          <w:i/>
        </w:rPr>
        <w:t>AAPS</w:t>
      </w:r>
      <w:r>
        <w:rPr>
          <w:i/>
          <w:spacing w:val="1"/>
        </w:rPr>
        <w:t> </w:t>
      </w:r>
      <w:r>
        <w:rPr>
          <w:i/>
        </w:rPr>
        <w:t>PharmSciTech</w:t>
      </w:r>
      <w:r>
        <w:rPr/>
        <w:t>,</w:t>
      </w:r>
      <w:r>
        <w:rPr>
          <w:spacing w:val="-1"/>
        </w:rPr>
        <w:t> </w:t>
      </w:r>
      <w:r>
        <w:rPr>
          <w:b/>
        </w:rPr>
        <w:t>9</w:t>
      </w:r>
      <w:r>
        <w:rPr/>
        <w:t>: 414-418.</w:t>
      </w:r>
    </w:p>
    <w:p>
      <w:pPr>
        <w:pStyle w:val="BodyText"/>
        <w:spacing w:before="7"/>
      </w:pPr>
    </w:p>
    <w:p>
      <w:pPr>
        <w:pStyle w:val="BodyText"/>
        <w:spacing w:line="237" w:lineRule="auto"/>
        <w:ind w:left="1185" w:right="1257" w:hanging="720"/>
        <w:jc w:val="both"/>
      </w:pPr>
      <w:r>
        <w:rPr/>
        <w:t>Anderson, B. M. J. and Whitcomb, P. J. (2002). Mixture DOE uncovers formulations</w:t>
      </w:r>
      <w:r>
        <w:rPr>
          <w:spacing w:val="1"/>
        </w:rPr>
        <w:t> </w:t>
      </w:r>
      <w:r>
        <w:rPr/>
        <w:t>quicker.</w:t>
      </w:r>
      <w:r>
        <w:rPr>
          <w:spacing w:val="-1"/>
        </w:rPr>
        <w:t> </w:t>
      </w:r>
      <w:r>
        <w:rPr>
          <w:i/>
        </w:rPr>
        <w:t>Design</w:t>
      </w:r>
      <w:r>
        <w:rPr/>
        <w:t>, 2–3.</w:t>
      </w:r>
    </w:p>
    <w:p>
      <w:pPr>
        <w:pStyle w:val="BodyText"/>
        <w:spacing w:before="6"/>
      </w:pPr>
    </w:p>
    <w:p>
      <w:pPr>
        <w:pStyle w:val="BodyText"/>
        <w:ind w:left="465"/>
        <w:jc w:val="both"/>
      </w:pPr>
      <w:r>
        <w:rPr/>
        <w:t>Andrews,</w:t>
      </w:r>
      <w:r>
        <w:rPr>
          <w:spacing w:val="57"/>
        </w:rPr>
        <w:t> </w:t>
      </w:r>
      <w:r>
        <w:rPr/>
        <w:t>G.</w:t>
      </w:r>
      <w:r>
        <w:rPr>
          <w:spacing w:val="57"/>
        </w:rPr>
        <w:t> </w:t>
      </w:r>
      <w:r>
        <w:rPr/>
        <w:t>P.</w:t>
      </w:r>
      <w:r>
        <w:rPr>
          <w:spacing w:val="57"/>
        </w:rPr>
        <w:t> </w:t>
      </w:r>
      <w:r>
        <w:rPr/>
        <w:t>(2007).</w:t>
      </w:r>
      <w:r>
        <w:rPr>
          <w:spacing w:val="59"/>
        </w:rPr>
        <w:t> </w:t>
      </w:r>
      <w:r>
        <w:rPr/>
        <w:t>Advances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solid</w:t>
      </w:r>
      <w:r>
        <w:rPr>
          <w:spacing w:val="57"/>
        </w:rPr>
        <w:t> </w:t>
      </w:r>
      <w:r>
        <w:rPr/>
        <w:t>dosage</w:t>
      </w:r>
      <w:r>
        <w:rPr>
          <w:spacing w:val="56"/>
        </w:rPr>
        <w:t> </w:t>
      </w:r>
      <w:r>
        <w:rPr/>
        <w:t>form</w:t>
      </w:r>
      <w:r>
        <w:rPr>
          <w:spacing w:val="58"/>
        </w:rPr>
        <w:t> </w:t>
      </w:r>
      <w:r>
        <w:rPr/>
        <w:t>manufacturing</w:t>
      </w:r>
      <w:r>
        <w:rPr>
          <w:spacing w:val="57"/>
        </w:rPr>
        <w:t> </w:t>
      </w:r>
      <w:r>
        <w:rPr/>
        <w:t>technology.</w:t>
      </w:r>
    </w:p>
    <w:p>
      <w:pPr>
        <w:spacing w:before="2"/>
        <w:ind w:left="1185" w:right="0" w:firstLine="0"/>
        <w:jc w:val="both"/>
        <w:rPr>
          <w:sz w:val="24"/>
        </w:rPr>
      </w:pPr>
      <w:r>
        <w:rPr>
          <w:i/>
          <w:sz w:val="24"/>
        </w:rPr>
        <w:t>Philosophical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Royal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365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2935–2949.</w:t>
      </w:r>
    </w:p>
    <w:p>
      <w:pPr>
        <w:pStyle w:val="BodyText"/>
        <w:spacing w:before="137"/>
        <w:ind w:left="1185" w:right="1259" w:hanging="720"/>
        <w:jc w:val="both"/>
      </w:pPr>
      <w:r>
        <w:rPr/>
        <w:t>Apeji, Y. E., Oyi, A. R. and Musa, H. (2011).Formulation and evaluation of ascorbic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microcrystalline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direct</w:t>
      </w:r>
      <w:r>
        <w:rPr>
          <w:spacing w:val="-57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excipient.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Health Research</w:t>
      </w:r>
      <w:r>
        <w:rPr/>
        <w:t>,</w:t>
      </w:r>
      <w:r>
        <w:rPr>
          <w:spacing w:val="-1"/>
        </w:rPr>
        <w:t> </w:t>
      </w:r>
      <w:r>
        <w:rPr>
          <w:b/>
        </w:rPr>
        <w:t>4</w:t>
      </w:r>
      <w:r>
        <w:rPr/>
        <w:t>: 113-118.</w:t>
      </w:r>
    </w:p>
    <w:p>
      <w:pPr>
        <w:spacing w:before="121"/>
        <w:ind w:left="1185" w:right="1253" w:hanging="720"/>
        <w:jc w:val="both"/>
        <w:rPr>
          <w:sz w:val="24"/>
        </w:rPr>
      </w:pPr>
      <w:r>
        <w:rPr>
          <w:sz w:val="24"/>
        </w:rPr>
        <w:t>Arida, A. I. and Al-Tabakha, M. M. (2008). Cellactose® a co-processed excipient: a</w:t>
      </w:r>
      <w:r>
        <w:rPr>
          <w:spacing w:val="1"/>
          <w:sz w:val="24"/>
        </w:rPr>
        <w:t> </w:t>
      </w:r>
      <w:r>
        <w:rPr>
          <w:sz w:val="24"/>
        </w:rPr>
        <w:t>comparison study. </w:t>
      </w:r>
      <w:r>
        <w:rPr>
          <w:i/>
          <w:sz w:val="24"/>
        </w:rPr>
        <w:t>Pharmaceutical Development and Technology</w:t>
      </w:r>
      <w:r>
        <w:rPr>
          <w:sz w:val="24"/>
        </w:rPr>
        <w:t>, </w:t>
      </w:r>
      <w:r>
        <w:rPr>
          <w:b/>
          <w:sz w:val="24"/>
        </w:rPr>
        <w:t>13(2)</w:t>
      </w:r>
      <w:r>
        <w:rPr>
          <w:sz w:val="24"/>
        </w:rPr>
        <w:t>: 165-</w:t>
      </w:r>
      <w:r>
        <w:rPr>
          <w:spacing w:val="1"/>
          <w:sz w:val="24"/>
        </w:rPr>
        <w:t> </w:t>
      </w:r>
      <w:r>
        <w:rPr>
          <w:sz w:val="24"/>
        </w:rPr>
        <w:t>175.</w:t>
      </w:r>
    </w:p>
    <w:p>
      <w:pPr>
        <w:pStyle w:val="BodyText"/>
        <w:spacing w:before="120"/>
        <w:ind w:left="1185" w:right="1258" w:hanging="720"/>
        <w:jc w:val="both"/>
      </w:pPr>
      <w:r>
        <w:rPr/>
        <w:t>Armstrong, N.A., Roscheisen, G. and Al-Aghbar, M.R. (1996).Cellactose as a tablet</w:t>
      </w:r>
      <w:r>
        <w:rPr>
          <w:spacing w:val="1"/>
        </w:rPr>
        <w:t> </w:t>
      </w:r>
      <w:r>
        <w:rPr/>
        <w:t>diluent.</w:t>
      </w:r>
      <w:r>
        <w:rPr>
          <w:i/>
        </w:rPr>
        <w:t>Manufacturing</w:t>
      </w:r>
      <w:r>
        <w:rPr>
          <w:i/>
          <w:spacing w:val="-1"/>
        </w:rPr>
        <w:t> </w:t>
      </w:r>
      <w:r>
        <w:rPr>
          <w:i/>
        </w:rPr>
        <w:t>Chemist</w:t>
      </w:r>
      <w:r>
        <w:rPr/>
        <w:t>, </w:t>
      </w:r>
      <w:r>
        <w:rPr>
          <w:b/>
        </w:rPr>
        <w:t>67</w:t>
      </w:r>
      <w:r>
        <w:rPr/>
        <w:t>: 25-26.</w:t>
      </w:r>
    </w:p>
    <w:p>
      <w:pPr>
        <w:pStyle w:val="BodyText"/>
        <w:spacing w:before="120"/>
        <w:ind w:left="1185" w:right="1253" w:hanging="720"/>
        <w:jc w:val="both"/>
      </w:pPr>
      <w:r>
        <w:rPr/>
        <w:t>Ashish, A. and Neves, S. (2006). From commodities to specialized excipients.</w:t>
      </w:r>
      <w:r>
        <w:rPr>
          <w:i/>
        </w:rPr>
        <w:t>Pharma</w:t>
      </w:r>
      <w:r>
        <w:rPr>
          <w:i/>
          <w:spacing w:val="1"/>
        </w:rPr>
        <w:t> </w:t>
      </w:r>
      <w:r>
        <w:rPr>
          <w:i/>
        </w:rPr>
        <w:t>Health</w:t>
      </w:r>
      <w:r>
        <w:rPr>
          <w:i/>
          <w:spacing w:val="-1"/>
        </w:rPr>
        <w:t> </w:t>
      </w:r>
      <w:r>
        <w:rPr>
          <w:i/>
        </w:rPr>
        <w:t>News</w:t>
      </w:r>
      <w:r>
        <w:rPr/>
        <w:t>, </w:t>
      </w:r>
      <w:r>
        <w:rPr>
          <w:b/>
        </w:rPr>
        <w:t>4</w:t>
      </w:r>
      <w:r>
        <w:rPr/>
        <w:t>:5-8.</w:t>
      </w:r>
    </w:p>
    <w:p>
      <w:pPr>
        <w:spacing w:before="120"/>
        <w:ind w:left="1185" w:right="1255" w:hanging="720"/>
        <w:jc w:val="both"/>
        <w:rPr>
          <w:sz w:val="24"/>
        </w:rPr>
      </w:pPr>
      <w:r>
        <w:rPr>
          <w:sz w:val="24"/>
        </w:rPr>
        <w:t>Ashrafi, M., Chowdhury, J. A. and Reza, M. S. (2005). Controlled release of metformin</w:t>
      </w:r>
      <w:r>
        <w:rPr>
          <w:spacing w:val="1"/>
          <w:sz w:val="24"/>
        </w:rPr>
        <w:t> </w:t>
      </w:r>
      <w:r>
        <w:rPr>
          <w:sz w:val="24"/>
        </w:rPr>
        <w:t>hydrochloride</w:t>
      </w:r>
      <w:r>
        <w:rPr>
          <w:spacing w:val="25"/>
          <w:sz w:val="24"/>
        </w:rPr>
        <w:t> </w:t>
      </w:r>
      <w:r>
        <w:rPr>
          <w:sz w:val="24"/>
        </w:rPr>
        <w:t>I.</w:t>
      </w:r>
      <w:r>
        <w:rPr>
          <w:i/>
          <w:sz w:val="24"/>
        </w:rPr>
        <w:t>In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vitro</w:t>
      </w:r>
      <w:r>
        <w:rPr>
          <w:i/>
          <w:spacing w:val="25"/>
          <w:sz w:val="24"/>
        </w:rPr>
        <w:t> </w:t>
      </w:r>
      <w:r>
        <w:rPr>
          <w:sz w:val="24"/>
        </w:rPr>
        <w:t>release</w:t>
      </w:r>
      <w:r>
        <w:rPr>
          <w:spacing w:val="22"/>
          <w:sz w:val="24"/>
        </w:rPr>
        <w:t> </w:t>
      </w:r>
      <w:r>
        <w:rPr>
          <w:sz w:val="24"/>
        </w:rPr>
        <w:t>from</w:t>
      </w:r>
      <w:r>
        <w:rPr>
          <w:spacing w:val="22"/>
          <w:sz w:val="24"/>
        </w:rPr>
        <w:t> </w:t>
      </w:r>
      <w:r>
        <w:rPr>
          <w:sz w:val="24"/>
        </w:rPr>
        <w:t>physical</w:t>
      </w:r>
      <w:r>
        <w:rPr>
          <w:spacing w:val="25"/>
          <w:sz w:val="24"/>
        </w:rPr>
        <w:t> </w:t>
      </w:r>
      <w:r>
        <w:rPr>
          <w:sz w:val="24"/>
        </w:rPr>
        <w:t>mixture</w:t>
      </w:r>
      <w:r>
        <w:rPr>
          <w:spacing w:val="21"/>
          <w:sz w:val="24"/>
        </w:rPr>
        <w:t> </w:t>
      </w:r>
      <w:r>
        <w:rPr>
          <w:sz w:val="24"/>
        </w:rPr>
        <w:t>containing</w:t>
      </w:r>
      <w:r>
        <w:rPr>
          <w:spacing w:val="23"/>
          <w:sz w:val="24"/>
        </w:rPr>
        <w:t> </w:t>
      </w:r>
      <w:r>
        <w:rPr>
          <w:sz w:val="24"/>
        </w:rPr>
        <w:t>xanthan</w:t>
      </w:r>
      <w:r>
        <w:rPr>
          <w:spacing w:val="22"/>
          <w:sz w:val="24"/>
        </w:rPr>
        <w:t> </w:t>
      </w:r>
      <w:r>
        <w:rPr>
          <w:sz w:val="24"/>
        </w:rPr>
        <w:t>gum</w:t>
      </w:r>
      <w:r>
        <w:rPr>
          <w:spacing w:val="-58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hydrophilic</w:t>
      </w:r>
      <w:r>
        <w:rPr>
          <w:spacing w:val="1"/>
          <w:sz w:val="24"/>
        </w:rPr>
        <w:t> </w:t>
      </w:r>
      <w:r>
        <w:rPr>
          <w:sz w:val="24"/>
        </w:rPr>
        <w:t>rate</w:t>
      </w:r>
      <w:r>
        <w:rPr>
          <w:spacing w:val="1"/>
          <w:sz w:val="24"/>
        </w:rPr>
        <w:t> </w:t>
      </w:r>
      <w:r>
        <w:rPr>
          <w:sz w:val="24"/>
        </w:rPr>
        <w:t>retarding</w:t>
      </w:r>
      <w:r>
        <w:rPr>
          <w:spacing w:val="1"/>
          <w:sz w:val="24"/>
        </w:rPr>
        <w:t> </w:t>
      </w:r>
      <w:r>
        <w:rPr>
          <w:sz w:val="24"/>
        </w:rPr>
        <w:t>polymer.</w:t>
      </w:r>
      <w:r>
        <w:rPr>
          <w:i/>
          <w:sz w:val="24"/>
        </w:rPr>
        <w:t>Dhaka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</w:t>
      </w:r>
      <w:r>
        <w:rPr>
          <w:b/>
          <w:sz w:val="24"/>
        </w:rPr>
        <w:t>4(1)</w:t>
      </w:r>
      <w:r>
        <w:rPr>
          <w:sz w:val="24"/>
        </w:rPr>
        <w:t>.</w:t>
      </w:r>
    </w:p>
    <w:p>
      <w:pPr>
        <w:pStyle w:val="BodyText"/>
        <w:spacing w:before="5"/>
      </w:pPr>
    </w:p>
    <w:p>
      <w:pPr>
        <w:pStyle w:val="BodyText"/>
        <w:ind w:left="1185" w:right="1252" w:hanging="720"/>
        <w:jc w:val="both"/>
      </w:pPr>
      <w:r>
        <w:rPr/>
        <w:t>Assen, A., Belete, A. and Gebre-mariam, T. (2011).Preparation and physicochemical</w:t>
      </w:r>
      <w:r>
        <w:rPr>
          <w:spacing w:val="1"/>
        </w:rPr>
        <w:t> </w:t>
      </w:r>
      <w:r>
        <w:rPr/>
        <w:t>characterization of acid modified cassava starch and its evaluation as directly</w:t>
      </w:r>
      <w:r>
        <w:rPr>
          <w:spacing w:val="1"/>
        </w:rPr>
        <w:t> </w:t>
      </w:r>
      <w:r>
        <w:rPr/>
        <w:t>compressible</w:t>
      </w:r>
      <w:r>
        <w:rPr>
          <w:spacing w:val="-1"/>
        </w:rPr>
        <w:t> </w:t>
      </w:r>
      <w:r>
        <w:rPr/>
        <w:t>tablet excipient.</w:t>
      </w:r>
      <w:r>
        <w:rPr>
          <w:i/>
        </w:rPr>
        <w:t>Ethiopian</w:t>
      </w:r>
      <w:r>
        <w:rPr>
          <w:i/>
          <w:spacing w:val="-1"/>
        </w:rPr>
        <w:t> </w:t>
      </w:r>
      <w:r>
        <w:rPr>
          <w:i/>
        </w:rPr>
        <w:t>Pharmaceutical Journal</w:t>
      </w:r>
      <w:r>
        <w:rPr/>
        <w:t>, </w:t>
      </w:r>
      <w:r>
        <w:rPr>
          <w:b/>
        </w:rPr>
        <w:t>42</w:t>
      </w:r>
      <w:r>
        <w:rPr/>
        <w:t>:</w:t>
      </w:r>
      <w:r>
        <w:rPr>
          <w:spacing w:val="-1"/>
        </w:rPr>
        <w:t> </w:t>
      </w:r>
      <w:r>
        <w:rPr/>
        <w:t>27–42.</w:t>
      </w:r>
    </w:p>
    <w:p>
      <w:pPr>
        <w:pStyle w:val="BodyText"/>
        <w:spacing w:before="5"/>
      </w:pPr>
    </w:p>
    <w:p>
      <w:pPr>
        <w:pStyle w:val="BodyText"/>
        <w:ind w:left="1185" w:right="1254" w:hanging="720"/>
        <w:jc w:val="both"/>
      </w:pPr>
      <w:r>
        <w:rPr/>
        <w:t>Atichokudomchai, N. and Varavinit, S. (2003). Characterization and utilization of acid-</w:t>
      </w:r>
      <w:r>
        <w:rPr>
          <w:spacing w:val="1"/>
        </w:rPr>
        <w:t> </w:t>
      </w:r>
      <w:r>
        <w:rPr/>
        <w:t>modified cross-linked tapioca starch in pharmaceutical tablets.</w:t>
      </w:r>
      <w:r>
        <w:rPr>
          <w:spacing w:val="1"/>
        </w:rPr>
        <w:t> </w:t>
      </w:r>
      <w:r>
        <w:rPr>
          <w:i/>
        </w:rPr>
        <w:t>Carbohydrate</w:t>
      </w:r>
      <w:r>
        <w:rPr>
          <w:i/>
          <w:spacing w:val="1"/>
        </w:rPr>
        <w:t> </w:t>
      </w:r>
      <w:r>
        <w:rPr>
          <w:i/>
        </w:rPr>
        <w:t>polymers</w:t>
      </w:r>
      <w:r>
        <w:rPr/>
        <w:t>,</w:t>
      </w:r>
      <w:r>
        <w:rPr>
          <w:spacing w:val="-1"/>
        </w:rPr>
        <w:t> </w:t>
      </w:r>
      <w:r>
        <w:rPr>
          <w:b/>
        </w:rPr>
        <w:t>53</w:t>
      </w:r>
      <w:r>
        <w:rPr/>
        <w:t>: 263-270.</w:t>
      </w:r>
    </w:p>
    <w:p>
      <w:pPr>
        <w:pStyle w:val="BodyText"/>
        <w:spacing w:before="120"/>
        <w:ind w:left="1185" w:right="1257" w:hanging="720"/>
        <w:jc w:val="both"/>
      </w:pPr>
      <w:r>
        <w:rPr/>
        <w:t>Auguello, M., Ruszkay, T. and Reier G, inventors (1998).Co-processed microcrystalline</w:t>
      </w:r>
      <w:r>
        <w:rPr>
          <w:spacing w:val="-57"/>
        </w:rPr>
        <w:t> </w:t>
      </w:r>
      <w:r>
        <w:rPr/>
        <w:t>cellulose</w:t>
      </w:r>
      <w:r>
        <w:rPr>
          <w:spacing w:val="-1"/>
        </w:rPr>
        <w:t> </w:t>
      </w:r>
      <w:r>
        <w:rPr/>
        <w:t>and calcium carbonate.</w:t>
      </w:r>
      <w:r>
        <w:rPr>
          <w:i/>
        </w:rPr>
        <w:t>EP 0942950</w:t>
      </w:r>
      <w:r>
        <w:rPr/>
        <w:t>.</w:t>
      </w:r>
    </w:p>
    <w:p>
      <w:pPr>
        <w:spacing w:before="120"/>
        <w:ind w:left="1185" w:right="1252" w:hanging="720"/>
        <w:jc w:val="both"/>
        <w:rPr>
          <w:sz w:val="24"/>
        </w:rPr>
      </w:pPr>
      <w:r>
        <w:rPr>
          <w:sz w:val="24"/>
        </w:rPr>
        <w:t>Avachat,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Ahire,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Characterization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spray</w:t>
      </w:r>
      <w:r>
        <w:rPr>
          <w:spacing w:val="1"/>
          <w:sz w:val="24"/>
        </w:rPr>
        <w:t> </w:t>
      </w:r>
      <w:r>
        <w:rPr>
          <w:sz w:val="24"/>
        </w:rPr>
        <w:t>dried</w:t>
      </w:r>
      <w:r>
        <w:rPr>
          <w:spacing w:val="1"/>
          <w:sz w:val="24"/>
        </w:rPr>
        <w:t> </w:t>
      </w:r>
      <w:r>
        <w:rPr>
          <w:sz w:val="24"/>
        </w:rPr>
        <w:t>coprocessed</w:t>
      </w:r>
      <w:r>
        <w:rPr>
          <w:spacing w:val="1"/>
          <w:sz w:val="24"/>
        </w:rPr>
        <w:t> </w:t>
      </w:r>
      <w:r>
        <w:rPr>
          <w:sz w:val="24"/>
        </w:rPr>
        <w:t>excipients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solid</w:t>
      </w:r>
      <w:r>
        <w:rPr>
          <w:spacing w:val="1"/>
          <w:sz w:val="24"/>
        </w:rPr>
        <w:t> </w:t>
      </w:r>
      <w:r>
        <w:rPr>
          <w:sz w:val="24"/>
        </w:rPr>
        <w:t>dosage</w:t>
      </w:r>
      <w:r>
        <w:rPr>
          <w:spacing w:val="1"/>
          <w:sz w:val="24"/>
        </w:rPr>
        <w:t> </w:t>
      </w:r>
      <w:r>
        <w:rPr>
          <w:sz w:val="24"/>
        </w:rPr>
        <w:t>forms.</w:t>
      </w:r>
      <w:r>
        <w:rPr>
          <w:spacing w:val="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Pharmaceutical Sciences</w:t>
      </w:r>
      <w:r>
        <w:rPr>
          <w:sz w:val="24"/>
        </w:rPr>
        <w:t>, </w:t>
      </w:r>
      <w:r>
        <w:rPr>
          <w:b/>
          <w:sz w:val="24"/>
        </w:rPr>
        <w:t>69</w:t>
      </w:r>
      <w:r>
        <w:rPr>
          <w:sz w:val="24"/>
        </w:rPr>
        <w:t>: 85-90.</w:t>
      </w:r>
    </w:p>
    <w:p>
      <w:pPr>
        <w:spacing w:line="412" w:lineRule="exact" w:before="18"/>
        <w:ind w:left="465" w:right="1253" w:firstLine="0"/>
        <w:jc w:val="both"/>
        <w:rPr>
          <w:i/>
          <w:sz w:val="24"/>
        </w:rPr>
      </w:pPr>
      <w:r>
        <w:rPr>
          <w:sz w:val="24"/>
        </w:rPr>
        <w:t>Avantor. (2014). Material safety data sheet for Gelatin. </w:t>
      </w:r>
      <w:r>
        <w:rPr>
          <w:i/>
          <w:sz w:val="24"/>
        </w:rPr>
        <w:t>Technical Information</w:t>
      </w:r>
      <w:r>
        <w:rPr>
          <w:sz w:val="24"/>
        </w:rPr>
        <w:t>, 1–8.</w:t>
      </w:r>
      <w:r>
        <w:rPr>
          <w:spacing w:val="1"/>
          <w:sz w:val="24"/>
        </w:rPr>
        <w:t> </w:t>
      </w:r>
      <w:r>
        <w:rPr>
          <w:sz w:val="24"/>
        </w:rPr>
        <w:t>Bansal,</w:t>
      </w:r>
      <w:r>
        <w:rPr>
          <w:spacing w:val="46"/>
          <w:sz w:val="24"/>
        </w:rPr>
        <w:t> </w:t>
      </w:r>
      <w:r>
        <w:rPr>
          <w:sz w:val="24"/>
        </w:rPr>
        <w:t>A.</w:t>
      </w:r>
      <w:r>
        <w:rPr>
          <w:spacing w:val="47"/>
          <w:sz w:val="24"/>
        </w:rPr>
        <w:t> </w:t>
      </w:r>
      <w:r>
        <w:rPr>
          <w:sz w:val="24"/>
        </w:rPr>
        <w:t>K.(2003).</w:t>
      </w:r>
      <w:r>
        <w:rPr>
          <w:spacing w:val="48"/>
          <w:sz w:val="24"/>
        </w:rPr>
        <w:t> </w:t>
      </w:r>
      <w:r>
        <w:rPr>
          <w:sz w:val="24"/>
        </w:rPr>
        <w:t>Improved</w:t>
      </w:r>
      <w:r>
        <w:rPr>
          <w:spacing w:val="47"/>
          <w:sz w:val="24"/>
        </w:rPr>
        <w:t> </w:t>
      </w:r>
      <w:r>
        <w:rPr>
          <w:sz w:val="24"/>
        </w:rPr>
        <w:t>excipients</w:t>
      </w:r>
      <w:r>
        <w:rPr>
          <w:spacing w:val="47"/>
          <w:sz w:val="24"/>
        </w:rPr>
        <w:t> </w:t>
      </w:r>
      <w:r>
        <w:rPr>
          <w:sz w:val="24"/>
        </w:rPr>
        <w:t>by</w:t>
      </w:r>
      <w:r>
        <w:rPr>
          <w:spacing w:val="42"/>
          <w:sz w:val="24"/>
        </w:rPr>
        <w:t> </w:t>
      </w:r>
      <w:r>
        <w:rPr>
          <w:sz w:val="24"/>
        </w:rPr>
        <w:t>solid-state</w:t>
      </w:r>
      <w:r>
        <w:rPr>
          <w:spacing w:val="47"/>
          <w:sz w:val="24"/>
        </w:rPr>
        <w:t> </w:t>
      </w:r>
      <w:r>
        <w:rPr>
          <w:sz w:val="24"/>
        </w:rPr>
        <w:t>manipulation.</w:t>
      </w:r>
      <w:r>
        <w:rPr>
          <w:i/>
          <w:sz w:val="24"/>
        </w:rPr>
        <w:t>The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Industrial</w:t>
      </w:r>
    </w:p>
    <w:p>
      <w:pPr>
        <w:spacing w:line="246" w:lineRule="exact" w:before="0"/>
        <w:ind w:left="1185" w:right="0" w:firstLine="0"/>
        <w:jc w:val="both"/>
        <w:rPr>
          <w:sz w:val="24"/>
        </w:rPr>
      </w:pPr>
      <w:r>
        <w:rPr>
          <w:i/>
          <w:sz w:val="24"/>
        </w:rPr>
        <w:t>Pharmacist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31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9-12.</w:t>
      </w:r>
    </w:p>
    <w:p>
      <w:pPr>
        <w:spacing w:before="120"/>
        <w:ind w:left="1185" w:right="1255" w:hanging="720"/>
        <w:jc w:val="both"/>
        <w:rPr>
          <w:sz w:val="24"/>
        </w:rPr>
      </w:pPr>
      <w:r>
        <w:rPr>
          <w:sz w:val="24"/>
        </w:rPr>
        <w:t>Bansal,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Nachaegari,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(2002).High-functionality excipients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solid</w:t>
      </w:r>
      <w:r>
        <w:rPr>
          <w:spacing w:val="-57"/>
          <w:sz w:val="24"/>
        </w:rPr>
        <w:t> </w:t>
      </w:r>
      <w:r>
        <w:rPr>
          <w:sz w:val="24"/>
        </w:rPr>
        <w:t>dosage</w:t>
      </w:r>
      <w:r>
        <w:rPr>
          <w:spacing w:val="-2"/>
          <w:sz w:val="24"/>
        </w:rPr>
        <w:t> </w:t>
      </w:r>
      <w:r>
        <w:rPr>
          <w:sz w:val="24"/>
        </w:rPr>
        <w:t>forms.</w:t>
      </w:r>
      <w:r>
        <w:rPr>
          <w:spacing w:val="1"/>
          <w:sz w:val="24"/>
        </w:rPr>
        <w:t> </w:t>
      </w:r>
      <w:r>
        <w:rPr>
          <w:i/>
          <w:sz w:val="24"/>
        </w:rPr>
        <w:t>Business Briefing: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Pharmagenerics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38-44.</w:t>
      </w:r>
    </w:p>
    <w:p>
      <w:pPr>
        <w:spacing w:line="240" w:lineRule="auto" w:before="120"/>
        <w:ind w:left="1185" w:right="1254" w:hanging="720"/>
        <w:jc w:val="both"/>
        <w:rPr>
          <w:sz w:val="24"/>
        </w:rPr>
      </w:pPr>
      <w:r>
        <w:rPr>
          <w:sz w:val="24"/>
        </w:rPr>
        <w:t>BASF (2010). </w:t>
      </w:r>
      <w:r>
        <w:rPr>
          <w:i/>
          <w:sz w:val="24"/>
        </w:rPr>
        <w:t>Ibuprofen 38 - Technical information</w:t>
      </w:r>
      <w:r>
        <w:rPr>
          <w:sz w:val="24"/>
        </w:rPr>
        <w:t>. </w:t>
      </w:r>
      <w:r>
        <w:rPr>
          <w:i/>
          <w:sz w:val="24"/>
        </w:rPr>
        <w:t>Technical Information</w:t>
      </w:r>
      <w:r>
        <w:rPr>
          <w:sz w:val="24"/>
        </w:rPr>
        <w:t>. Retrieved</w:t>
      </w:r>
      <w:r>
        <w:rPr>
          <w:spacing w:val="1"/>
          <w:sz w:val="24"/>
        </w:rPr>
        <w:t> </w:t>
      </w:r>
      <w:r>
        <w:rPr>
          <w:sz w:val="24"/>
        </w:rPr>
        <w:t>fr</w:t>
      </w:r>
      <w:hyperlink r:id="rId216">
        <w:r>
          <w:rPr>
            <w:sz w:val="24"/>
          </w:rPr>
          <w:t>omhttp:</w:t>
        </w:r>
      </w:hyperlink>
      <w:r>
        <w:rPr>
          <w:sz w:val="24"/>
        </w:rPr>
        <w:t>//</w:t>
      </w:r>
      <w:hyperlink r:id="rId216">
        <w:r>
          <w:rPr>
            <w:sz w:val="24"/>
          </w:rPr>
          <w:t>www.pharmaingredients.basf.com/Statements/TechnicalInformations/</w:t>
        </w:r>
      </w:hyperlink>
      <w:r>
        <w:rPr>
          <w:spacing w:val="-58"/>
          <w:sz w:val="24"/>
        </w:rPr>
        <w:t> </w:t>
      </w:r>
      <w:r>
        <w:rPr>
          <w:sz w:val="24"/>
        </w:rPr>
        <w:t>EN/Pharma</w:t>
      </w:r>
      <w:r>
        <w:rPr>
          <w:spacing w:val="-3"/>
          <w:sz w:val="24"/>
        </w:rPr>
        <w:t> </w:t>
      </w:r>
      <w:r>
        <w:rPr>
          <w:sz w:val="24"/>
        </w:rPr>
        <w:t>Solutions/03_030720e_Ibuprofen.pdf</w:t>
      </w:r>
      <w:r>
        <w:rPr>
          <w:spacing w:val="4"/>
          <w:sz w:val="24"/>
        </w:rPr>
        <w:t> </w:t>
      </w:r>
      <w:r>
        <w:rPr>
          <w:sz w:val="24"/>
        </w:rPr>
        <w:t>on 19/06/2014.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before="72"/>
        <w:ind w:left="1185" w:right="1253" w:hanging="720"/>
        <w:jc w:val="both"/>
      </w:pPr>
      <w:r>
        <w:rPr>
          <w:color w:val="212121"/>
        </w:rPr>
        <w:t>Baykara, T., Duman, G., Özsener, K. S., Ordu, S., and Özates, B. (1991).Comparing the</w:t>
      </w:r>
      <w:r>
        <w:rPr>
          <w:color w:val="212121"/>
          <w:spacing w:val="-57"/>
        </w:rPr>
        <w:t> </w:t>
      </w:r>
      <w:r>
        <w:rPr>
          <w:color w:val="212121"/>
        </w:rPr>
        <w:t>compressibility of</w:t>
      </w:r>
      <w:r>
        <w:rPr>
          <w:color w:val="212121"/>
          <w:spacing w:val="1"/>
        </w:rPr>
        <w:t> </w:t>
      </w:r>
      <w:r>
        <w:rPr>
          <w:color w:val="212121"/>
        </w:rPr>
        <w:t>Ludipress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other</w:t>
      </w:r>
      <w:r>
        <w:rPr>
          <w:color w:val="212121"/>
          <w:spacing w:val="1"/>
        </w:rPr>
        <w:t> </w:t>
      </w:r>
      <w:r>
        <w:rPr>
          <w:color w:val="212121"/>
        </w:rPr>
        <w:t>direct</w:t>
      </w:r>
      <w:r>
        <w:rPr>
          <w:color w:val="212121"/>
          <w:spacing w:val="1"/>
        </w:rPr>
        <w:t> </w:t>
      </w:r>
      <w:r>
        <w:rPr>
          <w:color w:val="212121"/>
        </w:rPr>
        <w:t>tableting</w:t>
      </w:r>
      <w:r>
        <w:rPr>
          <w:color w:val="212121"/>
          <w:spacing w:val="1"/>
        </w:rPr>
        <w:t> </w:t>
      </w:r>
      <w:r>
        <w:rPr>
          <w:color w:val="212121"/>
        </w:rPr>
        <w:t>agents</w:t>
      </w:r>
      <w:r>
        <w:rPr>
          <w:color w:val="212121"/>
          <w:spacing w:val="1"/>
        </w:rPr>
        <w:t> </w:t>
      </w:r>
      <w:r>
        <w:rPr>
          <w:color w:val="212121"/>
        </w:rPr>
        <w:t>by</w:t>
      </w:r>
      <w:r>
        <w:rPr>
          <w:color w:val="212121"/>
          <w:spacing w:val="1"/>
        </w:rPr>
        <w:t> </w:t>
      </w:r>
      <w:r>
        <w:rPr>
          <w:color w:val="212121"/>
        </w:rPr>
        <w:t>using</w:t>
      </w:r>
      <w:r>
        <w:rPr>
          <w:color w:val="212121"/>
          <w:spacing w:val="-57"/>
        </w:rPr>
        <w:t> </w:t>
      </w:r>
      <w:r>
        <w:rPr>
          <w:color w:val="212121"/>
        </w:rPr>
        <w:t>acetaminophen</w:t>
      </w:r>
      <w:r>
        <w:rPr>
          <w:color w:val="212121"/>
          <w:spacing w:val="1"/>
        </w:rPr>
        <w:t> </w:t>
      </w:r>
      <w:r>
        <w:rPr>
          <w:color w:val="212121"/>
        </w:rPr>
        <w:t>as</w:t>
      </w:r>
      <w:r>
        <w:rPr>
          <w:color w:val="212121"/>
          <w:spacing w:val="1"/>
        </w:rPr>
        <w:t> </w:t>
      </w:r>
      <w:r>
        <w:rPr>
          <w:color w:val="212121"/>
        </w:rPr>
        <w:t>an</w:t>
      </w:r>
      <w:r>
        <w:rPr>
          <w:color w:val="212121"/>
          <w:spacing w:val="1"/>
        </w:rPr>
        <w:t> </w:t>
      </w:r>
      <w:r>
        <w:rPr>
          <w:color w:val="212121"/>
        </w:rPr>
        <w:t>active</w:t>
      </w:r>
      <w:r>
        <w:rPr>
          <w:color w:val="212121"/>
          <w:spacing w:val="1"/>
        </w:rPr>
        <w:t> </w:t>
      </w:r>
      <w:r>
        <w:rPr>
          <w:color w:val="212121"/>
        </w:rPr>
        <w:t>ingredient. </w:t>
      </w:r>
      <w:r>
        <w:rPr>
          <w:i/>
          <w:color w:val="212121"/>
        </w:rPr>
        <w:t>Drug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Development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and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Industrial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Pharmacy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b/>
          <w:color w:val="212121"/>
        </w:rPr>
        <w:t>17(17):</w:t>
      </w:r>
      <w:r>
        <w:rPr>
          <w:b/>
          <w:color w:val="212121"/>
          <w:spacing w:val="-1"/>
        </w:rPr>
        <w:t> </w:t>
      </w:r>
      <w:r>
        <w:rPr>
          <w:color w:val="212121"/>
        </w:rPr>
        <w:t>2359-2371.</w:t>
      </w:r>
    </w:p>
    <w:p>
      <w:pPr>
        <w:pStyle w:val="BodyText"/>
        <w:spacing w:before="120"/>
        <w:ind w:left="1185" w:right="1251" w:hanging="720"/>
        <w:jc w:val="both"/>
      </w:pPr>
      <w:r>
        <w:rPr>
          <w:color w:val="212121"/>
        </w:rPr>
        <w:t>Bean, M. M. and Setser, C. S. (1992).Polysaccharides, sugars, and sweeteners. </w:t>
      </w:r>
      <w:r>
        <w:rPr>
          <w:i/>
          <w:color w:val="212121"/>
        </w:rPr>
        <w:t>Food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Theory and Application, </w:t>
      </w:r>
      <w:r>
        <w:rPr>
          <w:color w:val="212121"/>
        </w:rPr>
        <w:t>J. Bowers Ed. Macmillan Publishing Co., New York,</w:t>
      </w:r>
      <w:r>
        <w:rPr>
          <w:color w:val="212121"/>
          <w:spacing w:val="1"/>
        </w:rPr>
        <w:t> </w:t>
      </w:r>
      <w:r>
        <w:rPr>
          <w:color w:val="212121"/>
        </w:rPr>
        <w:t>69-198.</w:t>
      </w:r>
    </w:p>
    <w:p>
      <w:pPr>
        <w:pStyle w:val="BodyText"/>
        <w:spacing w:before="120"/>
        <w:ind w:left="1185" w:right="1256" w:hanging="720"/>
        <w:jc w:val="both"/>
      </w:pPr>
      <w:r>
        <w:rPr/>
        <w:t>Beso,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Sirca,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inventors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Rapidly</w:t>
      </w:r>
      <w:r>
        <w:rPr>
          <w:spacing w:val="1"/>
        </w:rPr>
        <w:t> </w:t>
      </w:r>
      <w:r>
        <w:rPr/>
        <w:t>disintegrating</w:t>
      </w:r>
      <w:r>
        <w:rPr>
          <w:spacing w:val="1"/>
        </w:rPr>
        <w:t> </w:t>
      </w:r>
      <w:r>
        <w:rPr/>
        <w:t>orodispersible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nonfilamentous</w:t>
      </w:r>
      <w:r>
        <w:rPr>
          <w:spacing w:val="1"/>
        </w:rPr>
        <w:t> </w:t>
      </w:r>
      <w:r>
        <w:rPr/>
        <w:t>coprocessed</w:t>
      </w:r>
      <w:r>
        <w:rPr>
          <w:spacing w:val="1"/>
        </w:rPr>
        <w:t> </w:t>
      </w:r>
      <w:r>
        <w:rPr/>
        <w:t>polyols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silicified</w:t>
      </w:r>
      <w:r>
        <w:rPr>
          <w:spacing w:val="-1"/>
        </w:rPr>
        <w:t> </w:t>
      </w:r>
      <w:r>
        <w:rPr/>
        <w:t>microcrystalline</w:t>
      </w:r>
      <w:r>
        <w:rPr>
          <w:spacing w:val="-1"/>
        </w:rPr>
        <w:t> </w:t>
      </w:r>
      <w:r>
        <w:rPr/>
        <w:t>cellulose.</w:t>
      </w:r>
      <w:r>
        <w:rPr>
          <w:spacing w:val="2"/>
        </w:rPr>
        <w:t> </w:t>
      </w:r>
      <w:r>
        <w:rPr>
          <w:i/>
        </w:rPr>
        <w:t>EP 1773292</w:t>
      </w:r>
      <w:r>
        <w:rPr/>
        <w:t>.</w:t>
      </w:r>
    </w:p>
    <w:p>
      <w:pPr>
        <w:pStyle w:val="BodyText"/>
        <w:spacing w:before="120"/>
        <w:ind w:left="1185" w:right="1254" w:hanging="720"/>
        <w:jc w:val="both"/>
      </w:pPr>
      <w:hyperlink r:id="rId217">
        <w:r>
          <w:rPr/>
          <w:t>Block, L. H., Moreton, R. C., Apte, S. P., Wendt, R. H., Munson, E.J, Creekmore, J. R.,</w:t>
        </w:r>
      </w:hyperlink>
      <w:r>
        <w:rPr>
          <w:spacing w:val="1"/>
        </w:rPr>
        <w:t> </w:t>
      </w:r>
      <w:hyperlink r:id="rId217">
        <w:r>
          <w:rPr/>
          <w:t>Persaud,</w:t>
        </w:r>
        <w:r>
          <w:rPr>
            <w:spacing w:val="61"/>
          </w:rPr>
          <w:t> </w:t>
        </w:r>
        <w:r>
          <w:rPr/>
          <w:t>I.</w:t>
        </w:r>
        <w:r>
          <w:rPr>
            <w:spacing w:val="61"/>
          </w:rPr>
          <w:t> </w:t>
        </w:r>
        <w:r>
          <w:rPr/>
          <w:t>V.,</w:t>
        </w:r>
        <w:r>
          <w:rPr>
            <w:spacing w:val="61"/>
          </w:rPr>
          <w:t> </w:t>
        </w:r>
        <w:r>
          <w:rPr/>
          <w:t>Sheehan,</w:t>
        </w:r>
        <w:r>
          <w:rPr>
            <w:spacing w:val="61"/>
          </w:rPr>
          <w:t> </w:t>
        </w:r>
        <w:r>
          <w:rPr/>
          <w:t>C.</w:t>
        </w:r>
        <w:r>
          <w:rPr>
            <w:spacing w:val="61"/>
          </w:rPr>
          <w:t> </w:t>
        </w:r>
        <w:r>
          <w:rPr/>
          <w:t>and</w:t>
        </w:r>
        <w:r>
          <w:rPr>
            <w:spacing w:val="61"/>
          </w:rPr>
          <w:t> </w:t>
        </w:r>
        <w:r>
          <w:rPr/>
          <w:t>Wang,</w:t>
        </w:r>
        <w:r>
          <w:rPr>
            <w:spacing w:val="61"/>
          </w:rPr>
          <w:t> </w:t>
        </w:r>
        <w:r>
          <w:rPr/>
          <w:t>Ch.</w:t>
        </w:r>
        <w:r>
          <w:rPr>
            <w:spacing w:val="61"/>
          </w:rPr>
          <w:t> </w:t>
        </w:r>
        <w:r>
          <w:rPr/>
          <w:t>(2009).   Co-processed</w:t>
        </w:r>
      </w:hyperlink>
      <w:r>
        <w:rPr>
          <w:spacing w:val="1"/>
        </w:rPr>
        <w:t> </w:t>
      </w:r>
      <w:hyperlink r:id="rId217">
        <w:r>
          <w:rPr/>
          <w:t>excipients. </w:t>
        </w:r>
        <w:r>
          <w:rPr>
            <w:i/>
          </w:rPr>
          <w:t>Pharma</w:t>
        </w:r>
        <w:r>
          <w:rPr>
            <w:i/>
            <w:spacing w:val="-1"/>
          </w:rPr>
          <w:t> </w:t>
        </w:r>
        <w:r>
          <w:rPr>
            <w:i/>
          </w:rPr>
          <w:t>Forum,</w:t>
        </w:r>
        <w:r>
          <w:rPr>
            <w:b/>
          </w:rPr>
          <w:t>35</w:t>
        </w:r>
        <w:r>
          <w:rPr/>
          <w:t>:1026-1028.</w:t>
        </w:r>
      </w:hyperlink>
    </w:p>
    <w:p>
      <w:pPr>
        <w:pStyle w:val="BodyText"/>
        <w:spacing w:before="8"/>
      </w:pPr>
    </w:p>
    <w:p>
      <w:pPr>
        <w:spacing w:line="237" w:lineRule="auto" w:before="0"/>
        <w:ind w:left="1185" w:right="1255" w:hanging="720"/>
        <w:jc w:val="both"/>
        <w:rPr>
          <w:sz w:val="24"/>
        </w:rPr>
      </w:pPr>
      <w:r>
        <w:rPr>
          <w:sz w:val="24"/>
        </w:rPr>
        <w:t>Bodhmage,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i/>
          <w:sz w:val="24"/>
        </w:rPr>
        <w:t>Correlation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properties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flowability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indicators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fine powders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M.Sc</w:t>
      </w:r>
      <w:r>
        <w:rPr>
          <w:spacing w:val="-1"/>
          <w:sz w:val="24"/>
        </w:rPr>
        <w:t> </w:t>
      </w:r>
      <w:r>
        <w:rPr>
          <w:sz w:val="24"/>
        </w:rPr>
        <w:t>Thesis,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Saskatchewan, Canada</w:t>
      </w:r>
    </w:p>
    <w:p>
      <w:pPr>
        <w:pStyle w:val="BodyText"/>
        <w:spacing w:before="6"/>
      </w:pPr>
    </w:p>
    <w:p>
      <w:pPr>
        <w:tabs>
          <w:tab w:pos="3624" w:val="left" w:leader="none"/>
          <w:tab w:pos="5069" w:val="left" w:leader="none"/>
          <w:tab w:pos="7070" w:val="left" w:leader="none"/>
          <w:tab w:pos="8390" w:val="left" w:leader="none"/>
        </w:tabs>
        <w:spacing w:before="0"/>
        <w:ind w:left="1185" w:right="1254" w:hanging="720"/>
        <w:jc w:val="both"/>
        <w:rPr>
          <w:sz w:val="24"/>
        </w:rPr>
      </w:pPr>
      <w:r>
        <w:rPr>
          <w:sz w:val="24"/>
        </w:rPr>
        <w:t>Bolhuis, G.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Chowhan,</w:t>
      </w:r>
      <w:r>
        <w:rPr>
          <w:spacing w:val="1"/>
          <w:sz w:val="24"/>
        </w:rPr>
        <w:t> </w:t>
      </w:r>
      <w:r>
        <w:rPr>
          <w:sz w:val="24"/>
        </w:rPr>
        <w:t>Z.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(1996).Materials for direct compaction.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sz w:val="24"/>
        </w:rPr>
        <w:t>Alderborn,</w:t>
      </w:r>
      <w:r>
        <w:rPr>
          <w:spacing w:val="-1"/>
          <w:sz w:val="24"/>
        </w:rPr>
        <w:t> </w:t>
      </w:r>
      <w:r>
        <w:rPr>
          <w:sz w:val="24"/>
        </w:rPr>
        <w:t>G.</w:t>
        <w:tab/>
        <w:t>and</w:t>
        <w:tab/>
        <w:t>Nystrom,</w:t>
        <w:tab/>
        <w:t>C.</w:t>
        <w:tab/>
      </w:r>
      <w:r>
        <w:rPr>
          <w:spacing w:val="-1"/>
          <w:sz w:val="24"/>
        </w:rPr>
        <w:t>(Eds.)</w:t>
      </w:r>
      <w:r>
        <w:rPr>
          <w:spacing w:val="-58"/>
          <w:sz w:val="24"/>
        </w:rPr>
        <w:t> </w:t>
      </w:r>
      <w:r>
        <w:rPr>
          <w:i/>
          <w:sz w:val="24"/>
        </w:rPr>
        <w:t>Pharmaceutical Powder Compaction Technology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Marcel</w:t>
      </w:r>
      <w:r>
        <w:rPr>
          <w:spacing w:val="1"/>
          <w:sz w:val="24"/>
        </w:rPr>
        <w:t> </w:t>
      </w:r>
      <w:r>
        <w:rPr>
          <w:sz w:val="24"/>
        </w:rPr>
        <w:t>Dekker</w:t>
      </w:r>
      <w:r>
        <w:rPr>
          <w:spacing w:val="1"/>
          <w:sz w:val="24"/>
        </w:rPr>
        <w:t> </w:t>
      </w:r>
      <w:r>
        <w:rPr>
          <w:sz w:val="24"/>
        </w:rPr>
        <w:t>Inc.,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York,</w:t>
      </w:r>
      <w:r>
        <w:rPr>
          <w:spacing w:val="-1"/>
          <w:sz w:val="24"/>
        </w:rPr>
        <w:t> </w:t>
      </w:r>
      <w:r>
        <w:rPr>
          <w:sz w:val="24"/>
        </w:rPr>
        <w:t>USA, pp. 419-500.</w:t>
      </w:r>
    </w:p>
    <w:p>
      <w:pPr>
        <w:pStyle w:val="BodyText"/>
        <w:spacing w:before="120"/>
        <w:ind w:left="1185" w:right="1252" w:hanging="720"/>
        <w:jc w:val="both"/>
      </w:pPr>
      <w:r>
        <w:rPr/>
        <w:t>Brittain,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Particle-size</w:t>
      </w:r>
      <w:r>
        <w:rPr>
          <w:spacing w:val="1"/>
        </w:rPr>
        <w:t> </w:t>
      </w:r>
      <w:r>
        <w:rPr/>
        <w:t>distribution.Part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Representations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representations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partide</w:t>
      </w:r>
      <w:r>
        <w:rPr>
          <w:spacing w:val="1"/>
        </w:rPr>
        <w:t> </w:t>
      </w:r>
      <w:r>
        <w:rPr/>
        <w:t>shape,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distribution. </w:t>
      </w:r>
      <w:r>
        <w:rPr>
          <w:i/>
        </w:rPr>
        <w:t>Pharmaceutical</w:t>
      </w:r>
      <w:r>
        <w:rPr>
          <w:i/>
          <w:spacing w:val="1"/>
        </w:rPr>
        <w:t> </w:t>
      </w:r>
      <w:r>
        <w:rPr>
          <w:i/>
        </w:rPr>
        <w:t>Technology</w:t>
      </w:r>
      <w:r>
        <w:rPr/>
        <w:t>,</w:t>
      </w:r>
      <w:r>
        <w:rPr>
          <w:spacing w:val="-1"/>
        </w:rPr>
        <w:t> </w:t>
      </w:r>
      <w:r>
        <w:rPr>
          <w:b/>
        </w:rPr>
        <w:t>25(12)</w:t>
      </w:r>
      <w:r>
        <w:rPr/>
        <w:t>: 38-45.</w:t>
      </w:r>
    </w:p>
    <w:p>
      <w:pPr>
        <w:pStyle w:val="BodyText"/>
        <w:spacing w:before="120"/>
        <w:ind w:left="1185" w:right="1253" w:hanging="720"/>
        <w:jc w:val="both"/>
      </w:pPr>
      <w:r>
        <w:rPr/>
        <w:t>Buckton, G., Yonemuchi, E., Younb, W. L. and Moffath, A. C. (1999). Water sorption</w:t>
      </w:r>
      <w:r>
        <w:rPr>
          <w:spacing w:val="1"/>
        </w:rPr>
        <w:t> </w:t>
      </w:r>
      <w:r>
        <w:rPr/>
        <w:t>and near IR spectroscopy to study the differences between MCC and silicified</w:t>
      </w:r>
      <w:r>
        <w:rPr>
          <w:spacing w:val="1"/>
        </w:rPr>
        <w:t> </w:t>
      </w:r>
      <w:r>
        <w:rPr/>
        <w:t>MCC before and after wet granulation. </w:t>
      </w:r>
      <w:r>
        <w:rPr>
          <w:i/>
        </w:rPr>
        <w:t>International Journal of Pharmaceutics</w:t>
      </w:r>
      <w:r>
        <w:rPr/>
        <w:t>,</w:t>
      </w:r>
      <w:r>
        <w:rPr>
          <w:spacing w:val="1"/>
        </w:rPr>
        <w:t> </w:t>
      </w:r>
      <w:r>
        <w:rPr>
          <w:b/>
        </w:rPr>
        <w:t>181</w:t>
      </w:r>
      <w:r>
        <w:rPr>
          <w:b/>
          <w:spacing w:val="-1"/>
        </w:rPr>
        <w:t> </w:t>
      </w:r>
      <w:r>
        <w:rPr>
          <w:b/>
        </w:rPr>
        <w:t>(1)</w:t>
      </w:r>
      <w:r>
        <w:rPr/>
        <w:t>: 41-47.</w:t>
      </w:r>
    </w:p>
    <w:p>
      <w:pPr>
        <w:pStyle w:val="BodyText"/>
        <w:spacing w:before="120"/>
        <w:ind w:left="1185" w:right="1251" w:hanging="720"/>
        <w:jc w:val="both"/>
        <w:rPr>
          <w:i/>
        </w:rPr>
      </w:pPr>
      <w:r>
        <w:rPr/>
        <w:t>Buschmann, H. H., Sola, L. S., Benet, B. J. and Ceron, B. J. C., inventors (2010). Salts</w:t>
      </w:r>
      <w:r>
        <w:rPr>
          <w:spacing w:val="1"/>
        </w:rPr>
        <w:t> </w:t>
      </w:r>
      <w:r>
        <w:rPr/>
        <w:t>of tramadol and ibuprofen and their crystal form in the treatment of pain. </w:t>
      </w:r>
      <w:r>
        <w:rPr>
          <w:i/>
        </w:rPr>
        <w:t>EP</w:t>
      </w:r>
      <w:r>
        <w:rPr>
          <w:i/>
          <w:spacing w:val="1"/>
        </w:rPr>
        <w:t> </w:t>
      </w:r>
      <w:r>
        <w:rPr>
          <w:i/>
        </w:rPr>
        <w:t>2149546 A1</w:t>
      </w:r>
    </w:p>
    <w:p>
      <w:pPr>
        <w:spacing w:before="120"/>
        <w:ind w:left="1185" w:right="1257" w:hanging="720"/>
        <w:jc w:val="both"/>
        <w:rPr>
          <w:sz w:val="24"/>
        </w:rPr>
      </w:pPr>
      <w:r>
        <w:rPr>
          <w:sz w:val="24"/>
        </w:rPr>
        <w:t>Cabot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sheet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colloidal</w:t>
      </w:r>
      <w:r>
        <w:rPr>
          <w:spacing w:val="1"/>
          <w:sz w:val="24"/>
        </w:rPr>
        <w:t> </w:t>
      </w:r>
      <w:r>
        <w:rPr>
          <w:sz w:val="24"/>
        </w:rPr>
        <w:t>silicon</w:t>
      </w:r>
      <w:r>
        <w:rPr>
          <w:spacing w:val="1"/>
          <w:sz w:val="24"/>
        </w:rPr>
        <w:t> </w:t>
      </w:r>
      <w:r>
        <w:rPr>
          <w:sz w:val="24"/>
        </w:rPr>
        <w:t>dioxide.</w:t>
      </w:r>
      <w:r>
        <w:rPr>
          <w:spacing w:val="1"/>
          <w:sz w:val="24"/>
        </w:rPr>
        <w:t> </w:t>
      </w:r>
      <w:r>
        <w:rPr>
          <w:i/>
          <w:sz w:val="24"/>
        </w:rPr>
        <w:t>Technical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sz w:val="24"/>
        </w:rPr>
        <w:t>, 1-8.</w:t>
      </w:r>
    </w:p>
    <w:p>
      <w:pPr>
        <w:pStyle w:val="BodyText"/>
        <w:spacing w:before="121"/>
        <w:ind w:left="1185" w:right="1251" w:hanging="720"/>
        <w:jc w:val="both"/>
      </w:pPr>
      <w:r>
        <w:rPr/>
        <w:t>Camargo,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co-processing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silicon</w:t>
      </w:r>
      <w:r>
        <w:rPr>
          <w:spacing w:val="-57"/>
        </w:rPr>
        <w:t> </w:t>
      </w:r>
      <w:r>
        <w:rPr/>
        <w:t>dioxide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platform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functionality.</w:t>
      </w:r>
      <w:r>
        <w:rPr>
          <w:i/>
        </w:rPr>
        <w:t>PhD</w:t>
      </w:r>
      <w:r>
        <w:rPr>
          <w:i/>
          <w:spacing w:val="1"/>
        </w:rPr>
        <w:t> </w:t>
      </w:r>
      <w:r>
        <w:rPr>
          <w:i/>
        </w:rPr>
        <w:t>dissertation</w:t>
      </w:r>
      <w:r>
        <w:rPr/>
        <w:t>,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Iowa,</w:t>
      </w:r>
      <w:r>
        <w:rPr>
          <w:spacing w:val="2"/>
        </w:rPr>
        <w:t> </w:t>
      </w:r>
      <w:r>
        <w:rPr/>
        <w:t>USA.</w:t>
      </w:r>
    </w:p>
    <w:p>
      <w:pPr>
        <w:spacing w:before="120"/>
        <w:ind w:left="1185" w:right="1251" w:hanging="720"/>
        <w:jc w:val="both"/>
        <w:rPr>
          <w:sz w:val="24"/>
        </w:rPr>
      </w:pPr>
      <w:r>
        <w:rPr>
          <w:sz w:val="24"/>
        </w:rPr>
        <w:t>Chadha, K.L. and Nair, G.G. (1994).</w:t>
      </w:r>
      <w:r>
        <w:rPr>
          <w:i/>
          <w:sz w:val="24"/>
        </w:rPr>
        <w:t>Advances in Horticulture</w:t>
      </w:r>
      <w:r>
        <w:rPr>
          <w:sz w:val="24"/>
        </w:rPr>
        <w:t>.Malhotra Publications,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Delhi,</w:t>
      </w:r>
      <w:r>
        <w:rPr>
          <w:spacing w:val="2"/>
          <w:sz w:val="24"/>
        </w:rPr>
        <w:t> </w:t>
      </w:r>
      <w:r>
        <w:rPr>
          <w:sz w:val="24"/>
        </w:rPr>
        <w:t>India, pp. 677-702.</w:t>
      </w:r>
    </w:p>
    <w:p>
      <w:pPr>
        <w:spacing w:before="120"/>
        <w:ind w:left="1185" w:right="1263" w:hanging="720"/>
        <w:jc w:val="both"/>
        <w:rPr>
          <w:sz w:val="24"/>
        </w:rPr>
      </w:pPr>
      <w:r>
        <w:rPr>
          <w:sz w:val="24"/>
        </w:rPr>
        <w:t>Chang,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Chang,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issues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pharmaceutical</w:t>
      </w:r>
      <w:r>
        <w:rPr>
          <w:spacing w:val="1"/>
          <w:sz w:val="24"/>
        </w:rPr>
        <w:t> </w:t>
      </w:r>
      <w:r>
        <w:rPr>
          <w:sz w:val="24"/>
        </w:rPr>
        <w:t>excipients. </w:t>
      </w:r>
      <w:r>
        <w:rPr>
          <w:i/>
          <w:sz w:val="24"/>
        </w:rPr>
        <w:t>Pharmaceutical Technology</w:t>
      </w:r>
      <w:r>
        <w:rPr>
          <w:sz w:val="24"/>
        </w:rPr>
        <w:t>, </w:t>
      </w:r>
      <w:r>
        <w:rPr>
          <w:b/>
          <w:sz w:val="24"/>
        </w:rPr>
        <w:t>31(5)</w:t>
      </w:r>
      <w:r>
        <w:rPr>
          <w:sz w:val="24"/>
        </w:rPr>
        <w:t>: 56-66.</w:t>
      </w:r>
    </w:p>
    <w:p>
      <w:pPr>
        <w:pStyle w:val="BodyText"/>
        <w:spacing w:before="120"/>
        <w:ind w:left="1185" w:right="1259" w:hanging="720"/>
      </w:pPr>
      <w:r>
        <w:rPr/>
        <w:t>Chemical</w:t>
      </w:r>
      <w:r>
        <w:rPr>
          <w:spacing w:val="34"/>
        </w:rPr>
        <w:t> </w:t>
      </w:r>
      <w:r>
        <w:rPr/>
        <w:t>structure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Gelatin.</w:t>
      </w:r>
      <w:r>
        <w:rPr>
          <w:spacing w:val="37"/>
        </w:rPr>
        <w:t> </w:t>
      </w:r>
      <w:r>
        <w:rPr/>
        <w:t>-</w:t>
      </w:r>
      <w:r>
        <w:rPr>
          <w:spacing w:val="34"/>
        </w:rPr>
        <w:t> </w:t>
      </w:r>
      <w:r>
        <w:rPr/>
        <w:t>Scientific</w:t>
      </w:r>
      <w:r>
        <w:rPr>
          <w:spacing w:val="33"/>
        </w:rPr>
        <w:t> </w:t>
      </w:r>
      <w:r>
        <w:rPr/>
        <w:t>Figure</w:t>
      </w:r>
      <w:r>
        <w:rPr>
          <w:spacing w:val="33"/>
        </w:rPr>
        <w:t> </w:t>
      </w:r>
      <w:r>
        <w:rPr/>
        <w:t>on</w:t>
      </w:r>
      <w:r>
        <w:rPr>
          <w:spacing w:val="34"/>
        </w:rPr>
        <w:t> </w:t>
      </w:r>
      <w:r>
        <w:rPr/>
        <w:t>Research</w:t>
      </w:r>
      <w:r>
        <w:rPr>
          <w:spacing w:val="33"/>
        </w:rPr>
        <w:t> </w:t>
      </w:r>
      <w:r>
        <w:rPr/>
        <w:t>Gate.</w:t>
      </w:r>
      <w:r>
        <w:rPr>
          <w:spacing w:val="36"/>
        </w:rPr>
        <w:t> </w:t>
      </w:r>
      <w:r>
        <w:rPr/>
        <w:t>Available</w:t>
      </w:r>
      <w:r>
        <w:rPr>
          <w:spacing w:val="34"/>
        </w:rPr>
        <w:t> </w:t>
      </w:r>
      <w:r>
        <w:rPr/>
        <w:t>from:</w:t>
      </w:r>
      <w:r>
        <w:rPr>
          <w:spacing w:val="-57"/>
        </w:rPr>
        <w:t> </w:t>
      </w:r>
      <w:r>
        <w:rPr/>
        <w:t>https:/</w:t>
      </w:r>
      <w:hyperlink r:id="rId218">
        <w:r>
          <w:rPr/>
          <w:t>/www.r</w:t>
        </w:r>
      </w:hyperlink>
      <w:r>
        <w:rPr/>
        <w:t>e</w:t>
      </w:r>
      <w:hyperlink r:id="rId218">
        <w:r>
          <w:rPr/>
          <w:t>searchgate.net/figure/51832364_fig7_Chemical-structure-of-</w:t>
        </w:r>
      </w:hyperlink>
      <w:r>
        <w:rPr>
          <w:spacing w:val="1"/>
        </w:rPr>
        <w:t> </w:t>
      </w:r>
      <w:r>
        <w:rPr/>
        <w:t>Gelatin</w:t>
      </w:r>
      <w:r>
        <w:rPr>
          <w:spacing w:val="-1"/>
        </w:rPr>
        <w:t> </w:t>
      </w:r>
      <w:r>
        <w:rPr/>
        <w:t>[accessed Jan 11,</w:t>
      </w:r>
      <w:r>
        <w:rPr>
          <w:spacing w:val="2"/>
        </w:rPr>
        <w:t> </w:t>
      </w:r>
      <w:r>
        <w:rPr/>
        <w:t>2016].</w:t>
      </w:r>
    </w:p>
    <w:p>
      <w:pPr>
        <w:spacing w:after="0"/>
        <w:sectPr>
          <w:pgSz w:w="11910" w:h="16840"/>
          <w:pgMar w:header="0" w:footer="987" w:top="1320" w:bottom="1260" w:left="1520" w:right="160"/>
        </w:sectPr>
      </w:pPr>
    </w:p>
    <w:p>
      <w:pPr>
        <w:spacing w:before="72"/>
        <w:ind w:left="1185" w:right="1254" w:hanging="720"/>
        <w:jc w:val="both"/>
        <w:rPr>
          <w:sz w:val="24"/>
        </w:rPr>
      </w:pPr>
      <w:r>
        <w:rPr>
          <w:sz w:val="24"/>
        </w:rPr>
        <w:t>Chen,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Hygroscopicity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crystals.</w:t>
      </w:r>
      <w:r>
        <w:rPr>
          <w:sz w:val="24"/>
        </w:rPr>
        <w:t>PhD</w:t>
      </w:r>
      <w:r>
        <w:rPr>
          <w:spacing w:val="1"/>
          <w:sz w:val="24"/>
        </w:rPr>
        <w:t> </w:t>
      </w:r>
      <w:r>
        <w:rPr>
          <w:sz w:val="24"/>
        </w:rPr>
        <w:t>Dissertation,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of Minnesota,</w:t>
      </w:r>
      <w:r>
        <w:rPr>
          <w:spacing w:val="1"/>
          <w:sz w:val="24"/>
        </w:rPr>
        <w:t> </w:t>
      </w:r>
      <w:r>
        <w:rPr>
          <w:sz w:val="24"/>
        </w:rPr>
        <w:t>USA.</w:t>
      </w:r>
    </w:p>
    <w:p>
      <w:pPr>
        <w:pStyle w:val="BodyText"/>
        <w:spacing w:before="2"/>
      </w:pPr>
    </w:p>
    <w:p>
      <w:pPr>
        <w:spacing w:before="1"/>
        <w:ind w:left="1185" w:right="1254" w:hanging="720"/>
        <w:jc w:val="both"/>
        <w:rPr>
          <w:sz w:val="24"/>
        </w:rPr>
      </w:pPr>
      <w:r>
        <w:rPr>
          <w:sz w:val="24"/>
        </w:rPr>
        <w:t>Chow,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Tong,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Y.,</w:t>
      </w:r>
      <w:r>
        <w:rPr>
          <w:spacing w:val="1"/>
          <w:sz w:val="24"/>
        </w:rPr>
        <w:t> </w:t>
      </w:r>
      <w:r>
        <w:rPr>
          <w:sz w:val="24"/>
        </w:rPr>
        <w:t>Lum,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Chow,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Engineering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pharmaceutical materials: An industrial perspective. </w:t>
      </w:r>
      <w:r>
        <w:rPr>
          <w:i/>
          <w:sz w:val="24"/>
        </w:rPr>
        <w:t>Journal of 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97(8)</w:t>
      </w:r>
      <w:r>
        <w:rPr>
          <w:sz w:val="24"/>
        </w:rPr>
        <w:t>: 2855-2877.</w:t>
      </w:r>
    </w:p>
    <w:p>
      <w:pPr>
        <w:spacing w:before="120"/>
        <w:ind w:left="1185" w:right="1253" w:hanging="720"/>
        <w:jc w:val="both"/>
        <w:rPr>
          <w:sz w:val="24"/>
        </w:rPr>
      </w:pPr>
      <w:r>
        <w:rPr>
          <w:sz w:val="24"/>
        </w:rPr>
        <w:t>Cornell, J. A. (1990). </w:t>
      </w:r>
      <w:r>
        <w:rPr>
          <w:i/>
          <w:sz w:val="24"/>
        </w:rPr>
        <w:t>Experiments with Mixtures: Designs, Models, and the Analysis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Mixture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Data, </w:t>
      </w:r>
      <w:r>
        <w:rPr>
          <w:sz w:val="24"/>
        </w:rPr>
        <w:t>2nd edition. John</w:t>
      </w:r>
      <w:r>
        <w:rPr>
          <w:spacing w:val="-3"/>
          <w:sz w:val="24"/>
        </w:rPr>
        <w:t> </w:t>
      </w:r>
      <w:r>
        <w:rPr>
          <w:sz w:val="24"/>
        </w:rPr>
        <w:t>Wiley</w:t>
      </w:r>
      <w:r>
        <w:rPr>
          <w:spacing w:val="-6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Sons, New York, pp. 1-7.</w:t>
      </w:r>
    </w:p>
    <w:p>
      <w:pPr>
        <w:pStyle w:val="BodyText"/>
        <w:spacing w:before="4"/>
      </w:pPr>
    </w:p>
    <w:p>
      <w:pPr>
        <w:pStyle w:val="BodyText"/>
        <w:ind w:left="1185" w:right="1251" w:hanging="720"/>
        <w:jc w:val="both"/>
      </w:pPr>
      <w:r>
        <w:rPr/>
        <w:t>Daraghmeh, N., Rashid, I., Al Omari, M. M. H., Leharne, S. A, Chowdhry, B. Z. and</w:t>
      </w:r>
      <w:r>
        <w:rPr>
          <w:spacing w:val="1"/>
        </w:rPr>
        <w:t> </w:t>
      </w:r>
      <w:r>
        <w:rPr/>
        <w:t>Badwan, A. (2010). Preparation and characterization of a novel co-processed</w:t>
      </w:r>
      <w:r>
        <w:rPr>
          <w:spacing w:val="1"/>
        </w:rPr>
        <w:t> </w:t>
      </w:r>
      <w:r>
        <w:rPr/>
        <w:t>excipient of chitin and crystalline mannitol. </w:t>
      </w:r>
      <w:r>
        <w:rPr>
          <w:i/>
        </w:rPr>
        <w:t>AAPS PharmSciTech</w:t>
      </w:r>
      <w:r>
        <w:rPr/>
        <w:t>, </w:t>
      </w:r>
      <w:r>
        <w:rPr>
          <w:b/>
        </w:rPr>
        <w:t>11(4)</w:t>
      </w:r>
      <w:r>
        <w:rPr/>
        <w:t>: 1558–</w:t>
      </w:r>
      <w:r>
        <w:rPr>
          <w:spacing w:val="1"/>
        </w:rPr>
        <w:t> </w:t>
      </w:r>
      <w:r>
        <w:rPr/>
        <w:t>1571.</w:t>
      </w:r>
    </w:p>
    <w:p>
      <w:pPr>
        <w:pStyle w:val="BodyText"/>
        <w:spacing w:before="6"/>
      </w:pPr>
    </w:p>
    <w:p>
      <w:pPr>
        <w:spacing w:line="242" w:lineRule="auto" w:before="0"/>
        <w:ind w:left="1185" w:right="1256" w:hanging="720"/>
        <w:jc w:val="both"/>
        <w:rPr>
          <w:sz w:val="24"/>
        </w:rPr>
      </w:pPr>
      <w:r>
        <w:rPr>
          <w:sz w:val="24"/>
        </w:rPr>
        <w:t>Daraghmeh, N. H. M. (2012). </w:t>
      </w:r>
      <w:r>
        <w:rPr>
          <w:i/>
          <w:sz w:val="24"/>
        </w:rPr>
        <w:t>Modification of natural hydrophilic polymers for use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formulations</w:t>
      </w:r>
      <w:r>
        <w:rPr>
          <w:sz w:val="24"/>
        </w:rPr>
        <w:t>. PhD Thesis, University</w:t>
      </w:r>
      <w:r>
        <w:rPr>
          <w:spacing w:val="-9"/>
          <w:sz w:val="24"/>
        </w:rPr>
        <w:t> </w:t>
      </w:r>
      <w:r>
        <w:rPr>
          <w:sz w:val="24"/>
        </w:rPr>
        <w:t>of Greenwich, UK.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5" w:right="1253" w:hanging="720"/>
        <w:jc w:val="both"/>
      </w:pPr>
      <w:r>
        <w:rPr/>
        <w:t>Daraghmeh, N., Chowdhry, B., Leharne, S., Al Omari, M. and Badwan, A. (2015). Co-</w:t>
      </w:r>
      <w:r>
        <w:rPr>
          <w:spacing w:val="1"/>
        </w:rPr>
        <w:t> </w:t>
      </w:r>
      <w:r>
        <w:rPr/>
        <w:t>processed chitin-mannitol as a new excipient for oro-dispersible tablets. </w:t>
      </w:r>
      <w:r>
        <w:rPr>
          <w:i/>
        </w:rPr>
        <w:t>Marine</w:t>
      </w:r>
      <w:r>
        <w:rPr>
          <w:i/>
          <w:spacing w:val="1"/>
        </w:rPr>
        <w:t> </w:t>
      </w:r>
      <w:r>
        <w:rPr>
          <w:i/>
        </w:rPr>
        <w:t>Drugs</w:t>
      </w:r>
      <w:r>
        <w:rPr/>
        <w:t>, </w:t>
      </w:r>
      <w:r>
        <w:rPr>
          <w:b/>
        </w:rPr>
        <w:t>13(4)</w:t>
      </w:r>
      <w:r>
        <w:rPr/>
        <w:t>: 1739–1764.</w:t>
      </w:r>
    </w:p>
    <w:p>
      <w:pPr>
        <w:pStyle w:val="BodyText"/>
        <w:spacing w:before="2"/>
      </w:pPr>
    </w:p>
    <w:p>
      <w:pPr>
        <w:pStyle w:val="BodyText"/>
        <w:ind w:left="1185" w:right="1251" w:hanging="720"/>
        <w:jc w:val="both"/>
      </w:pPr>
      <w:r>
        <w:rPr/>
        <w:t>Egart, M., Ilic, I.,</w:t>
      </w:r>
      <w:r>
        <w:rPr>
          <w:spacing w:val="1"/>
        </w:rPr>
        <w:t> </w:t>
      </w:r>
      <w:r>
        <w:rPr/>
        <w:t>Jankovic, B., Lah, N. and Srcic, S. (2014). Compaction properties of</w:t>
      </w:r>
      <w:r>
        <w:rPr>
          <w:spacing w:val="1"/>
        </w:rPr>
        <w:t> </w:t>
      </w:r>
      <w:r>
        <w:rPr/>
        <w:t>crystalline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Walker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nanomechanical attributes. </w:t>
      </w:r>
      <w:r>
        <w:rPr>
          <w:i/>
        </w:rPr>
        <w:t>International Journal of Pharmaceutics</w:t>
      </w:r>
      <w:r>
        <w:rPr/>
        <w:t>, </w:t>
      </w:r>
      <w:r>
        <w:rPr>
          <w:b/>
        </w:rPr>
        <w:t>472</w:t>
      </w:r>
      <w:r>
        <w:rPr/>
        <w:t>: 347–</w:t>
      </w:r>
      <w:r>
        <w:rPr>
          <w:spacing w:val="1"/>
        </w:rPr>
        <w:t> </w:t>
      </w:r>
      <w:r>
        <w:rPr/>
        <w:t>355.</w:t>
      </w:r>
    </w:p>
    <w:p>
      <w:pPr>
        <w:pStyle w:val="BodyText"/>
        <w:spacing w:before="5"/>
      </w:pPr>
    </w:p>
    <w:p>
      <w:pPr>
        <w:pStyle w:val="BodyText"/>
        <w:spacing w:before="1"/>
        <w:ind w:left="1185" w:right="1256" w:hanging="720"/>
        <w:jc w:val="both"/>
      </w:pPr>
      <w:r>
        <w:rPr/>
        <w:t>El-Barghouthi, M., Eftaiha, A., Rashid, I., Al-Remawi, M. and Badwan, A. (2008). A</w:t>
      </w:r>
      <w:r>
        <w:rPr>
          <w:spacing w:val="1"/>
        </w:rPr>
        <w:t> </w:t>
      </w:r>
      <w:r>
        <w:rPr/>
        <w:t>novel superdisintegrating agent made from physically modified chitosan with</w:t>
      </w:r>
      <w:r>
        <w:rPr>
          <w:spacing w:val="1"/>
        </w:rPr>
        <w:t> </w:t>
      </w:r>
      <w:r>
        <w:rPr/>
        <w:t>silicon</w:t>
      </w:r>
      <w:r>
        <w:rPr>
          <w:spacing w:val="-1"/>
        </w:rPr>
        <w:t> </w:t>
      </w:r>
      <w:r>
        <w:rPr/>
        <w:t>dioxide.</w:t>
      </w:r>
      <w:r>
        <w:rPr>
          <w:spacing w:val="-1"/>
        </w:rPr>
        <w:t> </w:t>
      </w:r>
      <w:r>
        <w:rPr>
          <w:i/>
        </w:rPr>
        <w:t>Drug Development</w:t>
      </w:r>
      <w:r>
        <w:rPr>
          <w:i/>
          <w:spacing w:val="-1"/>
        </w:rPr>
        <w:t> </w:t>
      </w:r>
      <w:r>
        <w:rPr>
          <w:i/>
        </w:rPr>
        <w:t>and Industrial</w:t>
      </w:r>
      <w:r>
        <w:rPr>
          <w:i/>
          <w:spacing w:val="-1"/>
        </w:rPr>
        <w:t> </w:t>
      </w:r>
      <w:r>
        <w:rPr>
          <w:i/>
        </w:rPr>
        <w:t>Pharmacy</w:t>
      </w:r>
      <w:r>
        <w:rPr/>
        <w:t>, </w:t>
      </w:r>
      <w:r>
        <w:rPr>
          <w:b/>
        </w:rPr>
        <w:t>34(4)</w:t>
      </w:r>
      <w:r>
        <w:rPr/>
        <w:t>:</w:t>
      </w:r>
      <w:r>
        <w:rPr>
          <w:spacing w:val="-1"/>
        </w:rPr>
        <w:t> </w:t>
      </w:r>
      <w:r>
        <w:rPr/>
        <w:t>373–383.</w:t>
      </w:r>
    </w:p>
    <w:p>
      <w:pPr>
        <w:pStyle w:val="BodyText"/>
        <w:spacing w:before="7"/>
      </w:pPr>
    </w:p>
    <w:p>
      <w:pPr>
        <w:spacing w:line="237" w:lineRule="auto" w:before="0"/>
        <w:ind w:left="1185" w:right="1254" w:hanging="720"/>
        <w:jc w:val="both"/>
        <w:rPr>
          <w:sz w:val="24"/>
        </w:rPr>
      </w:pPr>
      <w:r>
        <w:rPr>
          <w:sz w:val="24"/>
        </w:rPr>
        <w:t>Emeje, M. O. and Rodrigues, A. (2012). Starch: from food to medicine. </w:t>
      </w:r>
      <w:r>
        <w:rPr>
          <w:i/>
          <w:sz w:val="24"/>
        </w:rPr>
        <w:t>Scientific,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Social Aspects of the Food Industry</w:t>
      </w:r>
      <w:r>
        <w:rPr>
          <w:sz w:val="24"/>
        </w:rPr>
        <w:t>, 488.</w:t>
      </w:r>
    </w:p>
    <w:p>
      <w:pPr>
        <w:pStyle w:val="BodyText"/>
        <w:spacing w:before="5"/>
      </w:pPr>
    </w:p>
    <w:p>
      <w:pPr>
        <w:pStyle w:val="BodyText"/>
        <w:spacing w:before="1"/>
        <w:ind w:left="1185" w:right="1255" w:hanging="720"/>
        <w:jc w:val="both"/>
      </w:pPr>
      <w:r>
        <w:rPr/>
        <w:t>Eraga,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O., Damisah,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O., Uhumwangho,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U. and</w:t>
      </w:r>
      <w:r>
        <w:rPr>
          <w:spacing w:val="1"/>
        </w:rPr>
        <w:t> </w:t>
      </w:r>
      <w:r>
        <w:rPr/>
        <w:t>Iwuagwu,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A. (2014).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 of novel</w:t>
      </w:r>
      <w:r>
        <w:rPr>
          <w:spacing w:val="1"/>
        </w:rPr>
        <w:t> </w:t>
      </w:r>
      <w:r>
        <w:rPr/>
        <w:t>multifunctional</w:t>
      </w:r>
      <w:r>
        <w:rPr>
          <w:spacing w:val="60"/>
        </w:rPr>
        <w:t> </w:t>
      </w:r>
      <w:r>
        <w:rPr/>
        <w:t>co-processed excipients</w:t>
      </w:r>
      <w:r>
        <w:rPr>
          <w:spacing w:val="-57"/>
        </w:rPr>
        <w:t> </w:t>
      </w:r>
      <w:r>
        <w:rPr/>
        <w:t>for direct compression of paracetamol tablets. </w:t>
      </w:r>
      <w:r>
        <w:rPr>
          <w:i/>
        </w:rPr>
        <w:t>Journal of Science and Practice of</w:t>
      </w:r>
      <w:r>
        <w:rPr>
          <w:i/>
          <w:spacing w:val="-57"/>
        </w:rPr>
        <w:t> </w:t>
      </w:r>
      <w:r>
        <w:rPr>
          <w:i/>
        </w:rPr>
        <w:t>Pharmacy</w:t>
      </w:r>
      <w:r>
        <w:rPr/>
        <w:t>,</w:t>
      </w:r>
      <w:r>
        <w:rPr>
          <w:spacing w:val="-1"/>
        </w:rPr>
        <w:t> </w:t>
      </w:r>
      <w:r>
        <w:rPr>
          <w:b/>
        </w:rPr>
        <w:t>1 (1)</w:t>
      </w:r>
      <w:r>
        <w:rPr/>
        <w:t>: 25-30.</w:t>
      </w:r>
    </w:p>
    <w:p>
      <w:pPr>
        <w:pStyle w:val="BodyText"/>
        <w:spacing w:before="120"/>
        <w:ind w:left="1185" w:right="1250" w:hanging="720"/>
        <w:jc w:val="both"/>
      </w:pPr>
      <w:r>
        <w:rPr/>
        <w:t>European</w:t>
      </w:r>
      <w:r>
        <w:rPr>
          <w:spacing w:val="27"/>
        </w:rPr>
        <w:t> </w:t>
      </w:r>
      <w:r>
        <w:rPr/>
        <w:t>Pharmacopoeia,</w:t>
      </w:r>
      <w:r>
        <w:rPr>
          <w:spacing w:val="27"/>
        </w:rPr>
        <w:t> </w:t>
      </w:r>
      <w:r>
        <w:rPr/>
        <w:t>Fourth</w:t>
      </w:r>
      <w:r>
        <w:rPr>
          <w:spacing w:val="27"/>
        </w:rPr>
        <w:t> </w:t>
      </w:r>
      <w:r>
        <w:rPr/>
        <w:t>Edition</w:t>
      </w:r>
      <w:r>
        <w:rPr>
          <w:spacing w:val="29"/>
        </w:rPr>
        <w:t> </w:t>
      </w:r>
      <w:r>
        <w:rPr/>
        <w:t>(2002).European</w:t>
      </w:r>
      <w:r>
        <w:rPr>
          <w:spacing w:val="27"/>
        </w:rPr>
        <w:t> </w:t>
      </w:r>
      <w:r>
        <w:rPr/>
        <w:t>Directorate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Quality</w:t>
      </w:r>
      <w:r>
        <w:rPr>
          <w:spacing w:val="-58"/>
        </w:rPr>
        <w:t> </w:t>
      </w:r>
      <w:r>
        <w:rPr/>
        <w:t>of Medicines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HealthCare,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of Europe,</w:t>
      </w:r>
      <w:r>
        <w:rPr>
          <w:spacing w:val="1"/>
        </w:rPr>
        <w:t> </w:t>
      </w:r>
      <w:r>
        <w:rPr/>
        <w:t>67075</w:t>
      </w:r>
      <w:r>
        <w:rPr>
          <w:spacing w:val="1"/>
        </w:rPr>
        <w:t> </w:t>
      </w:r>
      <w:r>
        <w:rPr/>
        <w:t>Strasbourg Cedex,</w:t>
      </w:r>
      <w:r>
        <w:rPr>
          <w:spacing w:val="1"/>
        </w:rPr>
        <w:t> </w:t>
      </w:r>
      <w:r>
        <w:rPr/>
        <w:t>France.</w:t>
      </w:r>
    </w:p>
    <w:p>
      <w:pPr>
        <w:pStyle w:val="BodyText"/>
        <w:spacing w:before="120"/>
        <w:ind w:left="1185" w:right="1254" w:hanging="720"/>
        <w:jc w:val="both"/>
      </w:pPr>
      <w:r>
        <w:rPr/>
        <w:t>European Pharmacopoeia, Sixth Edition (2008).European Directorate for the Quality of</w:t>
      </w:r>
      <w:r>
        <w:rPr>
          <w:spacing w:val="1"/>
        </w:rPr>
        <w:t> </w:t>
      </w:r>
      <w:r>
        <w:rPr/>
        <w:t>Medicines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HealthCare,</w:t>
      </w:r>
      <w:r>
        <w:rPr>
          <w:spacing w:val="-2"/>
        </w:rPr>
        <w:t> </w:t>
      </w:r>
      <w:r>
        <w:rPr/>
        <w:t>Council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Europe,</w:t>
      </w:r>
      <w:r>
        <w:rPr>
          <w:spacing w:val="-2"/>
        </w:rPr>
        <w:t> </w:t>
      </w:r>
      <w:r>
        <w:rPr/>
        <w:t>67075</w:t>
      </w:r>
      <w:r>
        <w:rPr>
          <w:spacing w:val="-1"/>
        </w:rPr>
        <w:t> </w:t>
      </w:r>
      <w:r>
        <w:rPr/>
        <w:t>Strasbourg</w:t>
      </w:r>
      <w:r>
        <w:rPr>
          <w:spacing w:val="-5"/>
        </w:rPr>
        <w:t> </w:t>
      </w:r>
      <w:r>
        <w:rPr/>
        <w:t>Cedex,</w:t>
      </w:r>
      <w:r>
        <w:rPr>
          <w:spacing w:val="-1"/>
        </w:rPr>
        <w:t> </w:t>
      </w:r>
      <w:r>
        <w:rPr/>
        <w:t>France.</w:t>
      </w:r>
    </w:p>
    <w:p>
      <w:pPr>
        <w:pStyle w:val="BodyText"/>
        <w:spacing w:before="120"/>
        <w:ind w:left="1185" w:right="1253" w:hanging="720"/>
        <w:jc w:val="both"/>
      </w:pPr>
      <w:r>
        <w:rPr/>
        <w:t>Flores, L. E., Arellano, R. L. and Esquivel, J. J. D. (2000).Study of load capacity of</w:t>
      </w:r>
      <w:r>
        <w:rPr>
          <w:spacing w:val="1"/>
        </w:rPr>
        <w:t> </w:t>
      </w:r>
      <w:r>
        <w:rPr/>
        <w:t>Avicel</w:t>
      </w:r>
      <w:r>
        <w:rPr>
          <w:spacing w:val="1"/>
        </w:rPr>
        <w:t> </w:t>
      </w:r>
      <w:r>
        <w:rPr/>
        <w:t>PH-200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Cellactose,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excipients,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experimental design.</w:t>
      </w:r>
      <w:r>
        <w:rPr>
          <w:i/>
        </w:rPr>
        <w:t>Drug Development and Industrial Pharmacy</w:t>
      </w:r>
      <w:r>
        <w:rPr/>
        <w:t>, </w:t>
      </w:r>
      <w:r>
        <w:rPr>
          <w:b/>
        </w:rPr>
        <w:t>26(4)</w:t>
      </w:r>
      <w:r>
        <w:rPr/>
        <w:t>: 465-</w:t>
      </w:r>
      <w:r>
        <w:rPr>
          <w:spacing w:val="1"/>
        </w:rPr>
        <w:t> </w:t>
      </w:r>
      <w:r>
        <w:rPr/>
        <w:t>469.</w:t>
      </w:r>
    </w:p>
    <w:p>
      <w:pPr>
        <w:pStyle w:val="BodyText"/>
        <w:spacing w:before="121"/>
        <w:ind w:left="1185" w:right="1260" w:hanging="720"/>
        <w:jc w:val="both"/>
      </w:pPr>
      <w:r>
        <w:rPr/>
        <w:t>Food and Drug Administration CDER (2006).Guidance for Industry, Q8 Pharmaceutical</w:t>
      </w:r>
      <w:r>
        <w:rPr>
          <w:spacing w:val="-57"/>
        </w:rPr>
        <w:t> </w:t>
      </w:r>
      <w:r>
        <w:rPr/>
        <w:t>Development.</w:t>
      </w:r>
    </w:p>
    <w:p>
      <w:pPr>
        <w:spacing w:after="0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before="72"/>
        <w:ind w:left="1185" w:right="1253" w:hanging="720"/>
        <w:jc w:val="both"/>
      </w:pPr>
      <w:r>
        <w:rPr/>
        <w:t>French, D. (1984). Organisation of starch granules. In: Whistler, R. L., BeMiller, J. N.</w:t>
      </w:r>
      <w:r>
        <w:rPr>
          <w:spacing w:val="1"/>
        </w:rPr>
        <w:t> </w:t>
      </w:r>
      <w:r>
        <w:rPr/>
        <w:t>and Paschall, E. F. (Eds.) </w:t>
      </w:r>
      <w:r>
        <w:rPr>
          <w:i/>
        </w:rPr>
        <w:t>Chemistry and Technology, </w:t>
      </w:r>
      <w:r>
        <w:rPr/>
        <w:t>Academic Press, New</w:t>
      </w:r>
      <w:r>
        <w:rPr>
          <w:spacing w:val="1"/>
        </w:rPr>
        <w:t> </w:t>
      </w:r>
      <w:r>
        <w:rPr/>
        <w:t>York,</w:t>
      </w:r>
      <w:r>
        <w:rPr>
          <w:spacing w:val="-1"/>
        </w:rPr>
        <w:t> </w:t>
      </w:r>
      <w:r>
        <w:rPr/>
        <w:t>USA, pp. 184-247.</w:t>
      </w:r>
    </w:p>
    <w:p>
      <w:pPr>
        <w:pStyle w:val="BodyText"/>
        <w:spacing w:before="120"/>
        <w:ind w:left="1185" w:right="1252" w:hanging="720"/>
        <w:jc w:val="both"/>
      </w:pPr>
      <w:r>
        <w:rPr/>
        <w:t>Garekani,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Ford,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Rubinstein,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Rajabi-Siahboomi,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(2001).Effect of compression force, compression speed, and particle size on the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paracetamol. </w:t>
      </w:r>
      <w:r>
        <w:rPr>
          <w:i/>
        </w:rPr>
        <w:t>Drug</w:t>
      </w:r>
      <w:r>
        <w:rPr>
          <w:i/>
          <w:spacing w:val="1"/>
        </w:rPr>
        <w:t> </w:t>
      </w:r>
      <w:r>
        <w:rPr>
          <w:i/>
        </w:rPr>
        <w:t>Development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Industrial</w:t>
      </w:r>
      <w:r>
        <w:rPr>
          <w:i/>
          <w:spacing w:val="1"/>
        </w:rPr>
        <w:t> </w:t>
      </w:r>
      <w:r>
        <w:rPr>
          <w:i/>
        </w:rPr>
        <w:t>Pharmacy</w:t>
      </w:r>
      <w:r>
        <w:rPr/>
        <w:t>,</w:t>
      </w:r>
      <w:r>
        <w:rPr>
          <w:spacing w:val="-1"/>
        </w:rPr>
        <w:t> </w:t>
      </w:r>
      <w:r>
        <w:rPr>
          <w:b/>
        </w:rPr>
        <w:t>27(9)</w:t>
      </w:r>
      <w:r>
        <w:rPr/>
        <w:t>: 935-942.</w:t>
      </w:r>
    </w:p>
    <w:p>
      <w:pPr>
        <w:spacing w:before="120"/>
        <w:ind w:left="1185" w:right="1250" w:hanging="720"/>
        <w:jc w:val="both"/>
        <w:rPr>
          <w:sz w:val="24"/>
        </w:rPr>
      </w:pPr>
      <w:r>
        <w:rPr>
          <w:sz w:val="24"/>
        </w:rPr>
        <w:t>Garr, J. S. and Rubinstein, M.H. (1991). Compaction properties of a cellulose-lactose</w:t>
      </w:r>
      <w:r>
        <w:rPr>
          <w:spacing w:val="1"/>
          <w:sz w:val="24"/>
        </w:rPr>
        <w:t> </w:t>
      </w:r>
      <w:r>
        <w:rPr>
          <w:sz w:val="24"/>
        </w:rPr>
        <w:t>direct compression excipient. </w:t>
      </w:r>
      <w:r>
        <w:rPr>
          <w:i/>
          <w:sz w:val="24"/>
        </w:rPr>
        <w:t>Pharmaceutical Technology International</w:t>
      </w:r>
      <w:r>
        <w:rPr>
          <w:sz w:val="24"/>
        </w:rPr>
        <w:t>, </w:t>
      </w:r>
      <w:r>
        <w:rPr>
          <w:b/>
          <w:sz w:val="24"/>
        </w:rPr>
        <w:t>3</w:t>
      </w:r>
      <w:r>
        <w:rPr>
          <w:sz w:val="24"/>
        </w:rPr>
        <w:t>: 24-</w:t>
      </w:r>
      <w:r>
        <w:rPr>
          <w:spacing w:val="1"/>
          <w:sz w:val="24"/>
        </w:rPr>
        <w:t> </w:t>
      </w:r>
      <w:r>
        <w:rPr>
          <w:sz w:val="24"/>
        </w:rPr>
        <w:t>27.</w:t>
      </w:r>
    </w:p>
    <w:p>
      <w:pPr>
        <w:pStyle w:val="BodyText"/>
        <w:spacing w:before="120"/>
        <w:ind w:left="1185" w:right="1254" w:hanging="720"/>
        <w:jc w:val="both"/>
      </w:pPr>
      <w:r>
        <w:rPr/>
        <w:t>Ghosh,</w:t>
      </w:r>
      <w:r>
        <w:rPr>
          <w:spacing w:val="1"/>
        </w:rPr>
        <w:t> </w:t>
      </w:r>
      <w:r>
        <w:rPr/>
        <w:t>S.P.,</w:t>
      </w:r>
      <w:r>
        <w:rPr>
          <w:spacing w:val="1"/>
        </w:rPr>
        <w:t> </w:t>
      </w:r>
      <w:r>
        <w:rPr/>
        <w:t>Jos,</w:t>
      </w:r>
      <w:r>
        <w:rPr>
          <w:spacing w:val="1"/>
        </w:rPr>
        <w:t> </w:t>
      </w:r>
      <w:r>
        <w:rPr/>
        <w:t>J.S.,</w:t>
      </w:r>
      <w:r>
        <w:rPr>
          <w:spacing w:val="1"/>
        </w:rPr>
        <w:t> </w:t>
      </w:r>
      <w:r>
        <w:rPr/>
        <w:t>Ramanujam,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Moorthy,</w:t>
      </w:r>
      <w:r>
        <w:rPr>
          <w:spacing w:val="1"/>
        </w:rPr>
        <w:t> </w:t>
      </w:r>
      <w:r>
        <w:rPr/>
        <w:t>S.N.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Nair,</w:t>
      </w:r>
      <w:r>
        <w:rPr>
          <w:spacing w:val="1"/>
        </w:rPr>
        <w:t> </w:t>
      </w:r>
      <w:r>
        <w:rPr/>
        <w:t>R.G.</w:t>
      </w:r>
      <w:r>
        <w:rPr>
          <w:spacing w:val="60"/>
        </w:rPr>
        <w:t> </w:t>
      </w:r>
      <w:r>
        <w:rPr/>
        <w:t>(1988).</w:t>
      </w:r>
      <w:r>
        <w:rPr>
          <w:i/>
        </w:rPr>
        <w:t>Root</w:t>
      </w:r>
      <w:r>
        <w:rPr>
          <w:i/>
          <w:spacing w:val="-57"/>
        </w:rPr>
        <w:t> </w:t>
      </w:r>
      <w:r>
        <w:rPr>
          <w:i/>
        </w:rPr>
        <w:t>Crops</w:t>
      </w:r>
      <w:r>
        <w:rPr/>
        <w:t>.</w:t>
      </w:r>
      <w:r>
        <w:rPr>
          <w:spacing w:val="-2"/>
        </w:rPr>
        <w:t> </w:t>
      </w:r>
      <w:r>
        <w:rPr/>
        <w:t>Oxford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IBH</w:t>
      </w:r>
      <w:r>
        <w:rPr>
          <w:spacing w:val="-1"/>
        </w:rPr>
        <w:t> </w:t>
      </w:r>
      <w:r>
        <w:rPr/>
        <w:t>Publishing</w:t>
      </w:r>
      <w:r>
        <w:rPr>
          <w:spacing w:val="-3"/>
        </w:rPr>
        <w:t> </w:t>
      </w:r>
      <w:r>
        <w:rPr/>
        <w:t>Co.</w:t>
      </w:r>
      <w:r>
        <w:rPr>
          <w:spacing w:val="-1"/>
        </w:rPr>
        <w:t> </w:t>
      </w:r>
      <w:r>
        <w:rPr/>
        <w:t>PVT.,</w:t>
      </w:r>
      <w:r>
        <w:rPr>
          <w:spacing w:val="-1"/>
        </w:rPr>
        <w:t> </w:t>
      </w:r>
      <w:r>
        <w:rPr/>
        <w:t>LTD.,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Delhi,</w:t>
      </w:r>
      <w:r>
        <w:rPr>
          <w:spacing w:val="1"/>
        </w:rPr>
        <w:t> </w:t>
      </w:r>
      <w:r>
        <w:rPr/>
        <w:t>India,</w:t>
      </w:r>
      <w:r>
        <w:rPr>
          <w:spacing w:val="-2"/>
        </w:rPr>
        <w:t> </w:t>
      </w:r>
      <w:r>
        <w:rPr/>
        <w:t>pp. 602.</w:t>
      </w:r>
    </w:p>
    <w:p>
      <w:pPr>
        <w:spacing w:before="121"/>
        <w:ind w:left="1185" w:right="1252" w:hanging="720"/>
        <w:jc w:val="both"/>
        <w:rPr>
          <w:sz w:val="24"/>
        </w:rPr>
      </w:pPr>
      <w:r>
        <w:rPr>
          <w:sz w:val="24"/>
        </w:rPr>
        <w:t>Gohel,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Jogani,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(2003a).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investigation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direct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co-processed</w:t>
      </w:r>
      <w:r>
        <w:rPr>
          <w:spacing w:val="1"/>
          <w:sz w:val="24"/>
        </w:rPr>
        <w:t> </w:t>
      </w:r>
      <w:r>
        <w:rPr>
          <w:sz w:val="24"/>
        </w:rPr>
        <w:t>lactose-starch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factorial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Pharmaceutical Sciences</w:t>
      </w:r>
      <w:r>
        <w:rPr>
          <w:sz w:val="24"/>
        </w:rPr>
        <w:t>, </w:t>
      </w:r>
      <w:r>
        <w:rPr>
          <w:b/>
          <w:sz w:val="24"/>
        </w:rPr>
        <w:t>65(1)</w:t>
      </w:r>
      <w:r>
        <w:rPr>
          <w:sz w:val="24"/>
        </w:rPr>
        <w:t>: 31-38.</w:t>
      </w:r>
    </w:p>
    <w:p>
      <w:pPr>
        <w:pStyle w:val="BodyText"/>
        <w:spacing w:before="120"/>
        <w:ind w:left="1185" w:right="1255" w:hanging="720"/>
        <w:jc w:val="both"/>
      </w:pPr>
      <w:r>
        <w:rPr/>
        <w:t>Gohel, M. C. and Jogani, P. D. (2003b). Exploration of melt granulation technique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compressible</w:t>
      </w:r>
      <w:r>
        <w:rPr>
          <w:spacing w:val="1"/>
        </w:rPr>
        <w:t> </w:t>
      </w:r>
      <w:r>
        <w:rPr/>
        <w:t>adjuvant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lactose</w:t>
      </w:r>
      <w:r>
        <w:rPr>
          <w:spacing w:val="-1"/>
        </w:rPr>
        <w:t> </w:t>
      </w:r>
      <w:r>
        <w:rPr/>
        <w:t>and MCC.</w:t>
      </w:r>
      <w:r>
        <w:rPr>
          <w:i/>
        </w:rPr>
        <w:t>Pharmaceutical Development</w:t>
      </w:r>
      <w:r>
        <w:rPr>
          <w:i/>
          <w:spacing w:val="-1"/>
        </w:rPr>
        <w:t> </w:t>
      </w:r>
      <w:r>
        <w:rPr>
          <w:i/>
        </w:rPr>
        <w:t>Technology</w:t>
      </w:r>
      <w:r>
        <w:rPr/>
        <w:t>, </w:t>
      </w:r>
      <w:r>
        <w:rPr>
          <w:b/>
        </w:rPr>
        <w:t>8(2)</w:t>
      </w:r>
      <w:r>
        <w:rPr/>
        <w:t>: 175-185.</w:t>
      </w:r>
    </w:p>
    <w:p>
      <w:pPr>
        <w:pStyle w:val="BodyText"/>
        <w:spacing w:before="120"/>
        <w:ind w:left="1185" w:right="1253" w:hanging="720"/>
        <w:jc w:val="both"/>
      </w:pPr>
      <w:r>
        <w:rPr/>
        <w:t>Gohel, M. C., Parikh, R. K., Brahmbatt, B, K, Shar, A. R (2007a). Preparation and</w:t>
      </w:r>
      <w:r>
        <w:rPr>
          <w:spacing w:val="1"/>
        </w:rPr>
        <w:t> </w:t>
      </w:r>
      <w:r>
        <w:rPr/>
        <w:t>assessment of novel co-processed superdisintegrant consisting of crospovidone</w:t>
      </w:r>
      <w:r>
        <w:rPr>
          <w:spacing w:val="1"/>
        </w:rPr>
        <w:t> </w:t>
      </w:r>
      <w:r>
        <w:rPr/>
        <w:t>and sodium starch glycolate: A technical note. </w:t>
      </w:r>
      <w:r>
        <w:rPr>
          <w:i/>
        </w:rPr>
        <w:t>AAPS PharmSciTech</w:t>
      </w:r>
      <w:r>
        <w:rPr/>
        <w:t>, </w:t>
      </w:r>
      <w:r>
        <w:rPr>
          <w:b/>
        </w:rPr>
        <w:t>8(1)</w:t>
      </w:r>
      <w:r>
        <w:rPr/>
        <w:t>: E63-</w:t>
      </w:r>
      <w:r>
        <w:rPr>
          <w:spacing w:val="1"/>
        </w:rPr>
        <w:t> </w:t>
      </w:r>
      <w:r>
        <w:rPr/>
        <w:t>E69.</w:t>
      </w:r>
    </w:p>
    <w:p>
      <w:pPr>
        <w:pStyle w:val="BodyText"/>
        <w:spacing w:before="121"/>
        <w:ind w:left="1185" w:right="1253" w:hanging="720"/>
        <w:jc w:val="both"/>
      </w:pPr>
      <w:r>
        <w:rPr/>
        <w:t>Gohel, M. C., Parikh, R. K., Brahmbatt, B. K. and Shar, A. R. (2007b).Improving the</w:t>
      </w:r>
      <w:r>
        <w:rPr>
          <w:spacing w:val="1"/>
        </w:rPr>
        <w:t> </w:t>
      </w:r>
      <w:r>
        <w:rPr/>
        <w:t>tablet characteristics and dissolution profile of ibuprofen by using a novel co-</w:t>
      </w:r>
      <w:r>
        <w:rPr>
          <w:spacing w:val="1"/>
        </w:rPr>
        <w:t> </w:t>
      </w:r>
      <w:r>
        <w:rPr/>
        <w:t>processed superdisintegrant: A technical note.</w:t>
      </w:r>
      <w:r>
        <w:rPr>
          <w:i/>
        </w:rPr>
        <w:t>AAPS PharmSciTech</w:t>
      </w:r>
      <w:r>
        <w:rPr/>
        <w:t>, </w:t>
      </w:r>
      <w:r>
        <w:rPr>
          <w:b/>
        </w:rPr>
        <w:t>8(1)</w:t>
      </w:r>
      <w:r>
        <w:rPr/>
        <w:t>: E94-</w:t>
      </w:r>
      <w:r>
        <w:rPr>
          <w:spacing w:val="1"/>
        </w:rPr>
        <w:t> </w:t>
      </w:r>
      <w:r>
        <w:rPr/>
        <w:t>E99.</w:t>
      </w:r>
    </w:p>
    <w:p>
      <w:pPr>
        <w:spacing w:before="120"/>
        <w:ind w:left="1185" w:right="1251" w:hanging="720"/>
        <w:jc w:val="both"/>
        <w:rPr>
          <w:sz w:val="24"/>
        </w:rPr>
      </w:pPr>
      <w:r>
        <w:rPr>
          <w:sz w:val="24"/>
        </w:rPr>
        <w:t>Gonnissen,</w:t>
      </w:r>
      <w:r>
        <w:rPr>
          <w:spacing w:val="1"/>
          <w:sz w:val="24"/>
        </w:rPr>
        <w:t> </w:t>
      </w:r>
      <w:r>
        <w:rPr>
          <w:sz w:val="24"/>
        </w:rPr>
        <w:t>Y.,</w:t>
      </w:r>
      <w:r>
        <w:rPr>
          <w:spacing w:val="1"/>
          <w:sz w:val="24"/>
        </w:rPr>
        <w:t> </w:t>
      </w:r>
      <w:r>
        <w:rPr>
          <w:sz w:val="24"/>
        </w:rPr>
        <w:t>Remon,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Vervaet,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maltodextrin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superdisintegrant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directly compressible</w:t>
      </w:r>
      <w:r>
        <w:rPr>
          <w:spacing w:val="1"/>
          <w:sz w:val="24"/>
        </w:rPr>
        <w:t> </w:t>
      </w:r>
      <w:r>
        <w:rPr>
          <w:sz w:val="24"/>
        </w:rPr>
        <w:t>powder</w:t>
      </w:r>
      <w:r>
        <w:rPr>
          <w:spacing w:val="1"/>
          <w:sz w:val="24"/>
        </w:rPr>
        <w:t> </w:t>
      </w:r>
      <w:r>
        <w:rPr>
          <w:sz w:val="24"/>
        </w:rPr>
        <w:t>mixtures</w:t>
      </w:r>
      <w:r>
        <w:rPr>
          <w:spacing w:val="1"/>
          <w:sz w:val="24"/>
        </w:rPr>
        <w:t> </w:t>
      </w:r>
      <w:r>
        <w:rPr>
          <w:sz w:val="24"/>
        </w:rPr>
        <w:t>prepared</w:t>
      </w:r>
      <w:r>
        <w:rPr>
          <w:spacing w:val="1"/>
          <w:sz w:val="24"/>
        </w:rPr>
        <w:t> </w:t>
      </w:r>
      <w:r>
        <w:rPr>
          <w:sz w:val="24"/>
        </w:rPr>
        <w:t>via</w:t>
      </w:r>
      <w:r>
        <w:rPr>
          <w:spacing w:val="1"/>
          <w:sz w:val="24"/>
        </w:rPr>
        <w:t> </w:t>
      </w:r>
      <w:r>
        <w:rPr>
          <w:sz w:val="24"/>
        </w:rPr>
        <w:t>co-</w:t>
      </w:r>
      <w:r>
        <w:rPr>
          <w:spacing w:val="-57"/>
          <w:sz w:val="24"/>
        </w:rPr>
        <w:t> </w:t>
      </w:r>
      <w:r>
        <w:rPr>
          <w:sz w:val="24"/>
        </w:rPr>
        <w:t>spray</w:t>
      </w:r>
      <w:r>
        <w:rPr>
          <w:spacing w:val="1"/>
          <w:sz w:val="24"/>
        </w:rPr>
        <w:t> </w:t>
      </w:r>
      <w:r>
        <w:rPr>
          <w:sz w:val="24"/>
        </w:rPr>
        <w:t>drying.</w:t>
      </w:r>
      <w:r>
        <w:rPr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Biopharmaceutics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b/>
          <w:sz w:val="24"/>
        </w:rPr>
        <w:t>68</w:t>
      </w:r>
      <w:r>
        <w:rPr>
          <w:sz w:val="24"/>
        </w:rPr>
        <w:t>:277-282.</w:t>
      </w:r>
    </w:p>
    <w:p>
      <w:pPr>
        <w:pStyle w:val="BodyText"/>
        <w:spacing w:before="4"/>
      </w:pPr>
    </w:p>
    <w:p>
      <w:pPr>
        <w:spacing w:line="240" w:lineRule="auto" w:before="1"/>
        <w:ind w:left="1185" w:right="1255" w:hanging="720"/>
        <w:jc w:val="both"/>
        <w:rPr>
          <w:sz w:val="24"/>
        </w:rPr>
      </w:pPr>
      <w:r>
        <w:rPr>
          <w:sz w:val="24"/>
        </w:rPr>
        <w:t>Gopal,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Park,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Seo,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andPark,</w:t>
      </w:r>
      <w:r>
        <w:rPr>
          <w:spacing w:val="60"/>
          <w:sz w:val="24"/>
        </w:rPr>
        <w:t> </w:t>
      </w:r>
      <w:r>
        <w:rPr>
          <w:sz w:val="24"/>
        </w:rPr>
        <w:t>Y.</w:t>
      </w:r>
      <w:r>
        <w:rPr>
          <w:spacing w:val="60"/>
          <w:sz w:val="24"/>
        </w:rPr>
        <w:t> </w:t>
      </w:r>
      <w:r>
        <w:rPr>
          <w:sz w:val="24"/>
        </w:rPr>
        <w:t>(2012).Applications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circular</w:t>
      </w:r>
      <w:r>
        <w:rPr>
          <w:spacing w:val="1"/>
          <w:sz w:val="24"/>
        </w:rPr>
        <w:t> </w:t>
      </w:r>
      <w:r>
        <w:rPr>
          <w:sz w:val="24"/>
        </w:rPr>
        <w:t>dichroism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structural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gelatin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antimicrobial</w:t>
      </w:r>
      <w:r>
        <w:rPr>
          <w:spacing w:val="1"/>
          <w:sz w:val="24"/>
        </w:rPr>
        <w:t> </w:t>
      </w:r>
      <w:r>
        <w:rPr>
          <w:sz w:val="24"/>
        </w:rPr>
        <w:t>peptides.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Molecular Sciences</w:t>
      </w:r>
      <w:r>
        <w:rPr>
          <w:sz w:val="24"/>
        </w:rPr>
        <w:t>, </w:t>
      </w:r>
      <w:r>
        <w:rPr>
          <w:b/>
          <w:sz w:val="24"/>
        </w:rPr>
        <w:t>13(3)</w:t>
      </w:r>
      <w:r>
        <w:rPr>
          <w:sz w:val="24"/>
        </w:rPr>
        <w:t>: 3229–3244.</w:t>
      </w:r>
    </w:p>
    <w:p>
      <w:pPr>
        <w:pStyle w:val="BodyText"/>
        <w:spacing w:before="2"/>
      </w:pPr>
    </w:p>
    <w:p>
      <w:pPr>
        <w:pStyle w:val="BodyText"/>
        <w:spacing w:before="1"/>
        <w:ind w:left="1185" w:right="1252" w:hanging="720"/>
        <w:jc w:val="both"/>
      </w:pPr>
      <w:r>
        <w:rPr/>
        <w:t>Grace, M. R. (1977). </w:t>
      </w:r>
      <w:r>
        <w:rPr>
          <w:i/>
        </w:rPr>
        <w:t>Cassava processing</w:t>
      </w:r>
      <w:r>
        <w:rPr/>
        <w:t>. Rome: Food and Agriculture Organization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United Nations, pp. 1-259.</w:t>
      </w:r>
    </w:p>
    <w:p>
      <w:pPr>
        <w:pStyle w:val="BodyText"/>
        <w:spacing w:before="120"/>
        <w:ind w:left="1185" w:right="1253" w:hanging="720"/>
        <w:jc w:val="both"/>
      </w:pPr>
      <w:r>
        <w:rPr/>
        <w:t>Gulian,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Simon,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Kurt,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LaBella,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Farrell,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ColorCon</w:t>
      </w:r>
      <w:r>
        <w:rPr>
          <w:spacing w:val="1"/>
        </w:rPr>
        <w:t> </w:t>
      </w:r>
      <w:r>
        <w:rPr/>
        <w:t>W</w:t>
      </w:r>
      <w:r>
        <w:rPr>
          <w:spacing w:val="1"/>
        </w:rPr>
        <w:t> </w:t>
      </w:r>
      <w:r>
        <w:rPr/>
        <w:t>(2006).Evaluation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StarCap</w:t>
      </w:r>
      <w:r>
        <w:rPr>
          <w:spacing w:val="1"/>
        </w:rPr>
        <w:t> </w:t>
      </w:r>
      <w:r>
        <w:rPr/>
        <w:t>1500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propranolol</w:t>
      </w:r>
      <w:r>
        <w:rPr>
          <w:spacing w:val="1"/>
          <w:vertAlign w:val="baseline"/>
        </w:rPr>
        <w:t> </w:t>
      </w:r>
      <w:r>
        <w:rPr>
          <w:vertAlign w:val="baseline"/>
        </w:rPr>
        <w:t>hydrochloride</w:t>
      </w:r>
      <w:r>
        <w:rPr>
          <w:spacing w:val="1"/>
          <w:vertAlign w:val="baseline"/>
        </w:rPr>
        <w:t> </w:t>
      </w:r>
      <w:r>
        <w:rPr>
          <w:vertAlign w:val="baseline"/>
        </w:rPr>
        <w:t>capsule</w:t>
      </w:r>
      <w:r>
        <w:rPr>
          <w:spacing w:val="-57"/>
          <w:vertAlign w:val="baseline"/>
        </w:rPr>
        <w:t> </w:t>
      </w:r>
      <w:r>
        <w:rPr>
          <w:vertAlign w:val="baseline"/>
        </w:rPr>
        <w:t>formulation.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ColorCon</w:t>
      </w:r>
      <w:r>
        <w:rPr>
          <w:spacing w:val="1"/>
          <w:vertAlign w:val="baseline"/>
        </w:rPr>
        <w:t> </w:t>
      </w:r>
      <w:r>
        <w:rPr>
          <w:vertAlign w:val="baseline"/>
        </w:rPr>
        <w:t>retrieved</w:t>
      </w:r>
      <w:r>
        <w:rPr>
          <w:spacing w:val="1"/>
          <w:vertAlign w:val="baseline"/>
        </w:rPr>
        <w:t> </w:t>
      </w:r>
      <w:r>
        <w:rPr>
          <w:vertAlign w:val="baseline"/>
        </w:rPr>
        <w:t>27/05/2010.</w:t>
      </w:r>
      <w:r>
        <w:rPr>
          <w:spacing w:val="1"/>
          <w:vertAlign w:val="baseline"/>
        </w:rPr>
        <w:t> </w:t>
      </w:r>
      <w:r>
        <w:rPr>
          <w:vertAlign w:val="baseline"/>
        </w:rPr>
        <w:t>Available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hyperlink r:id="rId219">
        <w:r>
          <w:rPr>
            <w:vertAlign w:val="baseline"/>
          </w:rPr>
          <w:t>http://www.colorcon.com/literature/marketing/ex/starcap</w:t>
        </w:r>
      </w:hyperlink>
    </w:p>
    <w:p>
      <w:pPr>
        <w:spacing w:before="120"/>
        <w:ind w:left="1185" w:right="1253" w:hanging="720"/>
        <w:jc w:val="both"/>
        <w:rPr>
          <w:sz w:val="24"/>
        </w:rPr>
      </w:pPr>
      <w:r>
        <w:rPr>
          <w:sz w:val="24"/>
        </w:rPr>
        <w:t>Gupta, P., Nachaegari, S. K. and Bansal, A. K. (2006).Improved excipient functionality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co-processing.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sz w:val="24"/>
        </w:rPr>
        <w:t>Katdare,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Chaubal,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(Eds.)</w:t>
      </w:r>
      <w:r>
        <w:rPr>
          <w:spacing w:val="1"/>
          <w:sz w:val="24"/>
        </w:rPr>
        <w:t> </w:t>
      </w:r>
      <w:r>
        <w:rPr>
          <w:i/>
          <w:sz w:val="24"/>
        </w:rPr>
        <w:t>Excipient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 for Pharmaceutical, Biotechnology and Drug Delivery Systems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Informa</w:t>
      </w:r>
      <w:r>
        <w:rPr>
          <w:spacing w:val="-1"/>
          <w:sz w:val="24"/>
        </w:rPr>
        <w:t> </w:t>
      </w:r>
      <w:r>
        <w:rPr>
          <w:sz w:val="24"/>
        </w:rPr>
        <w:t>Healthcare Inc,</w:t>
      </w:r>
      <w:r>
        <w:rPr>
          <w:spacing w:val="2"/>
          <w:sz w:val="24"/>
        </w:rPr>
        <w:t> </w:t>
      </w:r>
      <w:r>
        <w:rPr>
          <w:sz w:val="24"/>
        </w:rPr>
        <w:t>New York,</w:t>
      </w:r>
      <w:r>
        <w:rPr>
          <w:spacing w:val="1"/>
          <w:sz w:val="24"/>
        </w:rPr>
        <w:t> </w:t>
      </w:r>
      <w:r>
        <w:rPr>
          <w:sz w:val="24"/>
        </w:rPr>
        <w:t>USA, pp.109-127.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7" w:top="1320" w:bottom="1260" w:left="1520" w:right="160"/>
        </w:sectPr>
      </w:pPr>
    </w:p>
    <w:p>
      <w:pPr>
        <w:spacing w:line="242" w:lineRule="auto" w:before="72"/>
        <w:ind w:left="1185" w:right="1254" w:hanging="720"/>
        <w:jc w:val="both"/>
        <w:rPr>
          <w:sz w:val="24"/>
        </w:rPr>
      </w:pPr>
      <w:r>
        <w:rPr>
          <w:sz w:val="24"/>
        </w:rPr>
        <w:t>Hamed, R. A.S. (2009). </w:t>
      </w:r>
      <w:r>
        <w:rPr>
          <w:i/>
          <w:sz w:val="24"/>
        </w:rPr>
        <w:t>Evaluation of chitin metal silicate co precipitates as potential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multifunctional excipients in tablet formulations</w:t>
      </w:r>
      <w:r>
        <w:rPr>
          <w:sz w:val="24"/>
        </w:rPr>
        <w:t>. M.Sc Thesis, Petra University,</w:t>
      </w:r>
      <w:r>
        <w:rPr>
          <w:spacing w:val="1"/>
          <w:sz w:val="24"/>
        </w:rPr>
        <w:t> </w:t>
      </w:r>
      <w:r>
        <w:rPr>
          <w:sz w:val="24"/>
        </w:rPr>
        <w:t>Jordan.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75" w:lineRule="exact"/>
        <w:ind w:left="465"/>
        <w:jc w:val="both"/>
      </w:pPr>
      <w:r>
        <w:rPr/>
        <w:t>Hamed,</w:t>
      </w:r>
      <w:r>
        <w:rPr>
          <w:spacing w:val="5"/>
        </w:rPr>
        <w:t> </w:t>
      </w:r>
      <w:r>
        <w:rPr/>
        <w:t>R.</w:t>
      </w:r>
      <w:r>
        <w:rPr>
          <w:spacing w:val="5"/>
        </w:rPr>
        <w:t> </w:t>
      </w:r>
      <w:r>
        <w:rPr/>
        <w:t>A.</w:t>
      </w:r>
      <w:r>
        <w:rPr>
          <w:spacing w:val="8"/>
        </w:rPr>
        <w:t> </w:t>
      </w:r>
      <w:r>
        <w:rPr/>
        <w:t>S.,</w:t>
      </w:r>
      <w:r>
        <w:rPr>
          <w:spacing w:val="5"/>
        </w:rPr>
        <w:t> </w:t>
      </w:r>
      <w:r>
        <w:rPr/>
        <w:t>Al-Akayleh,</w:t>
      </w:r>
      <w:r>
        <w:rPr>
          <w:spacing w:val="8"/>
        </w:rPr>
        <w:t> </w:t>
      </w:r>
      <w:r>
        <w:rPr/>
        <w:t>F.,</w:t>
      </w:r>
      <w:r>
        <w:rPr>
          <w:spacing w:val="8"/>
        </w:rPr>
        <w:t> </w:t>
      </w:r>
      <w:r>
        <w:rPr/>
        <w:t>Shubair,</w:t>
      </w:r>
      <w:r>
        <w:rPr>
          <w:spacing w:val="6"/>
        </w:rPr>
        <w:t> </w:t>
      </w:r>
      <w:r>
        <w:rPr/>
        <w:t>M.,</w:t>
      </w:r>
      <w:r>
        <w:rPr>
          <w:spacing w:val="6"/>
        </w:rPr>
        <w:t> </w:t>
      </w:r>
      <w:r>
        <w:rPr/>
        <w:t>Rashid,</w:t>
      </w:r>
      <w:r>
        <w:rPr>
          <w:spacing w:val="9"/>
        </w:rPr>
        <w:t> </w:t>
      </w:r>
      <w:r>
        <w:rPr/>
        <w:t>I.,Al-</w:t>
      </w:r>
      <w:r>
        <w:rPr>
          <w:spacing w:val="6"/>
        </w:rPr>
        <w:t> </w:t>
      </w:r>
      <w:r>
        <w:rPr/>
        <w:t>Remawi,</w:t>
      </w:r>
      <w:r>
        <w:rPr>
          <w:spacing w:val="5"/>
        </w:rPr>
        <w:t> </w:t>
      </w:r>
      <w:r>
        <w:rPr/>
        <w:t>M.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Badwan,</w:t>
      </w:r>
    </w:p>
    <w:p>
      <w:pPr>
        <w:pStyle w:val="BodyText"/>
        <w:ind w:left="1185" w:right="1252"/>
        <w:jc w:val="both"/>
      </w:pPr>
      <w:r>
        <w:rPr/>
        <w:t>A. (2010). Evaluation of three chitin metal silicate co-precipitates as a potential</w:t>
      </w:r>
      <w:r>
        <w:rPr>
          <w:spacing w:val="1"/>
        </w:rPr>
        <w:t> </w:t>
      </w:r>
      <w:r>
        <w:rPr/>
        <w:t>multifunctional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formulations.</w:t>
      </w:r>
      <w:r>
        <w:rPr>
          <w:spacing w:val="1"/>
        </w:rPr>
        <w:t> </w:t>
      </w:r>
      <w:r>
        <w:rPr>
          <w:i/>
        </w:rPr>
        <w:t>Marine</w:t>
      </w:r>
      <w:r>
        <w:rPr>
          <w:i/>
          <w:spacing w:val="1"/>
        </w:rPr>
        <w:t> </w:t>
      </w:r>
      <w:r>
        <w:rPr>
          <w:i/>
        </w:rPr>
        <w:t>Drugs</w:t>
      </w:r>
      <w:r>
        <w:rPr/>
        <w:t>,</w:t>
      </w:r>
      <w:r>
        <w:rPr>
          <w:spacing w:val="1"/>
        </w:rPr>
        <w:t> </w:t>
      </w:r>
      <w:r>
        <w:rPr>
          <w:b/>
        </w:rPr>
        <w:t>8(5)</w:t>
      </w:r>
      <w:r>
        <w:rPr/>
        <w:t>:</w:t>
      </w:r>
      <w:r>
        <w:rPr>
          <w:spacing w:val="1"/>
        </w:rPr>
        <w:t> </w:t>
      </w:r>
      <w:r>
        <w:rPr/>
        <w:t>1699–1715.</w:t>
      </w:r>
    </w:p>
    <w:p>
      <w:pPr>
        <w:pStyle w:val="BodyText"/>
        <w:spacing w:before="4"/>
      </w:pPr>
    </w:p>
    <w:p>
      <w:pPr>
        <w:pStyle w:val="BodyText"/>
        <w:ind w:left="1185" w:right="1255" w:hanging="720"/>
        <w:jc w:val="both"/>
      </w:pPr>
      <w:r>
        <w:rPr/>
        <w:t>Harden,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Glover,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Redding</w:t>
      </w:r>
      <w:r>
        <w:rPr>
          <w:spacing w:val="1"/>
        </w:rPr>
        <w:t> </w:t>
      </w:r>
      <w:r>
        <w:rPr/>
        <w:t>Jr,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inventors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increasing the active loading of compressible composition forms.</w:t>
      </w:r>
      <w:r>
        <w:rPr>
          <w:spacing w:val="1"/>
        </w:rPr>
        <w:t> </w:t>
      </w:r>
      <w:r>
        <w:rPr>
          <w:i/>
        </w:rPr>
        <w:t>US Patent</w:t>
      </w:r>
      <w:r>
        <w:rPr>
          <w:i/>
          <w:spacing w:val="1"/>
        </w:rPr>
        <w:t> </w:t>
      </w:r>
      <w:r>
        <w:rPr>
          <w:i/>
        </w:rPr>
        <w:t>6716453</w:t>
      </w:r>
      <w:r>
        <w:rPr/>
        <w:t>.</w:t>
      </w:r>
    </w:p>
    <w:p>
      <w:pPr>
        <w:pStyle w:val="BodyText"/>
        <w:spacing w:before="121"/>
        <w:ind w:left="1185" w:right="1254" w:hanging="720"/>
        <w:jc w:val="both"/>
      </w:pPr>
      <w:r>
        <w:rPr/>
        <w:t>Hauschild, K. and Picker, K. M. (2004). Evaluation of a new co-processed compound</w:t>
      </w:r>
      <w:r>
        <w:rPr>
          <w:spacing w:val="1"/>
        </w:rPr>
        <w:t> </w:t>
      </w:r>
      <w:r>
        <w:rPr/>
        <w:t>based on lactose and maize starch for tablet formulation. </w:t>
      </w:r>
      <w:r>
        <w:rPr>
          <w:i/>
        </w:rPr>
        <w:t>AAPS PharmSciTech</w:t>
      </w:r>
      <w:r>
        <w:rPr/>
        <w:t>,</w:t>
      </w:r>
      <w:r>
        <w:rPr>
          <w:spacing w:val="1"/>
        </w:rPr>
        <w:t> </w:t>
      </w:r>
      <w:r>
        <w:rPr>
          <w:b/>
        </w:rPr>
        <w:t>6</w:t>
      </w:r>
      <w:r>
        <w:rPr/>
        <w:t>:27-38.</w:t>
      </w:r>
    </w:p>
    <w:p>
      <w:pPr>
        <w:pStyle w:val="BodyText"/>
        <w:spacing w:before="120"/>
        <w:ind w:left="1185" w:right="1255" w:hanging="720"/>
        <w:jc w:val="both"/>
      </w:pPr>
      <w:r>
        <w:rPr/>
        <w:t>Hedden, D. B., Brone,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L., Clement, S., McCall, M., Olsofsky, A.,</w:t>
      </w:r>
      <w:r>
        <w:rPr>
          <w:spacing w:val="1"/>
        </w:rPr>
        <w:t> </w:t>
      </w:r>
      <w:r>
        <w:rPr/>
        <w:t>Patel, P. J.,</w:t>
      </w:r>
      <w:r>
        <w:rPr>
          <w:spacing w:val="1"/>
        </w:rPr>
        <w:t> </w:t>
      </w:r>
      <w:r>
        <w:rPr/>
        <w:t>Prescott, J. and Hancock, B. C. (2006).Development of an improved fluidization</w:t>
      </w:r>
      <w:r>
        <w:rPr>
          <w:spacing w:val="-57"/>
        </w:rPr>
        <w:t> </w:t>
      </w:r>
      <w:r>
        <w:rPr/>
        <w:t>segregation</w:t>
      </w:r>
      <w:r>
        <w:rPr>
          <w:spacing w:val="1"/>
        </w:rPr>
        <w:t> </w:t>
      </w:r>
      <w:r>
        <w:rPr/>
        <w:t>tester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powders.</w:t>
      </w:r>
      <w:r>
        <w:rPr>
          <w:i/>
        </w:rPr>
        <w:t>Pharmaceutical</w:t>
      </w:r>
      <w:r>
        <w:rPr>
          <w:i/>
          <w:spacing w:val="1"/>
        </w:rPr>
        <w:t> </w:t>
      </w:r>
      <w:r>
        <w:rPr>
          <w:i/>
        </w:rPr>
        <w:t>Technology</w:t>
      </w:r>
      <w:r>
        <w:rPr/>
        <w:t>,</w:t>
      </w:r>
      <w:r>
        <w:rPr>
          <w:spacing w:val="-1"/>
        </w:rPr>
        <w:t> </w:t>
      </w:r>
      <w:r>
        <w:rPr>
          <w:b/>
        </w:rPr>
        <w:t>30</w:t>
      </w:r>
      <w:r>
        <w:rPr/>
        <w:t>: 54-64.</w:t>
      </w:r>
    </w:p>
    <w:p>
      <w:pPr>
        <w:pStyle w:val="BodyText"/>
        <w:spacing w:before="120"/>
        <w:ind w:left="1185" w:right="1255" w:hanging="720"/>
        <w:jc w:val="both"/>
      </w:pPr>
      <w:r>
        <w:rPr/>
        <w:t>Hoover,</w:t>
      </w:r>
      <w:r>
        <w:rPr>
          <w:spacing w:val="26"/>
        </w:rPr>
        <w:t> </w:t>
      </w:r>
      <w:r>
        <w:rPr/>
        <w:t>R.</w:t>
      </w:r>
      <w:r>
        <w:rPr>
          <w:spacing w:val="27"/>
        </w:rPr>
        <w:t> </w:t>
      </w:r>
      <w:r>
        <w:rPr/>
        <w:t>(2001).</w:t>
      </w:r>
      <w:r>
        <w:rPr>
          <w:spacing w:val="26"/>
        </w:rPr>
        <w:t> </w:t>
      </w:r>
      <w:r>
        <w:rPr/>
        <w:t>Composition,</w:t>
      </w:r>
      <w:r>
        <w:rPr>
          <w:spacing w:val="28"/>
        </w:rPr>
        <w:t> </w:t>
      </w:r>
      <w:r>
        <w:rPr/>
        <w:t>molecular</w:t>
      </w:r>
      <w:r>
        <w:rPr>
          <w:spacing w:val="26"/>
        </w:rPr>
        <w:t> </w:t>
      </w:r>
      <w:r>
        <w:rPr/>
        <w:t>structure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physico-chemical</w:t>
      </w:r>
      <w:r>
        <w:rPr>
          <w:spacing w:val="28"/>
        </w:rPr>
        <w:t> </w:t>
      </w:r>
      <w:r>
        <w:rPr/>
        <w:t>properties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tuber</w:t>
      </w:r>
      <w:r>
        <w:rPr>
          <w:spacing w:val="-3"/>
        </w:rPr>
        <w:t> </w:t>
      </w:r>
      <w:r>
        <w:rPr/>
        <w:t>and root</w:t>
      </w:r>
      <w:r>
        <w:rPr>
          <w:spacing w:val="-1"/>
        </w:rPr>
        <w:t> </w:t>
      </w:r>
      <w:r>
        <w:rPr/>
        <w:t>starches: a</w:t>
      </w:r>
      <w:r>
        <w:rPr>
          <w:spacing w:val="-1"/>
        </w:rPr>
        <w:t> </w:t>
      </w:r>
      <w:r>
        <w:rPr/>
        <w:t>review.</w:t>
      </w:r>
      <w:r>
        <w:rPr>
          <w:spacing w:val="1"/>
        </w:rPr>
        <w:t> </w:t>
      </w:r>
      <w:r>
        <w:rPr>
          <w:i/>
        </w:rPr>
        <w:t>Carbohydrate Polymers,</w:t>
      </w:r>
      <w:r>
        <w:rPr>
          <w:i/>
          <w:spacing w:val="1"/>
        </w:rPr>
        <w:t> </w:t>
      </w:r>
      <w:r>
        <w:rPr>
          <w:b/>
        </w:rPr>
        <w:t>45:</w:t>
      </w:r>
      <w:r>
        <w:rPr>
          <w:b/>
          <w:spacing w:val="-2"/>
        </w:rPr>
        <w:t> </w:t>
      </w:r>
      <w:r>
        <w:rPr/>
        <w:t>253-267.</w:t>
      </w:r>
    </w:p>
    <w:p>
      <w:pPr>
        <w:spacing w:before="120"/>
        <w:ind w:left="1185" w:right="1256" w:hanging="720"/>
        <w:jc w:val="both"/>
        <w:rPr>
          <w:sz w:val="24"/>
        </w:rPr>
      </w:pPr>
      <w:r>
        <w:rPr>
          <w:sz w:val="24"/>
        </w:rPr>
        <w:t>International Conference on Harmonization of Technical Requirements for registration</w:t>
      </w:r>
      <w:r>
        <w:rPr>
          <w:spacing w:val="1"/>
          <w:sz w:val="24"/>
        </w:rPr>
        <w:t> </w:t>
      </w:r>
      <w:r>
        <w:rPr>
          <w:sz w:val="24"/>
        </w:rPr>
        <w:t>of Pharmaceuticals for human use (2009). </w:t>
      </w:r>
      <w:r>
        <w:rPr>
          <w:i/>
          <w:sz w:val="24"/>
        </w:rPr>
        <w:t>ICH harmonised tripartite guideline: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 Q8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(R2)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Geneva, p.24.</w:t>
      </w:r>
    </w:p>
    <w:p>
      <w:pPr>
        <w:pStyle w:val="BodyText"/>
        <w:spacing w:before="120"/>
        <w:ind w:left="1185" w:right="1252" w:hanging="720"/>
        <w:jc w:val="both"/>
      </w:pPr>
      <w:r>
        <w:rPr/>
        <w:t>Itiola, O. A. and Amoo, O. A. (1998). Effects of cassava starch and gelatin on the</w:t>
      </w:r>
      <w:r>
        <w:rPr>
          <w:spacing w:val="1"/>
        </w:rPr>
        <w:t> </w:t>
      </w:r>
      <w:r>
        <w:rPr/>
        <w:t>compressional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formulation.</w:t>
      </w:r>
      <w:r>
        <w:rPr>
          <w:spacing w:val="1"/>
        </w:rPr>
        <w:t> </w:t>
      </w:r>
      <w:r>
        <w:rPr>
          <w:i/>
        </w:rPr>
        <w:t>Nigerian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60"/>
        </w:rPr>
        <w:t> </w:t>
      </w:r>
      <w:r>
        <w:rPr>
          <w:i/>
        </w:rPr>
        <w:t>Science</w:t>
      </w:r>
      <w:r>
        <w:rPr/>
        <w:t>, </w:t>
      </w:r>
      <w:r>
        <w:rPr>
          <w:b/>
        </w:rPr>
        <w:t>32</w:t>
      </w:r>
      <w:r>
        <w:rPr/>
        <w:t>: 83–87.</w:t>
      </w:r>
    </w:p>
    <w:p>
      <w:pPr>
        <w:pStyle w:val="BodyText"/>
        <w:spacing w:before="120"/>
        <w:ind w:left="1185" w:right="1265" w:hanging="720"/>
        <w:jc w:val="both"/>
      </w:pPr>
      <w:r>
        <w:rPr/>
        <w:t>Itiola, O.A. (1991).</w:t>
      </w:r>
      <w:r>
        <w:rPr>
          <w:spacing w:val="1"/>
        </w:rPr>
        <w:t> </w:t>
      </w:r>
      <w:r>
        <w:rPr/>
        <w:t>Compressional characteristics of three starches and the mechanical</w:t>
      </w:r>
      <w:r>
        <w:rPr>
          <w:spacing w:val="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tablets.</w:t>
      </w:r>
      <w:r>
        <w:rPr>
          <w:i/>
        </w:rPr>
        <w:t>Pharmacy</w:t>
      </w:r>
      <w:r>
        <w:rPr>
          <w:i/>
          <w:spacing w:val="1"/>
        </w:rPr>
        <w:t> </w:t>
      </w:r>
      <w:r>
        <w:rPr>
          <w:i/>
        </w:rPr>
        <w:t>World Journal</w:t>
      </w:r>
      <w:r>
        <w:rPr/>
        <w:t>, </w:t>
      </w:r>
      <w:r>
        <w:rPr>
          <w:b/>
        </w:rPr>
        <w:t>8</w:t>
      </w:r>
      <w:r>
        <w:rPr/>
        <w:t>: 91–94.</w:t>
      </w:r>
    </w:p>
    <w:p>
      <w:pPr>
        <w:spacing w:before="120"/>
        <w:ind w:left="1185" w:right="1254" w:hanging="720"/>
        <w:jc w:val="both"/>
        <w:rPr>
          <w:sz w:val="24"/>
        </w:rPr>
      </w:pPr>
      <w:r>
        <w:rPr>
          <w:sz w:val="24"/>
        </w:rPr>
        <w:t>Itiola, O. A. and Odeku, O. A. (2005). Packing and cohesive properties of some locally</w:t>
      </w:r>
      <w:r>
        <w:rPr>
          <w:spacing w:val="1"/>
          <w:sz w:val="24"/>
        </w:rPr>
        <w:t> </w:t>
      </w:r>
      <w:r>
        <w:rPr>
          <w:sz w:val="24"/>
        </w:rPr>
        <w:t>extracted</w:t>
      </w:r>
      <w:r>
        <w:rPr>
          <w:spacing w:val="-1"/>
          <w:sz w:val="24"/>
        </w:rPr>
        <w:t> </w:t>
      </w:r>
      <w:r>
        <w:rPr>
          <w:sz w:val="24"/>
        </w:rPr>
        <w:t>starches. </w:t>
      </w:r>
      <w:r>
        <w:rPr>
          <w:i/>
          <w:sz w:val="24"/>
        </w:rPr>
        <w:t>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4(1):</w:t>
      </w:r>
      <w:r>
        <w:rPr>
          <w:b/>
          <w:spacing w:val="-2"/>
          <w:sz w:val="24"/>
        </w:rPr>
        <w:t> </w:t>
      </w:r>
      <w:r>
        <w:rPr>
          <w:sz w:val="24"/>
        </w:rPr>
        <w:t>363-368.</w:t>
      </w:r>
    </w:p>
    <w:p>
      <w:pPr>
        <w:spacing w:line="240" w:lineRule="auto" w:before="120"/>
        <w:ind w:left="1185" w:right="1253" w:hanging="720"/>
        <w:jc w:val="both"/>
        <w:rPr>
          <w:sz w:val="24"/>
        </w:rPr>
      </w:pPr>
      <w:r>
        <w:rPr>
          <w:sz w:val="24"/>
        </w:rPr>
        <w:t>Jacob,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Shirwaikar,A.A.,</w:t>
      </w:r>
      <w:r>
        <w:rPr>
          <w:spacing w:val="1"/>
          <w:sz w:val="24"/>
        </w:rPr>
        <w:t> </w:t>
      </w:r>
      <w:r>
        <w:rPr>
          <w:sz w:val="24"/>
        </w:rPr>
        <w:t>Joseph,A.,</w:t>
      </w:r>
      <w:r>
        <w:rPr>
          <w:spacing w:val="1"/>
          <w:sz w:val="24"/>
        </w:rPr>
        <w:t> </w:t>
      </w:r>
      <w:r>
        <w:rPr>
          <w:sz w:val="24"/>
        </w:rPr>
        <w:t>andSrinivasan,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Novel</w:t>
      </w:r>
      <w:r>
        <w:rPr>
          <w:spacing w:val="60"/>
          <w:sz w:val="24"/>
        </w:rPr>
        <w:t> </w:t>
      </w:r>
      <w:r>
        <w:rPr>
          <w:sz w:val="24"/>
        </w:rPr>
        <w:t>co-</w:t>
      </w:r>
      <w:r>
        <w:rPr>
          <w:spacing w:val="1"/>
          <w:sz w:val="24"/>
        </w:rPr>
        <w:t> </w:t>
      </w:r>
      <w:r>
        <w:rPr>
          <w:sz w:val="24"/>
        </w:rPr>
        <w:t>processed</w:t>
      </w:r>
      <w:r>
        <w:rPr>
          <w:spacing w:val="45"/>
          <w:sz w:val="24"/>
        </w:rPr>
        <w:t> </w:t>
      </w:r>
      <w:r>
        <w:rPr>
          <w:sz w:val="24"/>
        </w:rPr>
        <w:t>excipients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mannitol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microcrystalline</w:t>
      </w:r>
      <w:r>
        <w:rPr>
          <w:spacing w:val="43"/>
          <w:sz w:val="24"/>
        </w:rPr>
        <w:t> </w:t>
      </w:r>
      <w:r>
        <w:rPr>
          <w:sz w:val="24"/>
        </w:rPr>
        <w:t>cellulose</w:t>
      </w:r>
      <w:r>
        <w:rPr>
          <w:spacing w:val="46"/>
          <w:sz w:val="24"/>
        </w:rPr>
        <w:t> </w:t>
      </w:r>
      <w:r>
        <w:rPr>
          <w:sz w:val="24"/>
        </w:rPr>
        <w:t>for</w:t>
      </w:r>
      <w:r>
        <w:rPr>
          <w:spacing w:val="45"/>
          <w:sz w:val="24"/>
        </w:rPr>
        <w:t> </w:t>
      </w:r>
      <w:r>
        <w:rPr>
          <w:sz w:val="24"/>
        </w:rPr>
        <w:t>preparing</w:t>
      </w:r>
      <w:r>
        <w:rPr>
          <w:spacing w:val="-58"/>
          <w:sz w:val="24"/>
        </w:rPr>
        <w:t> </w:t>
      </w:r>
      <w:r>
        <w:rPr>
          <w:sz w:val="24"/>
        </w:rPr>
        <w:t>fast</w:t>
      </w:r>
      <w:r>
        <w:rPr>
          <w:spacing w:val="1"/>
          <w:sz w:val="24"/>
        </w:rPr>
        <w:t> </w:t>
      </w:r>
      <w:r>
        <w:rPr>
          <w:sz w:val="24"/>
        </w:rPr>
        <w:t>dissolving</w:t>
      </w:r>
      <w:r>
        <w:rPr>
          <w:spacing w:val="1"/>
          <w:sz w:val="24"/>
        </w:rPr>
        <w:t> </w:t>
      </w:r>
      <w:r>
        <w:rPr>
          <w:sz w:val="24"/>
        </w:rPr>
        <w:t>tablets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glipizide.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Research</w:t>
      </w:r>
      <w:r>
        <w:rPr>
          <w:sz w:val="24"/>
        </w:rPr>
        <w:t>,</w:t>
      </w:r>
      <w:r>
        <w:rPr>
          <w:b/>
          <w:sz w:val="24"/>
        </w:rPr>
        <w:t>69(5)</w:t>
      </w:r>
      <w:r>
        <w:rPr>
          <w:sz w:val="24"/>
        </w:rPr>
        <w:t>: 633–639.</w:t>
      </w:r>
    </w:p>
    <w:p>
      <w:pPr>
        <w:pStyle w:val="BodyText"/>
        <w:spacing w:before="140"/>
        <w:ind w:left="1185" w:right="1254" w:hanging="720"/>
        <w:jc w:val="both"/>
      </w:pPr>
      <w:r>
        <w:rPr/>
        <w:t>Jivraj, M., Martini, L. G. and Thomson, C. M. (2000).An overview of the different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tablets.</w:t>
      </w:r>
      <w:r>
        <w:rPr>
          <w:i/>
        </w:rPr>
        <w:t>Pharm</w:t>
      </w:r>
      <w:r>
        <w:rPr>
          <w:i/>
          <w:spacing w:val="6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Technology</w:t>
      </w:r>
      <w:r>
        <w:rPr>
          <w:i/>
          <w:spacing w:val="-1"/>
        </w:rPr>
        <w:t> </w:t>
      </w:r>
      <w:r>
        <w:rPr>
          <w:i/>
        </w:rPr>
        <w:t>Today</w:t>
      </w:r>
      <w:r>
        <w:rPr/>
        <w:t>, </w:t>
      </w:r>
      <w:r>
        <w:rPr>
          <w:b/>
        </w:rPr>
        <w:t>3</w:t>
      </w:r>
      <w:r>
        <w:rPr/>
        <w:t>:58-63.</w:t>
      </w:r>
    </w:p>
    <w:p>
      <w:pPr>
        <w:pStyle w:val="BodyText"/>
        <w:spacing w:before="5"/>
      </w:pPr>
    </w:p>
    <w:p>
      <w:pPr>
        <w:pStyle w:val="BodyText"/>
        <w:ind w:left="1185" w:right="1252" w:hanging="720"/>
        <w:jc w:val="both"/>
      </w:pPr>
      <w:r>
        <w:rPr/>
        <w:t>Joiris, E., Di Martino, P., Berneron, C., Guyot-Hermann, A. M. and Guyot, J. C. (1998).</w:t>
      </w:r>
      <w:r>
        <w:rPr>
          <w:spacing w:val="-57"/>
        </w:rPr>
        <w:t> </w:t>
      </w:r>
      <w:r>
        <w:rPr/>
        <w:t>Compression behavior of orthorhombic paracetamol.</w:t>
      </w:r>
      <w:r>
        <w:rPr>
          <w:i/>
        </w:rPr>
        <w:t>Pharmaceutical Research</w:t>
      </w:r>
      <w:r>
        <w:rPr/>
        <w:t>,</w:t>
      </w:r>
      <w:r>
        <w:rPr>
          <w:spacing w:val="1"/>
        </w:rPr>
        <w:t> </w:t>
      </w:r>
      <w:r>
        <w:rPr>
          <w:b/>
        </w:rPr>
        <w:t>15</w:t>
      </w:r>
      <w:r>
        <w:rPr>
          <w:b/>
          <w:spacing w:val="-1"/>
        </w:rPr>
        <w:t> </w:t>
      </w:r>
      <w:r>
        <w:rPr>
          <w:b/>
        </w:rPr>
        <w:t>(7)</w:t>
      </w:r>
      <w:r>
        <w:rPr/>
        <w:t>: 1122–1130.</w:t>
      </w:r>
    </w:p>
    <w:p>
      <w:pPr>
        <w:pStyle w:val="BodyText"/>
        <w:spacing w:before="2"/>
      </w:pPr>
    </w:p>
    <w:p>
      <w:pPr>
        <w:pStyle w:val="BodyText"/>
        <w:spacing w:before="1"/>
        <w:ind w:left="1185" w:right="1257" w:hanging="720"/>
        <w:jc w:val="both"/>
      </w:pPr>
      <w:r>
        <w:rPr/>
        <w:t>Jonat,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(2005). 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hydrophilic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hydrophobic</w:t>
      </w:r>
      <w:r>
        <w:rPr>
          <w:spacing w:val="1"/>
        </w:rPr>
        <w:t> </w:t>
      </w:r>
      <w:r>
        <w:rPr/>
        <w:t>colloidal</w:t>
      </w:r>
      <w:r>
        <w:rPr>
          <w:spacing w:val="1"/>
        </w:rPr>
        <w:t> </w:t>
      </w:r>
      <w:r>
        <w:rPr/>
        <w:t>silicon</w:t>
      </w:r>
      <w:r>
        <w:rPr>
          <w:spacing w:val="1"/>
        </w:rPr>
        <w:t> </w:t>
      </w:r>
      <w:r>
        <w:rPr/>
        <w:t>dioxide</w:t>
      </w:r>
      <w:r>
        <w:rPr>
          <w:spacing w:val="-3"/>
        </w:rPr>
        <w:t> </w:t>
      </w:r>
      <w:r>
        <w:rPr/>
        <w:t>types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glidants. Doctoral</w:t>
      </w:r>
      <w:r>
        <w:rPr>
          <w:spacing w:val="-3"/>
        </w:rPr>
        <w:t> </w:t>
      </w:r>
      <w:r>
        <w:rPr/>
        <w:t>dissertation,</w:t>
      </w:r>
      <w:r>
        <w:rPr>
          <w:spacing w:val="-2"/>
        </w:rPr>
        <w:t> </w:t>
      </w:r>
      <w:r>
        <w:rPr/>
        <w:t>Universität</w:t>
      </w:r>
      <w:r>
        <w:rPr>
          <w:spacing w:val="-2"/>
        </w:rPr>
        <w:t> </w:t>
      </w:r>
      <w:r>
        <w:rPr/>
        <w:t>Tübingen,</w:t>
      </w:r>
      <w:r>
        <w:rPr>
          <w:spacing w:val="-1"/>
        </w:rPr>
        <w:t> </w:t>
      </w:r>
      <w:r>
        <w:rPr/>
        <w:t>Germany.</w:t>
      </w:r>
    </w:p>
    <w:p>
      <w:pPr>
        <w:pStyle w:val="BodyText"/>
        <w:spacing w:before="120"/>
        <w:ind w:left="465"/>
        <w:jc w:val="both"/>
      </w:pPr>
      <w:r>
        <w:rPr/>
        <w:t>Joseph</w:t>
      </w:r>
      <w:r>
        <w:rPr>
          <w:spacing w:val="40"/>
        </w:rPr>
        <w:t> </w:t>
      </w:r>
      <w:r>
        <w:rPr/>
        <w:t>N.M.,</w:t>
      </w:r>
      <w:r>
        <w:rPr>
          <w:spacing w:val="41"/>
        </w:rPr>
        <w:t> </w:t>
      </w:r>
      <w:r>
        <w:rPr/>
        <w:t>Biyena</w:t>
      </w:r>
      <w:r>
        <w:rPr>
          <w:spacing w:val="42"/>
        </w:rPr>
        <w:t> </w:t>
      </w:r>
      <w:r>
        <w:rPr/>
        <w:t>B.,</w:t>
      </w:r>
      <w:r>
        <w:rPr>
          <w:spacing w:val="41"/>
        </w:rPr>
        <w:t> </w:t>
      </w:r>
      <w:r>
        <w:rPr/>
        <w:t>Palani</w:t>
      </w:r>
      <w:r>
        <w:rPr>
          <w:spacing w:val="42"/>
        </w:rPr>
        <w:t> </w:t>
      </w:r>
      <w:r>
        <w:rPr/>
        <w:t>S.,</w:t>
      </w:r>
      <w:r>
        <w:rPr>
          <w:spacing w:val="44"/>
        </w:rPr>
        <w:t> </w:t>
      </w:r>
      <w:r>
        <w:rPr/>
        <w:t>and</w:t>
      </w:r>
      <w:r>
        <w:rPr>
          <w:spacing w:val="42"/>
        </w:rPr>
        <w:t> </w:t>
      </w:r>
      <w:r>
        <w:rPr/>
        <w:t>Zacharia,</w:t>
      </w:r>
      <w:r>
        <w:rPr>
          <w:spacing w:val="41"/>
        </w:rPr>
        <w:t> </w:t>
      </w:r>
      <w:r>
        <w:rPr/>
        <w:t>A.</w:t>
      </w:r>
      <w:r>
        <w:rPr>
          <w:spacing w:val="41"/>
        </w:rPr>
        <w:t> </w:t>
      </w:r>
      <w:r>
        <w:rPr/>
        <w:t>(2015).</w:t>
      </w:r>
      <w:r>
        <w:rPr>
          <w:spacing w:val="43"/>
        </w:rPr>
        <w:t> </w:t>
      </w:r>
      <w:r>
        <w:rPr/>
        <w:t>Improved</w:t>
      </w:r>
      <w:r>
        <w:rPr>
          <w:spacing w:val="43"/>
        </w:rPr>
        <w:t> </w:t>
      </w:r>
      <w:r>
        <w:rPr/>
        <w:t>functionality</w:t>
      </w:r>
    </w:p>
    <w:p>
      <w:pPr>
        <w:spacing w:after="0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spacing w:line="242" w:lineRule="auto" w:before="72"/>
        <w:ind w:left="1185" w:right="1255" w:firstLine="0"/>
        <w:jc w:val="both"/>
        <w:rPr>
          <w:sz w:val="24"/>
        </w:rPr>
      </w:pPr>
      <w:r>
        <w:rPr>
          <w:sz w:val="24"/>
        </w:rPr>
        <w:t>excipients for oral solid dosage forms. </w:t>
      </w:r>
      <w:r>
        <w:rPr>
          <w:i/>
          <w:sz w:val="24"/>
        </w:rPr>
        <w:t>International Journal of 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Research</w:t>
      </w:r>
      <w:r>
        <w:rPr>
          <w:sz w:val="24"/>
        </w:rPr>
        <w:t>, </w:t>
      </w:r>
      <w:r>
        <w:rPr>
          <w:b/>
          <w:sz w:val="24"/>
        </w:rPr>
        <w:t>6(4)</w:t>
      </w:r>
      <w:r>
        <w:rPr>
          <w:sz w:val="24"/>
        </w:rPr>
        <w:t>: 1673–1679.</w:t>
      </w:r>
    </w:p>
    <w:p>
      <w:pPr>
        <w:spacing w:before="134"/>
        <w:ind w:left="465" w:right="0" w:firstLine="0"/>
        <w:jc w:val="both"/>
        <w:rPr>
          <w:sz w:val="24"/>
        </w:rPr>
      </w:pPr>
      <w:r>
        <w:rPr>
          <w:sz w:val="24"/>
        </w:rPr>
        <w:t>Joshi,</w:t>
      </w:r>
      <w:r>
        <w:rPr>
          <w:spacing w:val="28"/>
          <w:sz w:val="24"/>
        </w:rPr>
        <w:t> </w:t>
      </w:r>
      <w:r>
        <w:rPr>
          <w:sz w:val="24"/>
        </w:rPr>
        <w:t>V.</w:t>
      </w:r>
      <w:r>
        <w:rPr>
          <w:spacing w:val="31"/>
          <w:sz w:val="24"/>
        </w:rPr>
        <w:t> </w:t>
      </w:r>
      <w:r>
        <w:rPr>
          <w:sz w:val="24"/>
        </w:rPr>
        <w:t>(2002).</w:t>
      </w:r>
      <w:r>
        <w:rPr>
          <w:spacing w:val="31"/>
          <w:sz w:val="24"/>
        </w:rPr>
        <w:t> </w:t>
      </w:r>
      <w:r>
        <w:rPr>
          <w:sz w:val="24"/>
        </w:rPr>
        <w:t>Excipient</w:t>
      </w:r>
      <w:r>
        <w:rPr>
          <w:spacing w:val="32"/>
          <w:sz w:val="24"/>
        </w:rPr>
        <w:t> </w:t>
      </w:r>
      <w:r>
        <w:rPr>
          <w:sz w:val="24"/>
        </w:rPr>
        <w:t>choice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31"/>
          <w:sz w:val="24"/>
        </w:rPr>
        <w:t> </w:t>
      </w:r>
      <w:r>
        <w:rPr>
          <w:sz w:val="24"/>
        </w:rPr>
        <w:t>solid</w:t>
      </w:r>
      <w:r>
        <w:rPr>
          <w:spacing w:val="32"/>
          <w:sz w:val="24"/>
        </w:rPr>
        <w:t> </w:t>
      </w:r>
      <w:r>
        <w:rPr>
          <w:sz w:val="24"/>
        </w:rPr>
        <w:t>dosage</w:t>
      </w:r>
      <w:r>
        <w:rPr>
          <w:spacing w:val="31"/>
          <w:sz w:val="24"/>
        </w:rPr>
        <w:t> </w:t>
      </w:r>
      <w:r>
        <w:rPr>
          <w:sz w:val="24"/>
        </w:rPr>
        <w:t>forms.</w:t>
      </w:r>
      <w:r>
        <w:rPr>
          <w:spacing w:val="37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Delivery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</w:p>
    <w:p>
      <w:pPr>
        <w:spacing w:before="0"/>
        <w:ind w:left="1185" w:right="0" w:firstLine="0"/>
        <w:jc w:val="both"/>
        <w:rPr>
          <w:sz w:val="24"/>
        </w:rPr>
      </w:pPr>
      <w:r>
        <w:rPr>
          <w:b/>
          <w:sz w:val="24"/>
        </w:rPr>
        <w:t>2(6)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36-40.</w:t>
      </w:r>
    </w:p>
    <w:p>
      <w:pPr>
        <w:pStyle w:val="BodyText"/>
        <w:spacing w:before="120"/>
        <w:ind w:left="1185" w:right="1260" w:hanging="720"/>
        <w:jc w:val="both"/>
      </w:pPr>
      <w:r>
        <w:rPr/>
        <w:t>Kachrimanis,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Nikolakakis,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Malamataris,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tableted</w:t>
      </w:r>
      <w:r>
        <w:rPr>
          <w:spacing w:val="1"/>
        </w:rPr>
        <w:t> </w:t>
      </w:r>
      <w:r>
        <w:rPr/>
        <w:t>silicified</w:t>
      </w:r>
      <w:r>
        <w:rPr>
          <w:spacing w:val="1"/>
        </w:rPr>
        <w:t> </w:t>
      </w:r>
      <w:r>
        <w:rPr/>
        <w:t>MCC:</w:t>
      </w:r>
      <w:r>
        <w:rPr>
          <w:spacing w:val="1"/>
        </w:rPr>
        <w:t> </w:t>
      </w:r>
      <w:r>
        <w:rPr/>
        <w:t>Influence of</w:t>
      </w:r>
      <w:r>
        <w:rPr>
          <w:spacing w:val="1"/>
        </w:rPr>
        <w:t> </w:t>
      </w:r>
      <w:r>
        <w:rPr/>
        <w:t>interparticle bonding.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Pharmaceutical Sciences</w:t>
      </w:r>
      <w:r>
        <w:rPr/>
        <w:t>, </w:t>
      </w:r>
      <w:r>
        <w:rPr>
          <w:b/>
        </w:rPr>
        <w:t>92(7)</w:t>
      </w:r>
      <w:r>
        <w:rPr/>
        <w:t>:1489-1501.</w:t>
      </w:r>
    </w:p>
    <w:p>
      <w:pPr>
        <w:pStyle w:val="BodyText"/>
        <w:spacing w:before="120"/>
        <w:ind w:left="1185" w:right="1258" w:hanging="720"/>
        <w:jc w:val="both"/>
      </w:pPr>
      <w:r>
        <w:rPr/>
        <w:t>Kadajji, V. G. and Betageri, G. V. (2011).Water soluble polymers for pharmaceutical</w:t>
      </w:r>
      <w:r>
        <w:rPr>
          <w:spacing w:val="1"/>
        </w:rPr>
        <w:t> </w:t>
      </w:r>
      <w:r>
        <w:rPr/>
        <w:t>applications.</w:t>
      </w:r>
      <w:r>
        <w:rPr>
          <w:i/>
        </w:rPr>
        <w:t>Polymers</w:t>
      </w:r>
      <w:r>
        <w:rPr/>
        <w:t>,</w:t>
      </w:r>
      <w:r>
        <w:rPr>
          <w:spacing w:val="-1"/>
        </w:rPr>
        <w:t> </w:t>
      </w:r>
      <w:r>
        <w:rPr>
          <w:b/>
        </w:rPr>
        <w:t>3</w:t>
      </w:r>
      <w:r>
        <w:rPr/>
        <w:t>:</w:t>
      </w:r>
      <w:r>
        <w:rPr>
          <w:spacing w:val="2"/>
        </w:rPr>
        <w:t> </w:t>
      </w:r>
      <w:r>
        <w:rPr/>
        <w:t>1972-2009.</w:t>
      </w:r>
    </w:p>
    <w:p>
      <w:pPr>
        <w:pStyle w:val="BodyText"/>
        <w:spacing w:before="120"/>
        <w:ind w:left="1185" w:right="1252" w:hanging="720"/>
        <w:jc w:val="both"/>
      </w:pPr>
      <w:r>
        <w:rPr/>
        <w:t>Katsuno, E., Tahara, K., Takeuchi, Y. and Takeuchi, H. (2013). Orally disintegrating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 a co-processed</w:t>
      </w:r>
      <w:r>
        <w:rPr>
          <w:spacing w:val="1"/>
        </w:rPr>
        <w:t> </w:t>
      </w:r>
      <w:r>
        <w:rPr/>
        <w:t>mixture of micronized</w:t>
      </w:r>
      <w:r>
        <w:rPr>
          <w:spacing w:val="1"/>
        </w:rPr>
        <w:t> </w:t>
      </w:r>
      <w:r>
        <w:rPr/>
        <w:t>crospovidone and</w:t>
      </w:r>
      <w:r>
        <w:rPr>
          <w:spacing w:val="1"/>
        </w:rPr>
        <w:t> </w:t>
      </w:r>
      <w:r>
        <w:rPr/>
        <w:t>mannitol using ball mill to improve compactibility and tablet stability. </w:t>
      </w:r>
      <w:r>
        <w:rPr>
          <w:i/>
        </w:rPr>
        <w:t>Powder</w:t>
      </w:r>
      <w:r>
        <w:rPr>
          <w:i/>
          <w:spacing w:val="1"/>
        </w:rPr>
        <w:t> </w:t>
      </w:r>
      <w:r>
        <w:rPr>
          <w:i/>
        </w:rPr>
        <w:t>Technology</w:t>
      </w:r>
      <w:r>
        <w:rPr/>
        <w:t>,</w:t>
      </w:r>
      <w:r>
        <w:rPr>
          <w:spacing w:val="-1"/>
        </w:rPr>
        <w:t> </w:t>
      </w:r>
      <w:r>
        <w:rPr>
          <w:b/>
        </w:rPr>
        <w:t>241</w:t>
      </w:r>
      <w:r>
        <w:rPr/>
        <w:t>: 60-66.</w:t>
      </w:r>
    </w:p>
    <w:p>
      <w:pPr>
        <w:pStyle w:val="BodyText"/>
        <w:spacing w:before="121"/>
        <w:ind w:left="1185" w:right="1260" w:hanging="720"/>
        <w:jc w:val="both"/>
      </w:pPr>
      <w:r>
        <w:rPr/>
        <w:t>Kawakita, K. and Ludde, K. H. (1971).Some considerations on powder compression</w:t>
      </w:r>
      <w:r>
        <w:rPr>
          <w:spacing w:val="1"/>
        </w:rPr>
        <w:t> </w:t>
      </w:r>
      <w:r>
        <w:rPr/>
        <w:t>equations.</w:t>
      </w:r>
      <w:r>
        <w:rPr>
          <w:i/>
        </w:rPr>
        <w:t>Powder</w:t>
      </w:r>
      <w:r>
        <w:rPr>
          <w:i/>
          <w:spacing w:val="-1"/>
        </w:rPr>
        <w:t> </w:t>
      </w:r>
      <w:r>
        <w:rPr>
          <w:i/>
        </w:rPr>
        <w:t>Technology</w:t>
      </w:r>
      <w:r>
        <w:rPr/>
        <w:t>, </w:t>
      </w:r>
      <w:r>
        <w:rPr>
          <w:b/>
        </w:rPr>
        <w:t>4</w:t>
      </w:r>
      <w:r>
        <w:rPr/>
        <w:t>: 61-68.</w:t>
      </w:r>
    </w:p>
    <w:p>
      <w:pPr>
        <w:spacing w:line="240" w:lineRule="auto" w:before="120"/>
        <w:ind w:left="1185" w:right="1255" w:hanging="720"/>
        <w:jc w:val="both"/>
        <w:rPr>
          <w:sz w:val="24"/>
        </w:rPr>
      </w:pPr>
      <w:r>
        <w:rPr>
          <w:sz w:val="24"/>
        </w:rPr>
        <w:t>Khomane, K. S. (2013). </w:t>
      </w:r>
      <w:r>
        <w:rPr>
          <w:i/>
          <w:sz w:val="24"/>
        </w:rPr>
        <w:t>Structure , property and process relationship of compaction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behaviour of pharmaceutical powders</w:t>
      </w:r>
      <w:r>
        <w:rPr>
          <w:sz w:val="24"/>
        </w:rPr>
        <w:t>. PhD Dissertation, National Institute of</w:t>
      </w:r>
      <w:r>
        <w:rPr>
          <w:spacing w:val="1"/>
          <w:sz w:val="24"/>
        </w:rPr>
        <w:t> </w:t>
      </w:r>
      <w:r>
        <w:rPr>
          <w:sz w:val="24"/>
        </w:rPr>
        <w:t>Pharmaceutical</w:t>
      </w:r>
      <w:r>
        <w:rPr>
          <w:spacing w:val="1"/>
          <w:sz w:val="24"/>
        </w:rPr>
        <w:t> </w:t>
      </w:r>
      <w:r>
        <w:rPr>
          <w:sz w:val="24"/>
        </w:rPr>
        <w:t>Education and Research,</w:t>
      </w:r>
      <w:r>
        <w:rPr>
          <w:spacing w:val="-1"/>
          <w:sz w:val="24"/>
        </w:rPr>
        <w:t> </w:t>
      </w:r>
      <w:r>
        <w:rPr>
          <w:sz w:val="24"/>
        </w:rPr>
        <w:t>Mohali,</w:t>
      </w:r>
      <w:r>
        <w:rPr>
          <w:spacing w:val="2"/>
          <w:sz w:val="24"/>
        </w:rPr>
        <w:t> </w:t>
      </w:r>
      <w:r>
        <w:rPr>
          <w:sz w:val="24"/>
        </w:rPr>
        <w:t>India.</w:t>
      </w:r>
    </w:p>
    <w:p>
      <w:pPr>
        <w:pStyle w:val="BodyText"/>
        <w:spacing w:before="4"/>
      </w:pPr>
    </w:p>
    <w:p>
      <w:pPr>
        <w:pStyle w:val="BodyText"/>
        <w:spacing w:before="1"/>
        <w:ind w:left="1185" w:right="1253" w:hanging="720"/>
        <w:jc w:val="both"/>
      </w:pPr>
      <w:r>
        <w:rPr/>
        <w:t>Khomane, K. S., More, P. K., Raghavendra, G., and Bansal, A. K. (2013).Molecular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indomethacin</w:t>
      </w:r>
      <w:r>
        <w:rPr>
          <w:spacing w:val="1"/>
        </w:rPr>
        <w:t> </w:t>
      </w:r>
      <w:r>
        <w:rPr/>
        <w:t>polymorphs.</w:t>
      </w:r>
      <w:r>
        <w:rPr>
          <w:spacing w:val="-57"/>
        </w:rPr>
        <w:t> </w:t>
      </w:r>
      <w:r>
        <w:rPr>
          <w:i/>
        </w:rPr>
        <w:t>Molecular</w:t>
      </w:r>
      <w:r>
        <w:rPr>
          <w:i/>
          <w:spacing w:val="-1"/>
        </w:rPr>
        <w:t> </w:t>
      </w:r>
      <w:r>
        <w:rPr>
          <w:i/>
        </w:rPr>
        <w:t>Pharmaceutics</w:t>
      </w:r>
      <w:r>
        <w:rPr/>
        <w:t>, </w:t>
      </w:r>
      <w:r>
        <w:rPr>
          <w:b/>
        </w:rPr>
        <w:t>10(2)</w:t>
      </w:r>
      <w:r>
        <w:rPr/>
        <w:t>: 631–639.</w:t>
      </w:r>
    </w:p>
    <w:p>
      <w:pPr>
        <w:pStyle w:val="BodyText"/>
        <w:spacing w:before="2"/>
      </w:pPr>
    </w:p>
    <w:p>
      <w:pPr>
        <w:spacing w:before="0"/>
        <w:ind w:left="1185" w:right="1256" w:hanging="720"/>
        <w:jc w:val="both"/>
        <w:rPr>
          <w:sz w:val="24"/>
        </w:rPr>
      </w:pPr>
      <w:r>
        <w:rPr>
          <w:sz w:val="24"/>
        </w:rPr>
        <w:t>Khomane, K. S. and Bansal, A. K. (2013). Yield strength of microcrystalline cellulose:</w:t>
      </w:r>
      <w:r>
        <w:rPr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1"/>
          <w:sz w:val="24"/>
        </w:rPr>
        <w:t> </w:t>
      </w:r>
      <w:r>
        <w:rPr>
          <w:sz w:val="24"/>
        </w:rPr>
        <w:t>evidence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dielectric</w:t>
      </w:r>
      <w:r>
        <w:rPr>
          <w:spacing w:val="1"/>
          <w:sz w:val="24"/>
        </w:rPr>
        <w:t> </w:t>
      </w:r>
      <w:r>
        <w:rPr>
          <w:sz w:val="24"/>
        </w:rPr>
        <w:t>spectroscopy.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455(1-2)</w:t>
      </w:r>
      <w:r>
        <w:rPr>
          <w:sz w:val="24"/>
        </w:rPr>
        <w:t>: 1–4.</w:t>
      </w:r>
    </w:p>
    <w:p>
      <w:pPr>
        <w:pStyle w:val="BodyText"/>
        <w:spacing w:before="5"/>
      </w:pPr>
    </w:p>
    <w:p>
      <w:pPr>
        <w:pStyle w:val="BodyText"/>
        <w:ind w:left="1185" w:right="1255" w:hanging="720"/>
        <w:jc w:val="both"/>
      </w:pPr>
      <w:r>
        <w:rPr/>
        <w:t>Kilicarslan, M., Camca, R., Imamoglu, S., Antep, M. N., Ocak, B. and Yuksel, N.</w:t>
      </w:r>
      <w:r>
        <w:rPr>
          <w:spacing w:val="1"/>
        </w:rPr>
        <w:t> </w:t>
      </w:r>
      <w:r>
        <w:rPr/>
        <w:t>(2009).Investigation on the flow properties and compressibilities of different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tableting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pyridoxine</w:t>
      </w:r>
      <w:r>
        <w:rPr>
          <w:spacing w:val="1"/>
        </w:rPr>
        <w:t> </w:t>
      </w:r>
      <w:r>
        <w:rPr/>
        <w:t>hydrochloride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drug.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Pharmacy</w:t>
      </w:r>
      <w:r>
        <w:rPr>
          <w:i/>
          <w:spacing w:val="-1"/>
        </w:rPr>
        <w:t> </w:t>
      </w:r>
      <w:r>
        <w:rPr>
          <w:i/>
        </w:rPr>
        <w:t>of Ankara</w:t>
      </w:r>
      <w:r>
        <w:rPr/>
        <w:t>, </w:t>
      </w:r>
      <w:r>
        <w:rPr>
          <w:b/>
          <w:i/>
        </w:rPr>
        <w:t>38</w:t>
      </w:r>
      <w:r>
        <w:rPr>
          <w:b/>
        </w:rPr>
        <w:t>(4)</w:t>
      </w:r>
      <w:r>
        <w:rPr/>
        <w:t>: 331–344.</w:t>
      </w:r>
    </w:p>
    <w:p>
      <w:pPr>
        <w:pStyle w:val="BodyText"/>
        <w:spacing w:before="120"/>
        <w:ind w:left="1185" w:right="1254" w:hanging="720"/>
        <w:jc w:val="both"/>
      </w:pPr>
      <w:r>
        <w:rPr/>
        <w:t>Kittipongpatana,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Kittipongpatana,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(2012).Preparation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physicomechanical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co-precipitated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starch-colloidal</w:t>
      </w:r>
      <w:r>
        <w:rPr>
          <w:spacing w:val="1"/>
        </w:rPr>
        <w:t> </w:t>
      </w:r>
      <w:r>
        <w:rPr/>
        <w:t>silicon</w:t>
      </w:r>
      <w:r>
        <w:rPr>
          <w:spacing w:val="1"/>
        </w:rPr>
        <w:t> </w:t>
      </w:r>
      <w:r>
        <w:rPr/>
        <w:t>dioxide.</w:t>
      </w:r>
      <w:r>
        <w:rPr>
          <w:i/>
        </w:rPr>
        <w:t>Powder</w:t>
      </w:r>
      <w:r>
        <w:rPr>
          <w:i/>
          <w:spacing w:val="-1"/>
        </w:rPr>
        <w:t> </w:t>
      </w:r>
      <w:r>
        <w:rPr>
          <w:i/>
        </w:rPr>
        <w:t>Technology</w:t>
      </w:r>
      <w:r>
        <w:rPr/>
        <w:t>, </w:t>
      </w:r>
      <w:r>
        <w:rPr>
          <w:b/>
        </w:rPr>
        <w:t>217</w:t>
      </w:r>
      <w:r>
        <w:rPr/>
        <w:t>: 377-382.</w:t>
      </w:r>
    </w:p>
    <w:p>
      <w:pPr>
        <w:pStyle w:val="BodyText"/>
        <w:spacing w:before="6"/>
      </w:pPr>
    </w:p>
    <w:p>
      <w:pPr>
        <w:spacing w:before="0"/>
        <w:ind w:left="1185" w:right="1254" w:hanging="720"/>
        <w:jc w:val="both"/>
        <w:rPr>
          <w:sz w:val="24"/>
        </w:rPr>
      </w:pPr>
      <w:r>
        <w:rPr>
          <w:sz w:val="24"/>
        </w:rPr>
        <w:t>Klevan, I. (2011). </w:t>
      </w:r>
      <w:r>
        <w:rPr>
          <w:i/>
          <w:sz w:val="24"/>
        </w:rPr>
        <w:t>Compression Analysis of Pharmaceutical Powders: Assessment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Mechanical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Properties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Tablet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Manufacturability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Prediction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PhD</w:t>
      </w:r>
      <w:r>
        <w:rPr>
          <w:spacing w:val="1"/>
          <w:sz w:val="24"/>
        </w:rPr>
        <w:t> </w:t>
      </w:r>
      <w:r>
        <w:rPr>
          <w:sz w:val="24"/>
        </w:rPr>
        <w:t>Dissertation,</w:t>
      </w:r>
      <w:r>
        <w:rPr>
          <w:spacing w:val="-1"/>
          <w:sz w:val="24"/>
        </w:rPr>
        <w:t> </w:t>
      </w:r>
      <w:r>
        <w:rPr>
          <w:sz w:val="24"/>
        </w:rPr>
        <w:t>Uppsala University, Sweden.</w:t>
      </w:r>
    </w:p>
    <w:p>
      <w:pPr>
        <w:pStyle w:val="BodyText"/>
        <w:spacing w:before="2"/>
      </w:pPr>
    </w:p>
    <w:p>
      <w:pPr>
        <w:pStyle w:val="BodyText"/>
        <w:ind w:left="1185" w:right="1260" w:hanging="720"/>
        <w:jc w:val="both"/>
      </w:pPr>
      <w:r>
        <w:rPr/>
        <w:t>Klinger, R., Meuser, F. and Niediek, E. (1986). Depolymerization of starch by high</w:t>
      </w:r>
      <w:r>
        <w:rPr>
          <w:spacing w:val="1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extrusion.</w:t>
      </w:r>
      <w:r>
        <w:rPr>
          <w:spacing w:val="1"/>
        </w:rPr>
        <w:t> </w:t>
      </w:r>
      <w:r>
        <w:rPr>
          <w:i/>
        </w:rPr>
        <w:t>Starch/Starke</w:t>
      </w:r>
      <w:r>
        <w:rPr/>
        <w:t>, </w:t>
      </w:r>
      <w:r>
        <w:rPr>
          <w:b/>
        </w:rPr>
        <w:t>38</w:t>
      </w:r>
      <w:r>
        <w:rPr/>
        <w:t>:40-44.</w:t>
      </w:r>
    </w:p>
    <w:p>
      <w:pPr>
        <w:pStyle w:val="BodyText"/>
        <w:spacing w:before="5"/>
      </w:pPr>
    </w:p>
    <w:p>
      <w:pPr>
        <w:pStyle w:val="BodyText"/>
        <w:ind w:left="1185" w:right="1262" w:hanging="720"/>
        <w:jc w:val="both"/>
      </w:pPr>
      <w:r>
        <w:rPr/>
        <w:t>Kozlov, P. V. and Burdygina, G. I. (1983).The structure and properties of solid gelatin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principles 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modification.</w:t>
      </w:r>
      <w:r>
        <w:rPr>
          <w:i/>
        </w:rPr>
        <w:t>Polymer</w:t>
      </w:r>
      <w:r>
        <w:rPr/>
        <w:t>,</w:t>
      </w:r>
      <w:r>
        <w:rPr>
          <w:spacing w:val="2"/>
        </w:rPr>
        <w:t> </w:t>
      </w:r>
      <w:r>
        <w:rPr>
          <w:b/>
        </w:rPr>
        <w:t>24(6)</w:t>
      </w:r>
      <w:r>
        <w:rPr/>
        <w:t>:  651–666.</w:t>
      </w:r>
    </w:p>
    <w:p>
      <w:pPr>
        <w:pStyle w:val="BodyText"/>
        <w:spacing w:before="3"/>
      </w:pPr>
    </w:p>
    <w:p>
      <w:pPr>
        <w:spacing w:before="0"/>
        <w:ind w:left="1185" w:right="1257" w:hanging="720"/>
        <w:jc w:val="both"/>
        <w:rPr>
          <w:sz w:val="24"/>
        </w:rPr>
      </w:pPr>
      <w:r>
        <w:rPr>
          <w:sz w:val="24"/>
        </w:rPr>
        <w:t>Krassig, H. (Ed.) (1996). </w:t>
      </w:r>
      <w:r>
        <w:rPr>
          <w:i/>
          <w:sz w:val="24"/>
        </w:rPr>
        <w:t>Cellulose structure, accessibility and reactivity</w:t>
      </w:r>
      <w:r>
        <w:rPr>
          <w:sz w:val="24"/>
        </w:rPr>
        <w:t>. Gordon and</w:t>
      </w:r>
      <w:r>
        <w:rPr>
          <w:spacing w:val="1"/>
          <w:sz w:val="24"/>
        </w:rPr>
        <w:t> </w:t>
      </w:r>
      <w:r>
        <w:rPr>
          <w:sz w:val="24"/>
        </w:rPr>
        <w:t>Breach,</w:t>
      </w:r>
      <w:r>
        <w:rPr>
          <w:spacing w:val="-1"/>
          <w:sz w:val="24"/>
        </w:rPr>
        <w:t> </w:t>
      </w:r>
      <w:r>
        <w:rPr>
          <w:sz w:val="24"/>
        </w:rPr>
        <w:t>Amsterdam, p. 371.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7" w:top="1320" w:bottom="1260" w:left="1520" w:right="160"/>
        </w:sectPr>
      </w:pPr>
    </w:p>
    <w:p>
      <w:pPr>
        <w:spacing w:before="72"/>
        <w:ind w:left="1185" w:right="1252" w:hanging="720"/>
        <w:jc w:val="both"/>
        <w:rPr>
          <w:sz w:val="24"/>
        </w:rPr>
      </w:pPr>
      <w:r>
        <w:rPr>
          <w:sz w:val="24"/>
        </w:rPr>
        <w:t>Kuentz, M. and Leuenberger, H. (1977). Pressure susceptibility of polymer tablets as a</w:t>
      </w:r>
      <w:r>
        <w:rPr>
          <w:spacing w:val="1"/>
          <w:sz w:val="24"/>
        </w:rPr>
        <w:t> </w:t>
      </w:r>
      <w:r>
        <w:rPr>
          <w:sz w:val="24"/>
        </w:rPr>
        <w:t>critical property: A modified Heckel equation. </w:t>
      </w:r>
      <w:r>
        <w:rPr>
          <w:i/>
          <w:sz w:val="24"/>
        </w:rPr>
        <w:t>Journal of Powder Bulk Solid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1</w:t>
      </w:r>
      <w:r>
        <w:rPr>
          <w:sz w:val="24"/>
        </w:rPr>
        <w:t>: 3-8.</w:t>
      </w:r>
    </w:p>
    <w:p>
      <w:pPr>
        <w:spacing w:before="120"/>
        <w:ind w:left="1185" w:right="1253" w:hanging="720"/>
        <w:jc w:val="both"/>
        <w:rPr>
          <w:sz w:val="24"/>
        </w:rPr>
      </w:pPr>
      <w:r>
        <w:rPr>
          <w:sz w:val="24"/>
        </w:rPr>
        <w:t>Kuentz, M. and Leuenberger, H. (2000).A new theoretical approach to tablet strength of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binary</w:t>
      </w:r>
      <w:r>
        <w:rPr>
          <w:spacing w:val="1"/>
          <w:sz w:val="24"/>
        </w:rPr>
        <w:t> </w:t>
      </w:r>
      <w:r>
        <w:rPr>
          <w:sz w:val="24"/>
        </w:rPr>
        <w:t>mixture</w:t>
      </w:r>
      <w:r>
        <w:rPr>
          <w:spacing w:val="1"/>
          <w:sz w:val="24"/>
        </w:rPr>
        <w:t> </w:t>
      </w:r>
      <w:r>
        <w:rPr>
          <w:sz w:val="24"/>
        </w:rPr>
        <w:t>consisting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poorly</w:t>
      </w:r>
      <w:r>
        <w:rPr>
          <w:spacing w:val="1"/>
          <w:sz w:val="24"/>
        </w:rPr>
        <w:t> </w:t>
      </w:r>
      <w:r>
        <w:rPr>
          <w:sz w:val="24"/>
        </w:rPr>
        <w:t>compactable</w:t>
      </w:r>
      <w:r>
        <w:rPr>
          <w:spacing w:val="1"/>
          <w:sz w:val="24"/>
        </w:rPr>
        <w:t> </w:t>
      </w:r>
      <w:r>
        <w:rPr>
          <w:sz w:val="24"/>
        </w:rPr>
        <w:t>substance.</w:t>
      </w:r>
      <w:r>
        <w:rPr>
          <w:i/>
          <w:sz w:val="24"/>
        </w:rPr>
        <w:t>European Journal of Pharmaceutics and Biopharmaceutics</w:t>
      </w:r>
      <w:r>
        <w:rPr>
          <w:sz w:val="24"/>
        </w:rPr>
        <w:t>, </w:t>
      </w:r>
      <w:r>
        <w:rPr>
          <w:b/>
          <w:sz w:val="24"/>
        </w:rPr>
        <w:t>49</w:t>
      </w:r>
      <w:r>
        <w:rPr>
          <w:sz w:val="24"/>
        </w:rPr>
        <w:t>:151-</w:t>
      </w:r>
      <w:r>
        <w:rPr>
          <w:spacing w:val="1"/>
          <w:sz w:val="24"/>
        </w:rPr>
        <w:t> </w:t>
      </w:r>
      <w:r>
        <w:rPr>
          <w:sz w:val="24"/>
        </w:rPr>
        <w:t>159.</w:t>
      </w:r>
    </w:p>
    <w:p>
      <w:pPr>
        <w:pStyle w:val="BodyText"/>
        <w:spacing w:before="5"/>
      </w:pPr>
    </w:p>
    <w:p>
      <w:pPr>
        <w:spacing w:line="240" w:lineRule="auto" w:before="0"/>
        <w:ind w:left="1185" w:right="1254" w:hanging="720"/>
        <w:jc w:val="both"/>
        <w:rPr>
          <w:sz w:val="24"/>
        </w:rPr>
      </w:pPr>
      <w:r>
        <w:rPr>
          <w:sz w:val="24"/>
        </w:rPr>
        <w:t>Kumar,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Chawla,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Bansal,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(2008).Spherical</w:t>
      </w:r>
      <w:r>
        <w:rPr>
          <w:spacing w:val="1"/>
          <w:sz w:val="24"/>
        </w:rPr>
        <w:t> </w:t>
      </w:r>
      <w:r>
        <w:rPr>
          <w:sz w:val="24"/>
        </w:rPr>
        <w:t>crystallization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mebendazole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improve</w:t>
      </w:r>
      <w:r>
        <w:rPr>
          <w:spacing w:val="1"/>
          <w:sz w:val="24"/>
        </w:rPr>
        <w:t> </w:t>
      </w:r>
      <w:r>
        <w:rPr>
          <w:sz w:val="24"/>
        </w:rPr>
        <w:t>processability.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13(6)</w:t>
      </w:r>
      <w:r>
        <w:rPr>
          <w:sz w:val="24"/>
        </w:rPr>
        <w:t>: 559–568.</w:t>
      </w:r>
    </w:p>
    <w:p>
      <w:pPr>
        <w:pStyle w:val="BodyText"/>
        <w:spacing w:before="3"/>
      </w:pPr>
    </w:p>
    <w:p>
      <w:pPr>
        <w:pStyle w:val="BodyText"/>
        <w:ind w:left="1185" w:right="1253" w:hanging="720"/>
        <w:jc w:val="both"/>
      </w:pPr>
      <w:r>
        <w:rPr/>
        <w:t>Kurmi, M., Kumar, S., Singh, B. and Singh, S. (2014). Implementation of design of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forced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stability-indicating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furosemide.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Pharmaceutical</w:t>
      </w:r>
      <w:r>
        <w:rPr>
          <w:i/>
          <w:spacing w:val="-1"/>
        </w:rPr>
        <w:t> </w:t>
      </w:r>
      <w:r>
        <w:rPr>
          <w:i/>
        </w:rPr>
        <w:t>and Biomedical Analysis</w:t>
      </w:r>
      <w:r>
        <w:rPr/>
        <w:t>, </w:t>
      </w:r>
      <w:r>
        <w:rPr>
          <w:b/>
        </w:rPr>
        <w:t>96</w:t>
      </w:r>
      <w:r>
        <w:rPr/>
        <w:t>: 135-143.</w:t>
      </w:r>
    </w:p>
    <w:p>
      <w:pPr>
        <w:pStyle w:val="BodyText"/>
        <w:spacing w:before="120"/>
        <w:ind w:left="1185" w:right="1255" w:hanging="720"/>
        <w:jc w:val="both"/>
      </w:pPr>
      <w:r>
        <w:rPr/>
        <w:t>Lahdenpaa,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Antikainen,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Yliruusi,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silicified and non-silicified MCC: Study of some properties of powders and</w:t>
      </w:r>
      <w:r>
        <w:rPr>
          <w:spacing w:val="1"/>
        </w:rPr>
        <w:t> </w:t>
      </w:r>
      <w:r>
        <w:rPr/>
        <w:t>tablets. </w:t>
      </w:r>
      <w:r>
        <w:rPr>
          <w:i/>
        </w:rPr>
        <w:t>STP Pharm</w:t>
      </w:r>
      <w:r>
        <w:rPr>
          <w:i/>
          <w:spacing w:val="-1"/>
        </w:rPr>
        <w:t> </w:t>
      </w:r>
      <w:r>
        <w:rPr>
          <w:i/>
        </w:rPr>
        <w:t>Sciences</w:t>
      </w:r>
      <w:r>
        <w:rPr/>
        <w:t>, </w:t>
      </w:r>
      <w:r>
        <w:rPr>
          <w:b/>
        </w:rPr>
        <w:t>11(2)</w:t>
      </w:r>
      <w:r>
        <w:rPr/>
        <w:t>: 129-135.</w:t>
      </w:r>
    </w:p>
    <w:p>
      <w:pPr>
        <w:pStyle w:val="BodyText"/>
        <w:spacing w:before="5"/>
      </w:pPr>
    </w:p>
    <w:p>
      <w:pPr>
        <w:pStyle w:val="BodyText"/>
        <w:ind w:left="1185" w:right="1257" w:hanging="720"/>
        <w:jc w:val="both"/>
      </w:pPr>
      <w:r>
        <w:rPr/>
        <w:t>Lamprecht,</w:t>
      </w:r>
      <w:r>
        <w:rPr>
          <w:spacing w:val="19"/>
        </w:rPr>
        <w:t> </w:t>
      </w:r>
      <w:r>
        <w:rPr/>
        <w:t>A.,</w:t>
      </w:r>
      <w:r>
        <w:rPr>
          <w:spacing w:val="16"/>
        </w:rPr>
        <w:t> </w:t>
      </w:r>
      <w:r>
        <w:rPr/>
        <w:t>Schäfer,</w:t>
      </w:r>
      <w:r>
        <w:rPr>
          <w:spacing w:val="20"/>
        </w:rPr>
        <w:t> </w:t>
      </w:r>
      <w:r>
        <w:rPr/>
        <w:t>U.</w:t>
      </w:r>
      <w:r>
        <w:rPr>
          <w:spacing w:val="17"/>
        </w:rPr>
        <w:t> </w:t>
      </w:r>
      <w:r>
        <w:rPr/>
        <w:t>F.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Lehr,</w:t>
      </w:r>
      <w:r>
        <w:rPr>
          <w:spacing w:val="17"/>
        </w:rPr>
        <w:t> </w:t>
      </w:r>
      <w:r>
        <w:rPr/>
        <w:t>C.</w:t>
      </w:r>
      <w:r>
        <w:rPr>
          <w:spacing w:val="16"/>
        </w:rPr>
        <w:t> </w:t>
      </w:r>
      <w:r>
        <w:rPr/>
        <w:t>M.</w:t>
      </w:r>
      <w:r>
        <w:rPr>
          <w:spacing w:val="19"/>
        </w:rPr>
        <w:t> </w:t>
      </w:r>
      <w:r>
        <w:rPr/>
        <w:t>(2000).Visualization</w:t>
      </w:r>
      <w:r>
        <w:rPr>
          <w:spacing w:val="17"/>
        </w:rPr>
        <w:t> </w:t>
      </w:r>
      <w:r>
        <w:rPr/>
        <w:t>and</w:t>
      </w:r>
      <w:r>
        <w:rPr>
          <w:spacing w:val="19"/>
        </w:rPr>
        <w:t> </w:t>
      </w:r>
      <w:r>
        <w:rPr/>
        <w:t>quantification</w:t>
      </w:r>
      <w:r>
        <w:rPr>
          <w:spacing w:val="-58"/>
        </w:rPr>
        <w:t> </w:t>
      </w:r>
      <w:r>
        <w:rPr/>
        <w:t>of polymer distribution in microcapsules by confocal laser scanning microscopy</w:t>
      </w:r>
      <w:r>
        <w:rPr>
          <w:spacing w:val="1"/>
        </w:rPr>
        <w:t> </w:t>
      </w:r>
      <w:r>
        <w:rPr/>
        <w:t>(CLSM).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Journal of Pharmaceutics</w:t>
      </w:r>
      <w:r>
        <w:rPr/>
        <w:t>,</w:t>
      </w:r>
      <w:r>
        <w:rPr>
          <w:spacing w:val="-1"/>
        </w:rPr>
        <w:t> </w:t>
      </w:r>
      <w:r>
        <w:rPr>
          <w:b/>
        </w:rPr>
        <w:t>196(2)</w:t>
      </w:r>
      <w:r>
        <w:rPr/>
        <w:t>: 223–226.</w:t>
      </w:r>
    </w:p>
    <w:p>
      <w:pPr>
        <w:pStyle w:val="BodyText"/>
        <w:spacing w:before="3"/>
      </w:pPr>
    </w:p>
    <w:p>
      <w:pPr>
        <w:spacing w:before="0"/>
        <w:ind w:left="1185" w:right="1254" w:hanging="720"/>
        <w:jc w:val="both"/>
        <w:rPr>
          <w:sz w:val="24"/>
        </w:rPr>
      </w:pPr>
      <w:r>
        <w:rPr>
          <w:sz w:val="24"/>
        </w:rPr>
        <w:t>Lappalainen,</w:t>
      </w:r>
      <w:r>
        <w:rPr>
          <w:spacing w:val="16"/>
          <w:sz w:val="24"/>
        </w:rPr>
        <w:t> </w:t>
      </w:r>
      <w:r>
        <w:rPr>
          <w:sz w:val="24"/>
        </w:rPr>
        <w:t>M.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Pitk,</w:t>
      </w:r>
      <w:r>
        <w:rPr>
          <w:spacing w:val="19"/>
          <w:sz w:val="24"/>
        </w:rPr>
        <w:t> </w:t>
      </w:r>
      <w:r>
        <w:rPr>
          <w:sz w:val="24"/>
        </w:rPr>
        <w:t>I.</w:t>
      </w:r>
      <w:r>
        <w:rPr>
          <w:spacing w:val="20"/>
          <w:sz w:val="24"/>
        </w:rPr>
        <w:t> </w:t>
      </w:r>
      <w:r>
        <w:rPr>
          <w:sz w:val="24"/>
        </w:rPr>
        <w:t>(2006).Quantification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low</w:t>
      </w:r>
      <w:r>
        <w:rPr>
          <w:spacing w:val="17"/>
          <w:sz w:val="24"/>
        </w:rPr>
        <w:t> </w:t>
      </w:r>
      <w:r>
        <w:rPr>
          <w:sz w:val="24"/>
        </w:rPr>
        <w:t>levels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amorphous</w:t>
      </w:r>
      <w:r>
        <w:rPr>
          <w:spacing w:val="18"/>
          <w:sz w:val="24"/>
        </w:rPr>
        <w:t> </w:t>
      </w:r>
      <w:r>
        <w:rPr>
          <w:sz w:val="24"/>
        </w:rPr>
        <w:t>content</w:t>
      </w:r>
      <w:r>
        <w:rPr>
          <w:spacing w:val="-58"/>
          <w:sz w:val="24"/>
        </w:rPr>
        <w:t> </w:t>
      </w:r>
      <w:r>
        <w:rPr>
          <w:sz w:val="24"/>
        </w:rPr>
        <w:t>in sucrose by hyperDSC.</w:t>
      </w:r>
      <w:r>
        <w:rPr>
          <w:i/>
          <w:sz w:val="24"/>
        </w:rPr>
        <w:t>International Journal of Pharmaceutics</w:t>
      </w:r>
      <w:r>
        <w:rPr>
          <w:sz w:val="24"/>
        </w:rPr>
        <w:t>, </w:t>
      </w:r>
      <w:r>
        <w:rPr>
          <w:b/>
          <w:sz w:val="24"/>
        </w:rPr>
        <w:t>307(2)</w:t>
      </w:r>
      <w:r>
        <w:rPr>
          <w:sz w:val="24"/>
        </w:rPr>
        <w:t>: 150–</w:t>
      </w:r>
      <w:r>
        <w:rPr>
          <w:spacing w:val="1"/>
          <w:sz w:val="24"/>
        </w:rPr>
        <w:t> </w:t>
      </w:r>
      <w:r>
        <w:rPr>
          <w:sz w:val="24"/>
        </w:rPr>
        <w:t>155.</w:t>
      </w:r>
    </w:p>
    <w:p>
      <w:pPr>
        <w:pStyle w:val="BodyText"/>
        <w:spacing w:before="5"/>
      </w:pPr>
    </w:p>
    <w:p>
      <w:pPr>
        <w:pStyle w:val="BodyText"/>
        <w:ind w:left="1185" w:right="1253" w:hanging="720"/>
        <w:jc w:val="both"/>
      </w:pPr>
      <w:r>
        <w:rPr/>
        <w:t>Larner,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Schoneker,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Sheehan,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Uppoor,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Walsh,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Wiens,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(2006).Pharmaceutical excipient testing and control strategies.</w:t>
      </w:r>
      <w:r>
        <w:rPr>
          <w:i/>
        </w:rPr>
        <w:t>Pharmaceutical</w:t>
      </w:r>
      <w:r>
        <w:rPr>
          <w:i/>
          <w:spacing w:val="1"/>
        </w:rPr>
        <w:t> </w:t>
      </w:r>
      <w:r>
        <w:rPr>
          <w:i/>
        </w:rPr>
        <w:t>Technology</w:t>
      </w:r>
      <w:r>
        <w:rPr/>
        <w:t>,</w:t>
      </w:r>
      <w:r>
        <w:rPr>
          <w:spacing w:val="-1"/>
        </w:rPr>
        <w:t> </w:t>
      </w:r>
      <w:r>
        <w:rPr>
          <w:b/>
        </w:rPr>
        <w:t>1</w:t>
      </w:r>
      <w:r>
        <w:rPr/>
        <w:t>:1-7.</w:t>
      </w:r>
    </w:p>
    <w:p>
      <w:pPr>
        <w:spacing w:before="120"/>
        <w:ind w:left="1185" w:right="1253" w:hanging="720"/>
        <w:jc w:val="both"/>
        <w:rPr>
          <w:sz w:val="24"/>
        </w:rPr>
      </w:pPr>
      <w:r>
        <w:rPr>
          <w:sz w:val="24"/>
        </w:rPr>
        <w:t>Larsen,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sz w:val="24"/>
        </w:rPr>
        <w:t>Trnka,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Grohganz,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(2014).Formation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mannitol</w:t>
      </w:r>
      <w:r>
        <w:rPr>
          <w:spacing w:val="1"/>
          <w:sz w:val="24"/>
        </w:rPr>
        <w:t> </w:t>
      </w:r>
      <w:r>
        <w:rPr>
          <w:sz w:val="24"/>
        </w:rPr>
        <w:t>hemihydrate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freeze-dried</w:t>
      </w:r>
      <w:r>
        <w:rPr>
          <w:spacing w:val="1"/>
          <w:sz w:val="24"/>
        </w:rPr>
        <w:t> </w:t>
      </w:r>
      <w:r>
        <w:rPr>
          <w:sz w:val="24"/>
        </w:rPr>
        <w:t>protein</w:t>
      </w:r>
      <w:r>
        <w:rPr>
          <w:spacing w:val="1"/>
          <w:sz w:val="24"/>
        </w:rPr>
        <w:t> </w:t>
      </w:r>
      <w:r>
        <w:rPr>
          <w:sz w:val="24"/>
        </w:rPr>
        <w:t>formulations-A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experiment</w:t>
      </w:r>
      <w:r>
        <w:rPr>
          <w:spacing w:val="1"/>
          <w:sz w:val="24"/>
        </w:rPr>
        <w:t> </w:t>
      </w:r>
      <w:r>
        <w:rPr>
          <w:sz w:val="24"/>
        </w:rPr>
        <w:t>approach.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Pharmaceutics</w:t>
      </w:r>
      <w:r>
        <w:rPr>
          <w:sz w:val="24"/>
        </w:rPr>
        <w:t>, </w:t>
      </w:r>
      <w:r>
        <w:rPr>
          <w:b/>
          <w:sz w:val="24"/>
        </w:rPr>
        <w:t>460 (1)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45-52.</w:t>
      </w:r>
    </w:p>
    <w:p>
      <w:pPr>
        <w:pStyle w:val="BodyText"/>
        <w:spacing w:before="120"/>
        <w:ind w:left="1185" w:right="1254" w:hanging="720"/>
        <w:jc w:val="both"/>
      </w:pPr>
      <w:r>
        <w:rPr/>
        <w:t>Lee, J. S., Kumar, R. N., Rozman, H. D., Azemi, B. M. N. (2004). Flow behaviour of</w:t>
      </w:r>
      <w:r>
        <w:rPr>
          <w:spacing w:val="1"/>
        </w:rPr>
        <w:t> </w:t>
      </w:r>
      <w:r>
        <w:rPr/>
        <w:t>sago</w:t>
      </w:r>
      <w:r>
        <w:rPr>
          <w:spacing w:val="1"/>
        </w:rPr>
        <w:t> </w:t>
      </w:r>
      <w:r>
        <w:rPr/>
        <w:t>starch-g-poly</w:t>
      </w:r>
      <w:r>
        <w:rPr>
          <w:spacing w:val="1"/>
        </w:rPr>
        <w:t> </w:t>
      </w:r>
      <w:r>
        <w:rPr/>
        <w:t>(acrylic</w:t>
      </w:r>
      <w:r>
        <w:rPr>
          <w:spacing w:val="1"/>
        </w:rPr>
        <w:t> </w:t>
      </w:r>
      <w:r>
        <w:rPr/>
        <w:t>acid)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NaOH-effect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photografting. </w:t>
      </w:r>
      <w:r>
        <w:rPr>
          <w:i/>
        </w:rPr>
        <w:t>Carbohydrate Polymers</w:t>
      </w:r>
      <w:r>
        <w:rPr/>
        <w:t>, </w:t>
      </w:r>
      <w:r>
        <w:rPr>
          <w:b/>
        </w:rPr>
        <w:t>56</w:t>
      </w:r>
      <w:r>
        <w:rPr/>
        <w:t>: 347–354.</w:t>
      </w:r>
    </w:p>
    <w:p>
      <w:pPr>
        <w:pStyle w:val="BodyText"/>
        <w:spacing w:before="121"/>
        <w:ind w:left="1185" w:right="1257" w:hanging="720"/>
        <w:jc w:val="both"/>
      </w:pPr>
      <w:r>
        <w:rPr/>
        <w:t>Lerk, C., Bolhuis, G. and De Boer, A. (1974).Comparative evaluation of excipients for</w:t>
      </w:r>
      <w:r>
        <w:rPr>
          <w:spacing w:val="1"/>
        </w:rPr>
        <w:t> </w:t>
      </w:r>
      <w:r>
        <w:rPr/>
        <w:t>direct</w:t>
      </w:r>
      <w:r>
        <w:rPr>
          <w:spacing w:val="-1"/>
        </w:rPr>
        <w:t> </w:t>
      </w:r>
      <w:r>
        <w:rPr/>
        <w:t>compression,</w:t>
      </w:r>
      <w:r>
        <w:rPr>
          <w:spacing w:val="2"/>
        </w:rPr>
        <w:t> </w:t>
      </w:r>
      <w:r>
        <w:rPr/>
        <w:t>II.</w:t>
      </w:r>
      <w:r>
        <w:rPr>
          <w:i/>
        </w:rPr>
        <w:t>Pharmaceutisch weekblad</w:t>
      </w:r>
      <w:r>
        <w:rPr/>
        <w:t>,</w:t>
      </w:r>
      <w:r>
        <w:rPr>
          <w:spacing w:val="-1"/>
        </w:rPr>
        <w:t> </w:t>
      </w:r>
      <w:r>
        <w:rPr>
          <w:b/>
        </w:rPr>
        <w:t>109</w:t>
      </w:r>
      <w:r>
        <w:rPr/>
        <w:t>: 945–955</w:t>
      </w:r>
    </w:p>
    <w:p>
      <w:pPr>
        <w:spacing w:before="120"/>
        <w:ind w:left="1185" w:right="1255" w:hanging="720"/>
        <w:jc w:val="both"/>
        <w:rPr>
          <w:sz w:val="24"/>
        </w:rPr>
      </w:pPr>
      <w:r>
        <w:rPr>
          <w:sz w:val="24"/>
        </w:rPr>
        <w:t>Lerk, C. F. (1993). Consolidation and compaction of lactose.</w:t>
      </w:r>
      <w:r>
        <w:rPr>
          <w:i/>
          <w:sz w:val="24"/>
        </w:rPr>
        <w:t>Drug Development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Pharmacy</w:t>
      </w:r>
      <w:r>
        <w:rPr>
          <w:sz w:val="24"/>
        </w:rPr>
        <w:t>, </w:t>
      </w:r>
      <w:r>
        <w:rPr>
          <w:b/>
          <w:sz w:val="24"/>
        </w:rPr>
        <w:t>19</w:t>
      </w:r>
      <w:r>
        <w:rPr>
          <w:sz w:val="24"/>
        </w:rPr>
        <w:t>:2359-2398.</w:t>
      </w:r>
    </w:p>
    <w:p>
      <w:pPr>
        <w:pStyle w:val="BodyText"/>
        <w:spacing w:before="120"/>
        <w:ind w:left="1185" w:right="1256" w:hanging="720"/>
        <w:jc w:val="both"/>
      </w:pPr>
      <w:r>
        <w:rPr/>
        <w:t>Levin M. 2006. Wet Granulation: End-point determination and scale-up.Encyclopedia</w:t>
      </w:r>
      <w:r>
        <w:rPr>
          <w:spacing w:val="1"/>
        </w:rPr>
        <w:t> </w:t>
      </w:r>
      <w:r>
        <w:rPr/>
        <w:t>ofPharmaceutical</w:t>
      </w:r>
      <w:r>
        <w:rPr>
          <w:spacing w:val="-1"/>
        </w:rPr>
        <w:t> </w:t>
      </w:r>
      <w:r>
        <w:rPr/>
        <w:t>Technology.</w:t>
      </w:r>
      <w:r>
        <w:rPr>
          <w:spacing w:val="-1"/>
        </w:rPr>
        <w:t> </w:t>
      </w:r>
      <w:r>
        <w:rPr/>
        <w:t>New York:</w:t>
      </w:r>
      <w:r>
        <w:rPr>
          <w:spacing w:val="-1"/>
        </w:rPr>
        <w:t> </w:t>
      </w:r>
      <w:r>
        <w:rPr/>
        <w:t>Marcel Dekker:</w:t>
      </w:r>
      <w:r>
        <w:rPr>
          <w:spacing w:val="-1"/>
        </w:rPr>
        <w:t> </w:t>
      </w:r>
      <w:r>
        <w:rPr/>
        <w:t>pp.4078-4098.</w:t>
      </w:r>
    </w:p>
    <w:p>
      <w:pPr>
        <w:pStyle w:val="BodyText"/>
        <w:spacing w:before="120"/>
        <w:ind w:left="1185" w:right="1257" w:hanging="720"/>
        <w:jc w:val="both"/>
      </w:pPr>
      <w:r>
        <w:rPr/>
        <w:t>Li, J. X., Carlin, B. and Ruszkay, T., inventors (2008).Co-processed MCC and sugar</w:t>
      </w:r>
      <w:r>
        <w:rPr>
          <w:spacing w:val="1"/>
        </w:rPr>
        <w:t> </w:t>
      </w:r>
      <w:r>
        <w:rPr/>
        <w:t>alcohol as an excipient for tablet formulations.FMC corporation (Philadelphia)</w:t>
      </w:r>
      <w:r>
        <w:rPr>
          <w:spacing w:val="1"/>
        </w:rPr>
        <w:t> </w:t>
      </w:r>
      <w:r>
        <w:rPr/>
        <w:t>assignee.</w:t>
      </w:r>
      <w:r>
        <w:rPr>
          <w:i/>
        </w:rPr>
        <w:t>U.S.</w:t>
      </w:r>
      <w:r>
        <w:rPr>
          <w:i/>
          <w:spacing w:val="-1"/>
        </w:rPr>
        <w:t> </w:t>
      </w:r>
      <w:r>
        <w:rPr>
          <w:i/>
        </w:rPr>
        <w:t>Patent Application No. 20080131505</w:t>
      </w:r>
      <w:r>
        <w:rPr/>
        <w:t>.</w:t>
      </w:r>
    </w:p>
    <w:p>
      <w:pPr>
        <w:spacing w:after="0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before="72"/>
        <w:ind w:left="1185" w:right="1256" w:hanging="720"/>
        <w:jc w:val="both"/>
      </w:pPr>
      <w:r>
        <w:rPr/>
        <w:t>Limwong,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Sutanthavibul,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Kulvanich,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(2004).</w:t>
      </w:r>
      <w:r>
        <w:rPr>
          <w:spacing w:val="60"/>
        </w:rPr>
        <w:t> </w:t>
      </w:r>
      <w:r>
        <w:rPr/>
        <w:t>Spherical-composite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MCC: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direct</w:t>
      </w:r>
      <w:r>
        <w:rPr>
          <w:spacing w:val="-57"/>
        </w:rPr>
        <w:t> </w:t>
      </w:r>
      <w:r>
        <w:rPr/>
        <w:t>compression.</w:t>
      </w:r>
      <w:r>
        <w:rPr>
          <w:spacing w:val="-1"/>
        </w:rPr>
        <w:t> </w:t>
      </w:r>
      <w:r>
        <w:rPr>
          <w:i/>
        </w:rPr>
        <w:t>AAPS</w:t>
      </w:r>
      <w:r>
        <w:rPr>
          <w:i/>
          <w:spacing w:val="-1"/>
        </w:rPr>
        <w:t> </w:t>
      </w:r>
      <w:r>
        <w:rPr>
          <w:i/>
        </w:rPr>
        <w:t>PharmSciTech</w:t>
      </w:r>
      <w:r>
        <w:rPr/>
        <w:t>, </w:t>
      </w:r>
      <w:r>
        <w:rPr>
          <w:b/>
        </w:rPr>
        <w:t>5(2)</w:t>
      </w:r>
      <w:r>
        <w:rPr/>
        <w:t>: 40-49.</w:t>
      </w:r>
    </w:p>
    <w:p>
      <w:pPr>
        <w:pStyle w:val="BodyText"/>
        <w:spacing w:before="120"/>
        <w:ind w:left="1185" w:right="1255" w:hanging="720"/>
        <w:jc w:val="both"/>
      </w:pPr>
      <w:r>
        <w:rPr/>
        <w:t>Luukkonen,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Schaefer,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Hellén,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Juppo,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Yliruusi,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Rheological characterization of MCC and silicified MCC wet masses using a</w:t>
      </w:r>
      <w:r>
        <w:rPr>
          <w:spacing w:val="1"/>
        </w:rPr>
        <w:t> </w:t>
      </w:r>
      <w:r>
        <w:rPr/>
        <w:t>mixer torque rheometer. </w:t>
      </w:r>
      <w:r>
        <w:rPr>
          <w:i/>
        </w:rPr>
        <w:t>International Journal of Pharmaceutics</w:t>
      </w:r>
      <w:r>
        <w:rPr/>
        <w:t>, </w:t>
      </w:r>
      <w:r>
        <w:rPr>
          <w:b/>
        </w:rPr>
        <w:t>188(2)</w:t>
      </w:r>
      <w:r>
        <w:rPr/>
        <w:t>: 181-</w:t>
      </w:r>
      <w:r>
        <w:rPr>
          <w:spacing w:val="1"/>
        </w:rPr>
        <w:t> </w:t>
      </w:r>
      <w:r>
        <w:rPr/>
        <w:t>192.</w:t>
      </w:r>
    </w:p>
    <w:p>
      <w:pPr>
        <w:pStyle w:val="BodyText"/>
        <w:spacing w:before="120"/>
        <w:ind w:left="1185" w:right="1258" w:hanging="720"/>
        <w:jc w:val="both"/>
      </w:pPr>
      <w:r>
        <w:rPr/>
        <w:t>Maarschalk, KvdV. and Bolhuis, G. K. (1999).Improving properties of materials for</w:t>
      </w:r>
      <w:r>
        <w:rPr>
          <w:spacing w:val="1"/>
        </w:rPr>
        <w:t> </w:t>
      </w:r>
      <w:r>
        <w:rPr/>
        <w:t>direct</w:t>
      </w:r>
      <w:r>
        <w:rPr>
          <w:spacing w:val="-1"/>
        </w:rPr>
        <w:t> </w:t>
      </w:r>
      <w:r>
        <w:rPr/>
        <w:t>compaction.</w:t>
      </w:r>
      <w:r>
        <w:rPr>
          <w:i/>
        </w:rPr>
        <w:t>Pharmaceutical Technology</w:t>
      </w:r>
      <w:r>
        <w:rPr/>
        <w:t>, </w:t>
      </w:r>
      <w:r>
        <w:rPr>
          <w:b/>
        </w:rPr>
        <w:t>23</w:t>
      </w:r>
      <w:r>
        <w:rPr/>
        <w:t>: 34-46, 96.</w:t>
      </w:r>
    </w:p>
    <w:p>
      <w:pPr>
        <w:pStyle w:val="BodyText"/>
        <w:spacing w:before="5"/>
      </w:pPr>
    </w:p>
    <w:p>
      <w:pPr>
        <w:spacing w:line="240" w:lineRule="auto" w:before="0"/>
        <w:ind w:left="1185" w:right="1256" w:hanging="720"/>
        <w:jc w:val="both"/>
        <w:rPr>
          <w:sz w:val="24"/>
        </w:rPr>
      </w:pPr>
      <w:r>
        <w:rPr>
          <w:sz w:val="24"/>
        </w:rPr>
        <w:t>Mahmoodi,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i/>
          <w:sz w:val="24"/>
        </w:rPr>
        <w:t>Compression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mechanics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powders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granular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distributions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micromechanically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equation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PhD Dissertation, Uppsala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2"/>
          <w:sz w:val="24"/>
        </w:rPr>
        <w:t> </w:t>
      </w:r>
      <w:r>
        <w:rPr>
          <w:sz w:val="24"/>
        </w:rPr>
        <w:t>Sweden.</w:t>
      </w:r>
    </w:p>
    <w:p>
      <w:pPr>
        <w:pStyle w:val="BodyText"/>
        <w:spacing w:before="3"/>
      </w:pPr>
    </w:p>
    <w:p>
      <w:pPr>
        <w:pStyle w:val="BodyText"/>
        <w:ind w:left="465"/>
        <w:jc w:val="both"/>
      </w:pPr>
      <w:r>
        <w:rPr/>
        <w:t>Martinello,</w:t>
      </w:r>
      <w:r>
        <w:rPr>
          <w:spacing w:val="16"/>
        </w:rPr>
        <w:t> </w:t>
      </w:r>
      <w:r>
        <w:rPr/>
        <w:t>T.,</w:t>
      </w:r>
      <w:r>
        <w:rPr>
          <w:spacing w:val="17"/>
        </w:rPr>
        <w:t> </w:t>
      </w:r>
      <w:r>
        <w:rPr/>
        <w:t>Kaneko,</w:t>
      </w:r>
      <w:r>
        <w:rPr>
          <w:spacing w:val="20"/>
        </w:rPr>
        <w:t> </w:t>
      </w:r>
      <w:r>
        <w:rPr/>
        <w:t>T.</w:t>
      </w:r>
      <w:r>
        <w:rPr>
          <w:spacing w:val="17"/>
        </w:rPr>
        <w:t> </w:t>
      </w:r>
      <w:r>
        <w:rPr/>
        <w:t>M.,</w:t>
      </w:r>
      <w:r>
        <w:rPr>
          <w:spacing w:val="18"/>
        </w:rPr>
        <w:t> </w:t>
      </w:r>
      <w:r>
        <w:rPr/>
        <w:t>Velasco,</w:t>
      </w:r>
      <w:r>
        <w:rPr>
          <w:spacing w:val="17"/>
        </w:rPr>
        <w:t> </w:t>
      </w:r>
      <w:r>
        <w:rPr/>
        <w:t>M.</w:t>
      </w:r>
      <w:r>
        <w:rPr>
          <w:spacing w:val="17"/>
        </w:rPr>
        <w:t> </w:t>
      </w:r>
      <w:r>
        <w:rPr/>
        <w:t>V.</w:t>
      </w:r>
      <w:r>
        <w:rPr>
          <w:spacing w:val="17"/>
        </w:rPr>
        <w:t> </w:t>
      </w:r>
      <w:r>
        <w:rPr/>
        <w:t>R.,</w:t>
      </w:r>
      <w:r>
        <w:rPr>
          <w:spacing w:val="17"/>
        </w:rPr>
        <w:t> </w:t>
      </w:r>
      <w:r>
        <w:rPr/>
        <w:t>Taqueda,</w:t>
      </w:r>
      <w:r>
        <w:rPr>
          <w:spacing w:val="17"/>
        </w:rPr>
        <w:t> </w:t>
      </w:r>
      <w:r>
        <w:rPr/>
        <w:t>M.</w:t>
      </w:r>
      <w:r>
        <w:rPr>
          <w:spacing w:val="18"/>
        </w:rPr>
        <w:t> </w:t>
      </w:r>
      <w:r>
        <w:rPr/>
        <w:t>E.</w:t>
      </w:r>
      <w:r>
        <w:rPr>
          <w:spacing w:val="17"/>
        </w:rPr>
        <w:t> </w:t>
      </w:r>
      <w:r>
        <w:rPr/>
        <w:t>S.,</w:t>
      </w:r>
      <w:r>
        <w:rPr>
          <w:spacing w:val="22"/>
        </w:rPr>
        <w:t> </w:t>
      </w:r>
      <w:r>
        <w:rPr/>
        <w:t>and</w:t>
      </w:r>
      <w:r>
        <w:rPr>
          <w:spacing w:val="18"/>
        </w:rPr>
        <w:t> </w:t>
      </w:r>
      <w:r>
        <w:rPr/>
        <w:t>Consiglieri,</w:t>
      </w:r>
    </w:p>
    <w:p>
      <w:pPr>
        <w:spacing w:line="240" w:lineRule="auto" w:before="0"/>
        <w:ind w:left="1185" w:right="1253" w:firstLine="0"/>
        <w:jc w:val="both"/>
        <w:rPr>
          <w:sz w:val="24"/>
        </w:rPr>
      </w:pPr>
      <w:r>
        <w:rPr>
          <w:sz w:val="24"/>
        </w:rPr>
        <w:t>V. O. (2006). Optimization of poorly compactable drug tablets manufactured by</w:t>
      </w:r>
      <w:r>
        <w:rPr>
          <w:spacing w:val="1"/>
          <w:sz w:val="24"/>
        </w:rPr>
        <w:t> </w:t>
      </w:r>
      <w:r>
        <w:rPr>
          <w:sz w:val="24"/>
        </w:rPr>
        <w:t>direct compression using the mixture experimental design. </w:t>
      </w:r>
      <w:r>
        <w:rPr>
          <w:i/>
          <w:sz w:val="24"/>
        </w:rPr>
        <w:t>International 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Pharmaceutics</w:t>
      </w:r>
      <w:r>
        <w:rPr>
          <w:sz w:val="24"/>
        </w:rPr>
        <w:t>, </w:t>
      </w:r>
      <w:r>
        <w:rPr>
          <w:b/>
          <w:sz w:val="24"/>
        </w:rPr>
        <w:t>322(1-2):</w:t>
      </w:r>
      <w:r>
        <w:rPr>
          <w:b/>
          <w:spacing w:val="-1"/>
          <w:sz w:val="24"/>
        </w:rPr>
        <w:t> </w:t>
      </w:r>
      <w:r>
        <w:rPr>
          <w:sz w:val="24"/>
        </w:rPr>
        <w:t>87–95.</w:t>
      </w:r>
    </w:p>
    <w:p>
      <w:pPr>
        <w:spacing w:before="139"/>
        <w:ind w:left="1185" w:right="1256" w:hanging="720"/>
        <w:jc w:val="both"/>
        <w:rPr>
          <w:sz w:val="24"/>
        </w:rPr>
      </w:pPr>
      <w:r>
        <w:rPr>
          <w:sz w:val="24"/>
        </w:rPr>
        <w:t>Marwaha, M., Sandhu,</w:t>
      </w:r>
      <w:r>
        <w:rPr>
          <w:spacing w:val="1"/>
          <w:sz w:val="24"/>
        </w:rPr>
        <w:t> </w:t>
      </w:r>
      <w:r>
        <w:rPr>
          <w:sz w:val="24"/>
        </w:rPr>
        <w:t>D. and Marwaha, R. (2010).Co-processing of excipients: A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excipient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1"/>
          <w:sz w:val="24"/>
        </w:rPr>
        <w:t> </w:t>
      </w:r>
      <w:r>
        <w:rPr>
          <w:sz w:val="24"/>
        </w:rPr>
        <w:t>tableting</w:t>
      </w:r>
      <w:r>
        <w:rPr>
          <w:spacing w:val="1"/>
          <w:sz w:val="24"/>
        </w:rPr>
        <w:t> </w:t>
      </w:r>
      <w:r>
        <w:rPr>
          <w:sz w:val="24"/>
        </w:rPr>
        <w:t>performance.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Applied Pharmaceutics</w:t>
      </w:r>
      <w:r>
        <w:rPr>
          <w:sz w:val="24"/>
        </w:rPr>
        <w:t>, </w:t>
      </w:r>
      <w:r>
        <w:rPr>
          <w:b/>
          <w:sz w:val="24"/>
        </w:rPr>
        <w:t>2</w:t>
      </w:r>
      <w:r>
        <w:rPr>
          <w:sz w:val="24"/>
        </w:rPr>
        <w:t>:41-</w:t>
      </w:r>
      <w:r>
        <w:rPr>
          <w:spacing w:val="-2"/>
          <w:sz w:val="24"/>
        </w:rPr>
        <w:t> </w:t>
      </w:r>
      <w:r>
        <w:rPr>
          <w:sz w:val="24"/>
        </w:rPr>
        <w:t>47.</w:t>
      </w:r>
    </w:p>
    <w:p>
      <w:pPr>
        <w:spacing w:before="121"/>
        <w:ind w:left="1185" w:right="1255" w:hanging="720"/>
        <w:jc w:val="both"/>
        <w:rPr>
          <w:sz w:val="24"/>
        </w:rPr>
      </w:pPr>
      <w:r>
        <w:rPr>
          <w:sz w:val="24"/>
        </w:rPr>
        <w:t>McCormick,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Evolutions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direct</w:t>
      </w:r>
      <w:r>
        <w:rPr>
          <w:spacing w:val="1"/>
          <w:sz w:val="24"/>
        </w:rPr>
        <w:t> </w:t>
      </w:r>
      <w:r>
        <w:rPr>
          <w:sz w:val="24"/>
        </w:rPr>
        <w:t>compression.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b/>
          <w:sz w:val="24"/>
        </w:rPr>
        <w:t>1</w:t>
      </w:r>
      <w:r>
        <w:rPr>
          <w:sz w:val="24"/>
        </w:rPr>
        <w:t>:52-62.</w:t>
      </w:r>
    </w:p>
    <w:p>
      <w:pPr>
        <w:pStyle w:val="BodyText"/>
        <w:spacing w:before="120"/>
        <w:ind w:left="1185" w:right="1255" w:hanging="720"/>
        <w:jc w:val="both"/>
      </w:pPr>
      <w:r>
        <w:rPr/>
        <w:t>Mehara,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K., West,</w:t>
      </w:r>
      <w:r>
        <w:rPr>
          <w:spacing w:val="1"/>
        </w:rPr>
        <w:t> </w:t>
      </w:r>
      <w:r>
        <w:rPr/>
        <w:t>K. P. and Wiggins,</w:t>
      </w:r>
      <w:r>
        <w:rPr>
          <w:spacing w:val="1"/>
        </w:rPr>
        <w:t> </w:t>
      </w:r>
      <w:r>
        <w:rPr/>
        <w:t>J. D.,</w:t>
      </w:r>
      <w:r>
        <w:rPr>
          <w:spacing w:val="1"/>
        </w:rPr>
        <w:t> </w:t>
      </w:r>
      <w:r>
        <w:rPr/>
        <w:t>inventors</w:t>
      </w:r>
      <w:r>
        <w:rPr>
          <w:spacing w:val="60"/>
        </w:rPr>
        <w:t> </w:t>
      </w:r>
      <w:r>
        <w:rPr/>
        <w:t>(1988).Co-processed MCC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calcium</w:t>
      </w:r>
      <w:r>
        <w:rPr>
          <w:spacing w:val="-1"/>
        </w:rPr>
        <w:t> </w:t>
      </w:r>
      <w:r>
        <w:rPr/>
        <w:t>carbonate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preparation.</w:t>
      </w:r>
      <w:r>
        <w:rPr>
          <w:spacing w:val="-1"/>
        </w:rPr>
        <w:t> </w:t>
      </w:r>
      <w:r>
        <w:rPr/>
        <w:t>FMC</w:t>
      </w:r>
      <w:r>
        <w:rPr>
          <w:spacing w:val="-2"/>
        </w:rPr>
        <w:t> </w:t>
      </w:r>
      <w:r>
        <w:rPr/>
        <w:t>corporation,</w:t>
      </w:r>
      <w:r>
        <w:rPr>
          <w:spacing w:val="-1"/>
        </w:rPr>
        <w:t> </w:t>
      </w:r>
      <w:r>
        <w:rPr/>
        <w:t>assignee.</w:t>
      </w:r>
      <w:r>
        <w:rPr>
          <w:spacing w:val="1"/>
        </w:rPr>
        <w:t> </w:t>
      </w:r>
      <w:r>
        <w:rPr/>
        <w:t>US</w:t>
      </w:r>
      <w:r>
        <w:rPr>
          <w:spacing w:val="-2"/>
        </w:rPr>
        <w:t> </w:t>
      </w:r>
      <w:r>
        <w:rPr/>
        <w:t>1988.</w:t>
      </w:r>
    </w:p>
    <w:p>
      <w:pPr>
        <w:pStyle w:val="BodyText"/>
        <w:spacing w:before="120"/>
        <w:ind w:left="1185" w:right="1253" w:hanging="720"/>
        <w:jc w:val="both"/>
      </w:pPr>
      <w:r>
        <w:rPr/>
        <w:t>Michoel, A., Rombaut, P. and</w:t>
      </w:r>
      <w:r>
        <w:rPr>
          <w:spacing w:val="1"/>
        </w:rPr>
        <w:t> </w:t>
      </w:r>
      <w:r>
        <w:rPr/>
        <w:t>Verhoye, A. (2002). Comparative evaluation of co-</w:t>
      </w:r>
      <w:r>
        <w:rPr>
          <w:spacing w:val="1"/>
        </w:rPr>
        <w:t> </w:t>
      </w:r>
      <w:r>
        <w:rPr/>
        <w:t>processed lactose and MCC with their physical mixtures in the formulation of</w:t>
      </w:r>
      <w:r>
        <w:rPr>
          <w:spacing w:val="1"/>
        </w:rPr>
        <w:t> </w:t>
      </w:r>
      <w:r>
        <w:rPr/>
        <w:t>folic</w:t>
      </w:r>
      <w:r>
        <w:rPr>
          <w:spacing w:val="-2"/>
        </w:rPr>
        <w:t> </w:t>
      </w:r>
      <w:r>
        <w:rPr/>
        <w:t>acid tablets.</w:t>
      </w:r>
      <w:r>
        <w:rPr>
          <w:i/>
        </w:rPr>
        <w:t>Pharmaceutical</w:t>
      </w:r>
      <w:r>
        <w:rPr>
          <w:i/>
          <w:spacing w:val="-1"/>
        </w:rPr>
        <w:t> </w:t>
      </w:r>
      <w:r>
        <w:rPr>
          <w:i/>
        </w:rPr>
        <w:t>Development and Technology</w:t>
      </w:r>
      <w:r>
        <w:rPr/>
        <w:t>,</w:t>
      </w:r>
      <w:r>
        <w:rPr>
          <w:spacing w:val="-1"/>
        </w:rPr>
        <w:t> </w:t>
      </w:r>
      <w:r>
        <w:rPr>
          <w:b/>
        </w:rPr>
        <w:t>7(1)</w:t>
      </w:r>
      <w:r>
        <w:rPr/>
        <w:t>: 79-87.</w:t>
      </w:r>
    </w:p>
    <w:p>
      <w:pPr>
        <w:pStyle w:val="BodyText"/>
        <w:spacing w:before="120"/>
        <w:ind w:left="1185" w:right="1253" w:hanging="720"/>
        <w:jc w:val="both"/>
      </w:pPr>
      <w:r>
        <w:rPr/>
        <w:t>Modliszewski, J. J. and Ballard, D.A., inventors (1996). Co-processed galactomannan-</w:t>
      </w:r>
      <w:r>
        <w:rPr>
          <w:spacing w:val="1"/>
        </w:rPr>
        <w:t> </w:t>
      </w:r>
      <w:r>
        <w:rPr/>
        <w:t>glucomannan</w:t>
      </w:r>
      <w:r>
        <w:rPr>
          <w:i/>
        </w:rPr>
        <w:t>.</w:t>
      </w:r>
      <w:r>
        <w:rPr>
          <w:i/>
          <w:spacing w:val="-1"/>
        </w:rPr>
        <w:t> </w:t>
      </w:r>
      <w:r>
        <w:rPr>
          <w:i/>
        </w:rPr>
        <w:t>US Pat 5498436</w:t>
      </w:r>
      <w:r>
        <w:rPr/>
        <w:t>.</w:t>
      </w:r>
    </w:p>
    <w:p>
      <w:pPr>
        <w:pStyle w:val="BodyText"/>
        <w:spacing w:before="120"/>
        <w:ind w:left="1185" w:right="1256" w:hanging="720"/>
        <w:jc w:val="both"/>
      </w:pPr>
      <w:r>
        <w:rPr/>
        <w:t>Moorthy, S. N. (2001). Tuber Crop Starches. </w:t>
      </w:r>
      <w:r>
        <w:rPr>
          <w:i/>
        </w:rPr>
        <w:t>Technical Bulletin</w:t>
      </w:r>
      <w:r>
        <w:rPr/>
        <w:t>. CTCRI, Trivandrum,</w:t>
      </w:r>
      <w:r>
        <w:rPr>
          <w:spacing w:val="1"/>
        </w:rPr>
        <w:t> </w:t>
      </w:r>
      <w:r>
        <w:rPr/>
        <w:t>India,</w:t>
      </w:r>
      <w:r>
        <w:rPr>
          <w:spacing w:val="-1"/>
        </w:rPr>
        <w:t> </w:t>
      </w:r>
      <w:r>
        <w:rPr/>
        <w:t>pp.</w:t>
      </w:r>
      <w:r>
        <w:rPr>
          <w:spacing w:val="1"/>
        </w:rPr>
        <w:t> </w:t>
      </w:r>
      <w:r>
        <w:rPr/>
        <w:t>52.</w:t>
      </w:r>
    </w:p>
    <w:p>
      <w:pPr>
        <w:pStyle w:val="BodyText"/>
        <w:spacing w:before="120"/>
        <w:ind w:left="465"/>
        <w:jc w:val="both"/>
      </w:pPr>
      <w:r>
        <w:rPr/>
        <w:t>Moreton,</w:t>
      </w:r>
      <w:r>
        <w:rPr>
          <w:spacing w:val="19"/>
        </w:rPr>
        <w:t> </w:t>
      </w:r>
      <w:r>
        <w:rPr/>
        <w:t>R.C.</w:t>
      </w:r>
      <w:r>
        <w:rPr>
          <w:spacing w:val="20"/>
        </w:rPr>
        <w:t> </w:t>
      </w:r>
      <w:r>
        <w:rPr/>
        <w:t>(1996).</w:t>
      </w:r>
      <w:r>
        <w:rPr>
          <w:spacing w:val="19"/>
        </w:rPr>
        <w:t> </w:t>
      </w:r>
      <w:r>
        <w:rPr/>
        <w:t>Tablet</w:t>
      </w:r>
      <w:r>
        <w:rPr>
          <w:spacing w:val="20"/>
        </w:rPr>
        <w:t> </w:t>
      </w:r>
      <w:r>
        <w:rPr/>
        <w:t>excipients</w:t>
      </w:r>
      <w:r>
        <w:rPr>
          <w:spacing w:val="21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21"/>
        </w:rPr>
        <w:t> </w:t>
      </w:r>
      <w:r>
        <w:rPr/>
        <w:t>year</w:t>
      </w:r>
      <w:r>
        <w:rPr>
          <w:spacing w:val="19"/>
        </w:rPr>
        <w:t> </w:t>
      </w:r>
      <w:r>
        <w:rPr/>
        <w:t>2001: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look</w:t>
      </w:r>
      <w:r>
        <w:rPr>
          <w:spacing w:val="20"/>
        </w:rPr>
        <w:t> </w:t>
      </w:r>
      <w:r>
        <w:rPr/>
        <w:t>into</w:t>
      </w:r>
      <w:r>
        <w:rPr>
          <w:spacing w:val="16"/>
        </w:rPr>
        <w:t> </w:t>
      </w:r>
      <w:r>
        <w:rPr/>
        <w:t>the</w:t>
      </w:r>
      <w:r>
        <w:rPr>
          <w:spacing w:val="19"/>
        </w:rPr>
        <w:t> </w:t>
      </w:r>
      <w:r>
        <w:rPr/>
        <w:t>crystal</w:t>
      </w:r>
      <w:r>
        <w:rPr>
          <w:spacing w:val="20"/>
        </w:rPr>
        <w:t> </w:t>
      </w:r>
      <w:r>
        <w:rPr/>
        <w:t>ball.</w:t>
      </w:r>
    </w:p>
    <w:p>
      <w:pPr>
        <w:spacing w:before="1"/>
        <w:ind w:left="1185" w:right="0" w:firstLine="0"/>
        <w:jc w:val="both"/>
        <w:rPr>
          <w:sz w:val="24"/>
        </w:rPr>
      </w:pPr>
      <w:r>
        <w:rPr>
          <w:i/>
          <w:sz w:val="24"/>
        </w:rPr>
        <w:t>Drug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Industrial Pharmacy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22</w:t>
      </w:r>
      <w:r>
        <w:rPr>
          <w:sz w:val="24"/>
        </w:rPr>
        <w:t>:11-23.</w:t>
      </w:r>
    </w:p>
    <w:p>
      <w:pPr>
        <w:spacing w:before="120"/>
        <w:ind w:left="465" w:right="0" w:firstLine="0"/>
        <w:jc w:val="both"/>
        <w:rPr>
          <w:sz w:val="24"/>
        </w:rPr>
      </w:pPr>
      <w:r>
        <w:rPr>
          <w:sz w:val="24"/>
        </w:rPr>
        <w:t>Moreton,</w:t>
      </w:r>
      <w:r>
        <w:rPr>
          <w:spacing w:val="19"/>
          <w:sz w:val="24"/>
        </w:rPr>
        <w:t> </w:t>
      </w:r>
      <w:r>
        <w:rPr>
          <w:sz w:val="24"/>
        </w:rPr>
        <w:t>R.</w:t>
      </w:r>
      <w:r>
        <w:rPr>
          <w:spacing w:val="19"/>
          <w:sz w:val="24"/>
        </w:rPr>
        <w:t> </w:t>
      </w:r>
      <w:r>
        <w:rPr>
          <w:sz w:val="24"/>
        </w:rPr>
        <w:t>C.</w:t>
      </w:r>
      <w:r>
        <w:rPr>
          <w:spacing w:val="20"/>
          <w:sz w:val="24"/>
        </w:rPr>
        <w:t> </w:t>
      </w:r>
      <w:r>
        <w:rPr>
          <w:sz w:val="24"/>
        </w:rPr>
        <w:t>(2004).</w:t>
      </w:r>
      <w:r>
        <w:rPr>
          <w:spacing w:val="18"/>
          <w:sz w:val="24"/>
        </w:rPr>
        <w:t> </w:t>
      </w:r>
      <w:r>
        <w:rPr>
          <w:sz w:val="24"/>
        </w:rPr>
        <w:t>Excipient</w:t>
      </w:r>
      <w:r>
        <w:rPr>
          <w:spacing w:val="19"/>
          <w:sz w:val="24"/>
        </w:rPr>
        <w:t> </w:t>
      </w:r>
      <w:r>
        <w:rPr>
          <w:sz w:val="24"/>
        </w:rPr>
        <w:t>functionality.</w:t>
      </w:r>
      <w:r>
        <w:rPr>
          <w:i/>
          <w:sz w:val="24"/>
        </w:rPr>
        <w:t>Pharmaceutical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19"/>
          <w:sz w:val="24"/>
        </w:rPr>
        <w:t> </w:t>
      </w:r>
      <w:r>
        <w:rPr>
          <w:sz w:val="24"/>
        </w:rPr>
        <w:t>28(5):</w:t>
      </w:r>
      <w:r>
        <w:rPr>
          <w:spacing w:val="20"/>
          <w:sz w:val="24"/>
        </w:rPr>
        <w:t> </w:t>
      </w:r>
      <w:r>
        <w:rPr>
          <w:sz w:val="24"/>
        </w:rPr>
        <w:t>98-</w:t>
      </w:r>
    </w:p>
    <w:p>
      <w:pPr>
        <w:pStyle w:val="BodyText"/>
        <w:ind w:left="1185"/>
      </w:pPr>
      <w:r>
        <w:rPr/>
        <w:t>99.</w:t>
      </w:r>
    </w:p>
    <w:p>
      <w:pPr>
        <w:pStyle w:val="BodyText"/>
        <w:spacing w:before="120"/>
        <w:ind w:left="1185" w:right="1254" w:hanging="720"/>
        <w:jc w:val="both"/>
      </w:pPr>
      <w:r>
        <w:rPr/>
        <w:t>Munoz-Ruiz,</w:t>
      </w:r>
      <w:r>
        <w:rPr>
          <w:spacing w:val="56"/>
        </w:rPr>
        <w:t> </w:t>
      </w:r>
      <w:r>
        <w:rPr/>
        <w:t>M.  A.,</w:t>
      </w:r>
      <w:r>
        <w:rPr>
          <w:spacing w:val="58"/>
        </w:rPr>
        <w:t> </w:t>
      </w:r>
      <w:r>
        <w:rPr/>
        <w:t>Borrero-Rubio,  J.</w:t>
      </w:r>
      <w:r>
        <w:rPr>
          <w:spacing w:val="56"/>
        </w:rPr>
        <w:t> </w:t>
      </w:r>
      <w:r>
        <w:rPr/>
        <w:t>M.  and</w:t>
      </w:r>
      <w:r>
        <w:rPr>
          <w:spacing w:val="56"/>
        </w:rPr>
        <w:t> </w:t>
      </w:r>
      <w:r>
        <w:rPr/>
        <w:t>Jimenez-Castellanos,</w:t>
      </w:r>
      <w:r>
        <w:rPr>
          <w:spacing w:val="57"/>
        </w:rPr>
        <w:t> </w:t>
      </w:r>
      <w:r>
        <w:rPr/>
        <w:t>M.  R.</w:t>
      </w:r>
      <w:r>
        <w:rPr>
          <w:spacing w:val="58"/>
        </w:rPr>
        <w:t> </w:t>
      </w:r>
      <w:r>
        <w:rPr/>
        <w:t>(1992).</w:t>
      </w:r>
      <w:r>
        <w:rPr>
          <w:spacing w:val="-57"/>
        </w:rPr>
        <w:t> </w:t>
      </w:r>
      <w:r>
        <w:rPr/>
        <w:t>Rheology of a new excipient for direct compression: Ludipress. </w:t>
      </w:r>
      <w:r>
        <w:rPr>
          <w:i/>
        </w:rPr>
        <w:t>Pharmaceutica</w:t>
      </w:r>
      <w:r>
        <w:rPr>
          <w:i/>
          <w:spacing w:val="1"/>
        </w:rPr>
        <w:t> </w:t>
      </w:r>
      <w:r>
        <w:rPr>
          <w:i/>
        </w:rPr>
        <w:t>Acta</w:t>
      </w:r>
      <w:r>
        <w:rPr>
          <w:i/>
          <w:spacing w:val="-1"/>
        </w:rPr>
        <w:t> </w:t>
      </w:r>
      <w:r>
        <w:rPr>
          <w:i/>
        </w:rPr>
        <w:t>Helvetiae</w:t>
      </w:r>
      <w:r>
        <w:rPr/>
        <w:t>, </w:t>
      </w:r>
      <w:r>
        <w:rPr>
          <w:b/>
        </w:rPr>
        <w:t>67</w:t>
      </w:r>
      <w:r>
        <w:rPr/>
        <w:t>: 225-226.</w:t>
      </w:r>
    </w:p>
    <w:p>
      <w:pPr>
        <w:spacing w:before="120"/>
        <w:ind w:left="1185" w:right="1253" w:hanging="720"/>
        <w:jc w:val="both"/>
        <w:rPr>
          <w:sz w:val="24"/>
        </w:rPr>
      </w:pPr>
      <w:r>
        <w:rPr>
          <w:sz w:val="24"/>
        </w:rPr>
        <w:t>Munoz-Ruiz, M. A., Perales, C. M., Antequeva, V. V. and Villar, T. (1993). Rheology</w:t>
      </w:r>
      <w:r>
        <w:rPr>
          <w:spacing w:val="1"/>
          <w:sz w:val="24"/>
        </w:rPr>
        <w:t> </w:t>
      </w:r>
      <w:r>
        <w:rPr>
          <w:sz w:val="24"/>
        </w:rPr>
        <w:t>and compression characteristics of lactose based direct compression excipients.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Pharmaceutics</w:t>
      </w:r>
      <w:r>
        <w:rPr>
          <w:sz w:val="24"/>
        </w:rPr>
        <w:t>, </w:t>
      </w:r>
      <w:r>
        <w:rPr>
          <w:b/>
          <w:sz w:val="24"/>
        </w:rPr>
        <w:t>95(1-3)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201-207.</w:t>
      </w:r>
    </w:p>
    <w:p>
      <w:pPr>
        <w:pStyle w:val="BodyText"/>
        <w:spacing w:before="5"/>
      </w:pPr>
    </w:p>
    <w:p>
      <w:pPr>
        <w:pStyle w:val="BodyText"/>
        <w:ind w:left="1185" w:right="1260" w:hanging="720"/>
        <w:jc w:val="both"/>
      </w:pPr>
      <w:r>
        <w:rPr/>
        <w:t>Murikipudi, V., Gupta,</w:t>
      </w:r>
      <w:r>
        <w:rPr>
          <w:spacing w:val="1"/>
        </w:rPr>
        <w:t> </w:t>
      </w:r>
      <w:r>
        <w:rPr/>
        <w:t>P. and Sihorkar, V. (2011).Efficient throughput method for</w:t>
      </w:r>
      <w:r>
        <w:rPr>
          <w:spacing w:val="1"/>
        </w:rPr>
        <w:t> </w:t>
      </w:r>
      <w:r>
        <w:rPr/>
        <w:t>hygroscopicity</w:t>
      </w:r>
      <w:r>
        <w:rPr>
          <w:spacing w:val="32"/>
        </w:rPr>
        <w:t> </w:t>
      </w:r>
      <w:r>
        <w:rPr/>
        <w:t>classification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active</w:t>
      </w:r>
      <w:r>
        <w:rPr>
          <w:spacing w:val="34"/>
        </w:rPr>
        <w:t> </w:t>
      </w:r>
      <w:r>
        <w:rPr/>
        <w:t>and</w:t>
      </w:r>
      <w:r>
        <w:rPr>
          <w:spacing w:val="36"/>
        </w:rPr>
        <w:t> </w:t>
      </w:r>
      <w:r>
        <w:rPr/>
        <w:t>inactive</w:t>
      </w:r>
      <w:r>
        <w:rPr>
          <w:spacing w:val="34"/>
        </w:rPr>
        <w:t> </w:t>
      </w:r>
      <w:r>
        <w:rPr/>
        <w:t>pharmaceutical</w:t>
      </w:r>
      <w:r>
        <w:rPr>
          <w:spacing w:val="35"/>
        </w:rPr>
        <w:t> </w:t>
      </w:r>
      <w:r>
        <w:rPr/>
        <w:t>ingredients</w:t>
      </w:r>
    </w:p>
    <w:p>
      <w:pPr>
        <w:spacing w:after="0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tabs>
          <w:tab w:pos="1683" w:val="left" w:leader="none"/>
          <w:tab w:pos="2479" w:val="left" w:leader="none"/>
          <w:tab w:pos="3405" w:val="left" w:leader="none"/>
          <w:tab w:pos="4456" w:val="left" w:leader="none"/>
          <w:tab w:pos="7082" w:val="left" w:leader="none"/>
          <w:tab w:pos="8610" w:val="left" w:leader="none"/>
        </w:tabs>
        <w:spacing w:before="72"/>
        <w:ind w:left="1185" w:right="1254" w:firstLine="0"/>
        <w:jc w:val="left"/>
        <w:rPr>
          <w:sz w:val="24"/>
        </w:rPr>
      </w:pPr>
      <w:r>
        <w:rPr>
          <w:sz w:val="24"/>
        </w:rPr>
        <w:t>by</w:t>
        <w:tab/>
        <w:t>water</w:t>
        <w:tab/>
        <w:t>vapour</w:t>
        <w:tab/>
        <w:t>sorption</w:t>
        <w:tab/>
        <w:t>analysis.</w:t>
      </w:r>
      <w:r>
        <w:rPr>
          <w:i/>
          <w:sz w:val="24"/>
        </w:rPr>
        <w:t>Pharmaceutical</w:t>
        <w:tab/>
        <w:t>Development</w:t>
        <w:tab/>
      </w:r>
      <w:r>
        <w:rPr>
          <w:i/>
          <w:spacing w:val="-1"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18</w:t>
      </w:r>
      <w:r>
        <w:rPr>
          <w:sz w:val="24"/>
        </w:rPr>
        <w:t>: 1–11.</w:t>
      </w:r>
    </w:p>
    <w:p>
      <w:pPr>
        <w:pStyle w:val="BodyText"/>
        <w:spacing w:before="2"/>
      </w:pPr>
    </w:p>
    <w:p>
      <w:pPr>
        <w:spacing w:before="1"/>
        <w:ind w:left="1185" w:right="1253" w:hanging="720"/>
        <w:jc w:val="both"/>
        <w:rPr>
          <w:sz w:val="24"/>
        </w:rPr>
      </w:pPr>
      <w:r>
        <w:rPr>
          <w:sz w:val="24"/>
        </w:rPr>
        <w:t>Muzikova, J. and Eimerova, I. (2011). A study of the compaction process and the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tablets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co-processed</w:t>
      </w:r>
      <w:r>
        <w:rPr>
          <w:spacing w:val="1"/>
          <w:sz w:val="24"/>
        </w:rPr>
        <w:t> </w:t>
      </w:r>
      <w:r>
        <w:rPr>
          <w:sz w:val="24"/>
        </w:rPr>
        <w:t>starch</w:t>
      </w:r>
      <w:r>
        <w:rPr>
          <w:spacing w:val="1"/>
          <w:sz w:val="24"/>
        </w:rPr>
        <w:t> </w:t>
      </w:r>
      <w:r>
        <w:rPr>
          <w:sz w:val="24"/>
        </w:rPr>
        <w:t>excipient.</w:t>
      </w:r>
      <w:r>
        <w:rPr>
          <w:spacing w:val="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Industrial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Pharmacy</w:t>
      </w:r>
      <w:r>
        <w:rPr>
          <w:sz w:val="24"/>
        </w:rPr>
        <w:t>, </w:t>
      </w:r>
      <w:r>
        <w:rPr>
          <w:b/>
          <w:sz w:val="24"/>
        </w:rPr>
        <w:t>37 (5)</w:t>
      </w:r>
      <w:r>
        <w:rPr>
          <w:sz w:val="24"/>
        </w:rPr>
        <w:t>: 576-582.</w:t>
      </w:r>
    </w:p>
    <w:p>
      <w:pPr>
        <w:spacing w:before="120"/>
        <w:ind w:left="1185" w:right="1253" w:hanging="720"/>
        <w:jc w:val="both"/>
        <w:rPr>
          <w:sz w:val="24"/>
        </w:rPr>
      </w:pPr>
      <w:r>
        <w:rPr>
          <w:sz w:val="24"/>
        </w:rPr>
        <w:t>Muzikova, J. and Novakova, P. (2007).A study of the properties of compacts of MCC</w:t>
      </w:r>
      <w:r>
        <w:rPr>
          <w:spacing w:val="1"/>
          <w:sz w:val="24"/>
        </w:rPr>
        <w:t> </w:t>
      </w:r>
      <w:r>
        <w:rPr>
          <w:sz w:val="24"/>
        </w:rPr>
        <w:t>and silicified MCC.</w:t>
      </w:r>
      <w:r>
        <w:rPr>
          <w:i/>
          <w:sz w:val="24"/>
        </w:rPr>
        <w:t>Drug Development and Industrial Pharmacy</w:t>
      </w:r>
      <w:r>
        <w:rPr>
          <w:sz w:val="24"/>
        </w:rPr>
        <w:t>, </w:t>
      </w:r>
      <w:r>
        <w:rPr>
          <w:b/>
          <w:sz w:val="24"/>
        </w:rPr>
        <w:t>33 (7)</w:t>
      </w:r>
      <w:r>
        <w:rPr>
          <w:sz w:val="24"/>
        </w:rPr>
        <w:t>: 775-</w:t>
      </w:r>
      <w:r>
        <w:rPr>
          <w:spacing w:val="1"/>
          <w:sz w:val="24"/>
        </w:rPr>
        <w:t> </w:t>
      </w:r>
      <w:r>
        <w:rPr>
          <w:sz w:val="24"/>
        </w:rPr>
        <w:t>781.</w:t>
      </w:r>
    </w:p>
    <w:p>
      <w:pPr>
        <w:pStyle w:val="BodyText"/>
        <w:spacing w:before="120"/>
        <w:ind w:left="1185" w:right="1253" w:hanging="720"/>
        <w:jc w:val="both"/>
      </w:pPr>
      <w:r>
        <w:rPr/>
        <w:t>Muzikova, J. and Zvolankova, J. (2007). A study of the properties of tablets from co-</w:t>
      </w:r>
      <w:r>
        <w:rPr>
          <w:spacing w:val="1"/>
        </w:rPr>
        <w:t> </w:t>
      </w:r>
      <w:r>
        <w:rPr/>
        <w:t>processed dry binders composed of α-lactose monohydrate and different types of</w:t>
      </w:r>
      <w:r>
        <w:rPr>
          <w:spacing w:val="-57"/>
        </w:rPr>
        <w:t> </w:t>
      </w:r>
      <w:r>
        <w:rPr/>
        <w:t>cellulose.</w:t>
      </w:r>
      <w:r>
        <w:rPr>
          <w:spacing w:val="-1"/>
        </w:rPr>
        <w:t> </w:t>
      </w:r>
      <w:r>
        <w:rPr>
          <w:i/>
        </w:rPr>
        <w:t>Ceska Slovenska Farmacie</w:t>
      </w:r>
      <w:r>
        <w:rPr/>
        <w:t>, </w:t>
      </w:r>
      <w:r>
        <w:rPr>
          <w:b/>
        </w:rPr>
        <w:t>56(6)</w:t>
      </w:r>
      <w:r>
        <w:rPr/>
        <w:t>: 269-275.</w:t>
      </w:r>
    </w:p>
    <w:p>
      <w:pPr>
        <w:spacing w:before="120"/>
        <w:ind w:left="1185" w:right="1256" w:hanging="720"/>
        <w:jc w:val="both"/>
        <w:rPr>
          <w:sz w:val="24"/>
        </w:rPr>
      </w:pPr>
      <w:r>
        <w:rPr>
          <w:sz w:val="24"/>
        </w:rPr>
        <w:t>Nachaegari, S. K. and Bansal, A. K. (2004).Co-processed excipients for solid dosage</w:t>
      </w:r>
      <w:r>
        <w:rPr>
          <w:spacing w:val="1"/>
          <w:sz w:val="24"/>
        </w:rPr>
        <w:t> </w:t>
      </w:r>
      <w:r>
        <w:rPr>
          <w:sz w:val="24"/>
        </w:rPr>
        <w:t>forms.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 </w:t>
      </w:r>
      <w:r>
        <w:rPr>
          <w:b/>
          <w:sz w:val="24"/>
        </w:rPr>
        <w:t>28(1)</w:t>
      </w:r>
      <w:r>
        <w:rPr>
          <w:sz w:val="24"/>
        </w:rPr>
        <w:t>: 52-64.</w:t>
      </w:r>
    </w:p>
    <w:p>
      <w:pPr>
        <w:pStyle w:val="BodyText"/>
        <w:spacing w:before="120"/>
        <w:ind w:left="1185" w:right="1260" w:hanging="720"/>
        <w:jc w:val="both"/>
      </w:pPr>
      <w:r>
        <w:rPr/>
        <w:t>Narayan,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Hancock,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particle</w:t>
      </w:r>
      <w:r>
        <w:rPr>
          <w:spacing w:val="1"/>
        </w:rPr>
        <w:t> </w:t>
      </w:r>
      <w:r>
        <w:rPr/>
        <w:t>properties, mechanical behavior, and surface roughness of some pharmaceutical</w:t>
      </w:r>
      <w:r>
        <w:rPr>
          <w:spacing w:val="1"/>
        </w:rPr>
        <w:t> </w:t>
      </w:r>
      <w:r>
        <w:rPr/>
        <w:t>excipient</w:t>
      </w:r>
      <w:r>
        <w:rPr>
          <w:spacing w:val="-1"/>
        </w:rPr>
        <w:t> </w:t>
      </w:r>
      <w:r>
        <w:rPr/>
        <w:t>compacts.</w:t>
      </w:r>
      <w:r>
        <w:rPr>
          <w:spacing w:val="1"/>
        </w:rPr>
        <w:t> </w:t>
      </w:r>
      <w:r>
        <w:rPr>
          <w:i/>
        </w:rPr>
        <w:t>Material Science</w:t>
      </w:r>
      <w:r>
        <w:rPr>
          <w:i/>
          <w:spacing w:val="-1"/>
        </w:rPr>
        <w:t> </w:t>
      </w:r>
      <w:r>
        <w:rPr>
          <w:i/>
        </w:rPr>
        <w:t>Engineering</w:t>
      </w:r>
      <w:r>
        <w:rPr/>
        <w:t>, </w:t>
      </w:r>
      <w:r>
        <w:rPr>
          <w:b/>
        </w:rPr>
        <w:t>355</w:t>
      </w:r>
      <w:r>
        <w:rPr/>
        <w:t>:24-36.</w:t>
      </w:r>
    </w:p>
    <w:p>
      <w:pPr>
        <w:spacing w:before="120"/>
        <w:ind w:left="1185" w:right="1253" w:hanging="720"/>
        <w:jc w:val="both"/>
        <w:rPr>
          <w:sz w:val="24"/>
        </w:rPr>
      </w:pPr>
      <w:r>
        <w:rPr>
          <w:sz w:val="24"/>
        </w:rPr>
        <w:t>Nokhodchi, A., Rubinstein, M. H., Larhrib, H. and Guyot, J. C. (1995).The effect of</w:t>
      </w:r>
      <w:r>
        <w:rPr>
          <w:spacing w:val="1"/>
          <w:sz w:val="24"/>
        </w:rPr>
        <w:t> </w:t>
      </w:r>
      <w:r>
        <w:rPr>
          <w:sz w:val="24"/>
        </w:rPr>
        <w:t>moisture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ibuprofen</w:t>
      </w:r>
      <w:r>
        <w:rPr>
          <w:spacing w:val="1"/>
          <w:sz w:val="24"/>
        </w:rPr>
        <w:t> </w:t>
      </w:r>
      <w:r>
        <w:rPr>
          <w:sz w:val="24"/>
        </w:rPr>
        <w:t>tablets.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118(2):</w:t>
      </w:r>
      <w:r>
        <w:rPr>
          <w:b/>
          <w:spacing w:val="1"/>
          <w:sz w:val="24"/>
        </w:rPr>
        <w:t> </w:t>
      </w:r>
      <w:r>
        <w:rPr>
          <w:sz w:val="24"/>
        </w:rPr>
        <w:t>191-197.</w:t>
      </w:r>
    </w:p>
    <w:p>
      <w:pPr>
        <w:pStyle w:val="BodyText"/>
        <w:spacing w:before="5"/>
      </w:pPr>
    </w:p>
    <w:p>
      <w:pPr>
        <w:pStyle w:val="BodyText"/>
        <w:ind w:left="1185" w:right="1260" w:hanging="720"/>
        <w:jc w:val="both"/>
      </w:pPr>
      <w:r>
        <w:rPr/>
        <w:t>Nokhodchi,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compression.</w:t>
      </w:r>
      <w:r>
        <w:rPr>
          <w:i/>
        </w:rPr>
        <w:t>Pharamaceutical</w:t>
      </w:r>
      <w:r>
        <w:rPr>
          <w:i/>
          <w:spacing w:val="-1"/>
        </w:rPr>
        <w:t> </w:t>
      </w:r>
      <w:r>
        <w:rPr>
          <w:i/>
        </w:rPr>
        <w:t>Technology</w:t>
      </w:r>
      <w:r>
        <w:rPr/>
        <w:t>, (January), 46–66.</w:t>
      </w:r>
    </w:p>
    <w:p>
      <w:pPr>
        <w:pStyle w:val="BodyText"/>
        <w:spacing w:before="5"/>
      </w:pPr>
    </w:p>
    <w:p>
      <w:pPr>
        <w:pStyle w:val="BodyText"/>
        <w:spacing w:before="1"/>
        <w:ind w:left="1185" w:right="1260" w:hanging="720"/>
        <w:jc w:val="both"/>
      </w:pPr>
      <w:r>
        <w:rPr/>
        <w:t>Nwanekezi,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Owuamunam,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Ihediohanma,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Iwouna,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(2000).Functional,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sorption</w:t>
      </w:r>
      <w:r>
        <w:rPr>
          <w:spacing w:val="1"/>
        </w:rPr>
        <w:t> </w:t>
      </w:r>
      <w:r>
        <w:rPr/>
        <w:t>isotherm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cocoyam</w:t>
      </w:r>
      <w:r>
        <w:rPr>
          <w:spacing w:val="1"/>
        </w:rPr>
        <w:t> </w:t>
      </w:r>
      <w:r>
        <w:rPr/>
        <w:t>cormel</w:t>
      </w:r>
      <w:r>
        <w:rPr>
          <w:spacing w:val="1"/>
        </w:rPr>
        <w:t> </w:t>
      </w:r>
      <w:r>
        <w:rPr/>
        <w:t>flours.</w:t>
      </w:r>
      <w:r>
        <w:rPr>
          <w:i/>
        </w:rPr>
        <w:t>Pakistan</w:t>
      </w:r>
      <w:r>
        <w:rPr>
          <w:i/>
          <w:spacing w:val="-1"/>
        </w:rPr>
        <w:t> </w:t>
      </w:r>
      <w:r>
        <w:rPr>
          <w:i/>
        </w:rPr>
        <w:t>Journal of Nutrition</w:t>
      </w:r>
      <w:r>
        <w:rPr/>
        <w:t>, </w:t>
      </w:r>
      <w:r>
        <w:rPr>
          <w:b/>
        </w:rPr>
        <w:t>9:</w:t>
      </w:r>
      <w:r>
        <w:rPr>
          <w:b/>
          <w:spacing w:val="-1"/>
        </w:rPr>
        <w:t> </w:t>
      </w:r>
      <w:r>
        <w:rPr/>
        <w:t>973–979.</w:t>
      </w:r>
    </w:p>
    <w:p>
      <w:pPr>
        <w:pStyle w:val="BodyText"/>
        <w:spacing w:before="4"/>
      </w:pPr>
    </w:p>
    <w:p>
      <w:pPr>
        <w:spacing w:line="240" w:lineRule="auto" w:before="0"/>
        <w:ind w:left="1185" w:right="1253" w:hanging="720"/>
        <w:jc w:val="both"/>
        <w:rPr>
          <w:sz w:val="24"/>
        </w:rPr>
      </w:pPr>
      <w:r>
        <w:rPr>
          <w:sz w:val="24"/>
        </w:rPr>
        <w:t>Odeku, O. A. and Itiola, O. A. (2003).Effects of interacting variables on the tensile</w:t>
      </w:r>
      <w:r>
        <w:rPr>
          <w:spacing w:val="1"/>
          <w:sz w:val="24"/>
        </w:rPr>
        <w:t> </w:t>
      </w:r>
      <w:r>
        <w:rPr>
          <w:sz w:val="24"/>
        </w:rPr>
        <w:t>strength and the release properties of paracetamol tablets.</w:t>
      </w:r>
      <w:r>
        <w:rPr>
          <w:i/>
          <w:sz w:val="24"/>
        </w:rPr>
        <w:t>Tropical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</w:t>
      </w:r>
      <w:r>
        <w:rPr>
          <w:b/>
          <w:sz w:val="24"/>
        </w:rPr>
        <w:t>2(1)</w:t>
      </w:r>
      <w:r>
        <w:rPr>
          <w:sz w:val="24"/>
        </w:rPr>
        <w:t>: 147–153.</w:t>
      </w:r>
    </w:p>
    <w:p>
      <w:pPr>
        <w:pStyle w:val="BodyText"/>
        <w:spacing w:before="3"/>
      </w:pPr>
    </w:p>
    <w:p>
      <w:pPr>
        <w:spacing w:before="0"/>
        <w:ind w:left="945" w:right="1254" w:hanging="480"/>
        <w:jc w:val="left"/>
        <w:rPr>
          <w:sz w:val="24"/>
        </w:rPr>
      </w:pPr>
      <w:r>
        <w:rPr>
          <w:sz w:val="24"/>
        </w:rPr>
        <w:t>Odeku,</w:t>
      </w:r>
      <w:r>
        <w:rPr>
          <w:spacing w:val="13"/>
          <w:sz w:val="24"/>
        </w:rPr>
        <w:t> </w:t>
      </w:r>
      <w:r>
        <w:rPr>
          <w:sz w:val="24"/>
        </w:rPr>
        <w:t>O.</w:t>
      </w:r>
      <w:r>
        <w:rPr>
          <w:spacing w:val="12"/>
          <w:sz w:val="24"/>
        </w:rPr>
        <w:t> </w:t>
      </w:r>
      <w:r>
        <w:rPr>
          <w:sz w:val="24"/>
        </w:rPr>
        <w:t>A.</w:t>
      </w:r>
      <w:r>
        <w:rPr>
          <w:spacing w:val="12"/>
          <w:sz w:val="24"/>
        </w:rPr>
        <w:t> </w:t>
      </w:r>
      <w:r>
        <w:rPr>
          <w:sz w:val="24"/>
        </w:rPr>
        <w:t>(2007).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compaction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pharmaceutical</w:t>
      </w:r>
      <w:r>
        <w:rPr>
          <w:spacing w:val="13"/>
          <w:sz w:val="24"/>
        </w:rPr>
        <w:t> </w:t>
      </w:r>
      <w:r>
        <w:rPr>
          <w:sz w:val="24"/>
        </w:rPr>
        <w:t>powders.</w:t>
      </w:r>
      <w:r>
        <w:rPr>
          <w:i/>
          <w:sz w:val="24"/>
        </w:rPr>
        <w:t>Pharmaceutical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Information,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Articles, Latest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Reviews</w:t>
      </w:r>
      <w:r>
        <w:rPr>
          <w:sz w:val="24"/>
        </w:rPr>
        <w:t>, </w:t>
      </w:r>
      <w:r>
        <w:rPr>
          <w:b/>
          <w:sz w:val="24"/>
        </w:rPr>
        <w:t>5(2)</w:t>
      </w:r>
      <w:r>
        <w:rPr>
          <w:sz w:val="24"/>
        </w:rPr>
        <w:t>: 1-17</w:t>
      </w:r>
    </w:p>
    <w:p>
      <w:pPr>
        <w:pStyle w:val="BodyText"/>
        <w:spacing w:before="5"/>
      </w:pPr>
    </w:p>
    <w:p>
      <w:pPr>
        <w:spacing w:before="0"/>
        <w:ind w:left="1185" w:right="1261" w:hanging="720"/>
        <w:jc w:val="both"/>
        <w:rPr>
          <w:sz w:val="24"/>
        </w:rPr>
      </w:pPr>
      <w:r>
        <w:rPr>
          <w:sz w:val="24"/>
        </w:rPr>
        <w:t>Odeku,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Itiola,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(2007).Compaction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starch.</w:t>
      </w:r>
      <w:r>
        <w:rPr>
          <w:i/>
          <w:sz w:val="24"/>
        </w:rPr>
        <w:t>Iranian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Pharmaceutical 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6(1)</w:t>
      </w:r>
      <w:r>
        <w:rPr>
          <w:sz w:val="24"/>
        </w:rPr>
        <w:t>: 17-23.</w:t>
      </w:r>
    </w:p>
    <w:p>
      <w:pPr>
        <w:spacing w:line="240" w:lineRule="auto" w:before="121"/>
        <w:ind w:left="1185" w:right="1252" w:hanging="720"/>
        <w:jc w:val="both"/>
        <w:rPr>
          <w:sz w:val="24"/>
        </w:rPr>
      </w:pPr>
      <w:r>
        <w:rPr>
          <w:sz w:val="24"/>
        </w:rPr>
        <w:t>Odeku,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Schmid,</w:t>
      </w:r>
      <w:r>
        <w:rPr>
          <w:spacing w:val="1"/>
          <w:sz w:val="24"/>
        </w:rPr>
        <w:t> </w:t>
      </w:r>
      <w:r>
        <w:rPr>
          <w:sz w:val="24"/>
        </w:rPr>
        <w:t>W.,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Picker-Freyer,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tablet</w:t>
      </w:r>
      <w:r>
        <w:rPr>
          <w:spacing w:val="1"/>
          <w:sz w:val="24"/>
        </w:rPr>
        <w:t> </w:t>
      </w:r>
      <w:r>
        <w:rPr>
          <w:sz w:val="24"/>
        </w:rPr>
        <w:t>properties of pregelatinized (thermally modified) Dioscorea starches.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J</w:t>
      </w:r>
      <w:r>
        <w:rPr>
          <w:i/>
          <w:sz w:val="24"/>
        </w:rPr>
        <w:t>ournal of Pharma</w:t>
      </w:r>
      <w:r>
        <w:rPr>
          <w:i/>
          <w:spacing w:val="-1"/>
          <w:sz w:val="24"/>
        </w:rPr>
        <w:t>ce</w:t>
      </w:r>
      <w:r>
        <w:rPr>
          <w:i/>
          <w:sz w:val="24"/>
        </w:rPr>
        <w:t>uti</w:t>
      </w:r>
      <w:r>
        <w:rPr>
          <w:i/>
          <w:spacing w:val="1"/>
          <w:sz w:val="24"/>
        </w:rPr>
        <w:t>c</w:t>
      </w:r>
      <w:r>
        <w:rPr>
          <w:i/>
          <w:w w:val="99"/>
          <w:sz w:val="24"/>
        </w:rPr>
        <w:t>s</w:t>
      </w:r>
      <w:r>
        <w:rPr>
          <w:i/>
          <w:sz w:val="24"/>
        </w:rPr>
        <w:t> and Biopharma</w:t>
      </w:r>
      <w:r>
        <w:rPr>
          <w:i/>
          <w:spacing w:val="-1"/>
          <w:sz w:val="24"/>
        </w:rPr>
        <w:t>ce</w:t>
      </w:r>
      <w:r>
        <w:rPr>
          <w:i/>
          <w:sz w:val="24"/>
        </w:rPr>
        <w:t>uti</w:t>
      </w:r>
      <w:r>
        <w:rPr>
          <w:i/>
          <w:spacing w:val="-1"/>
          <w:sz w:val="24"/>
        </w:rPr>
        <w:t>c</w:t>
      </w:r>
      <w:r>
        <w:rPr>
          <w:i/>
          <w:spacing w:val="4"/>
          <w:w w:val="99"/>
          <w:sz w:val="24"/>
        </w:rPr>
        <w:t>s</w:t>
      </w:r>
      <w:r>
        <w:rPr>
          <w:i/>
          <w:w w:val="388"/>
          <w:sz w:val="24"/>
        </w:rPr>
        <w:t> </w:t>
      </w:r>
      <w:r>
        <w:rPr>
          <w:sz w:val="24"/>
        </w:rPr>
        <w:t>, </w:t>
      </w:r>
      <w:r>
        <w:rPr>
          <w:b/>
          <w:sz w:val="24"/>
        </w:rPr>
        <w:t>70(1</w:t>
      </w:r>
      <w:r>
        <w:rPr>
          <w:b/>
          <w:spacing w:val="-2"/>
          <w:sz w:val="24"/>
        </w:rPr>
        <w:t>)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sz w:val="24"/>
        </w:rPr>
        <w:t>357–71.</w:t>
      </w:r>
    </w:p>
    <w:p>
      <w:pPr>
        <w:pStyle w:val="BodyText"/>
        <w:spacing w:before="139"/>
        <w:ind w:left="1185" w:right="1254" w:hanging="720"/>
        <w:jc w:val="both"/>
      </w:pPr>
      <w:r>
        <w:rPr/>
        <w:t>Odeku, O. A.and Akinwande, B. L. (2012). Effect of the mode of incorporation on the</w:t>
      </w:r>
      <w:r>
        <w:rPr>
          <w:spacing w:val="1"/>
        </w:rPr>
        <w:t> </w:t>
      </w:r>
      <w:r>
        <w:rPr/>
        <w:t>disintegrant properties of acid modified water and white yam starches. </w:t>
      </w:r>
      <w:r>
        <w:rPr>
          <w:i/>
        </w:rPr>
        <w:t>Saudi</w:t>
      </w:r>
      <w:r>
        <w:rPr>
          <w:i/>
          <w:spacing w:val="1"/>
        </w:rPr>
        <w:t> </w:t>
      </w:r>
      <w:r>
        <w:rPr>
          <w:i/>
        </w:rPr>
        <w:t>Pharmaceutical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,</w:t>
      </w:r>
      <w:r>
        <w:rPr>
          <w:spacing w:val="2"/>
        </w:rPr>
        <w:t> </w:t>
      </w:r>
      <w:r>
        <w:rPr>
          <w:b/>
        </w:rPr>
        <w:t>20(2):</w:t>
      </w:r>
      <w:r>
        <w:rPr>
          <w:b/>
          <w:spacing w:val="-1"/>
        </w:rPr>
        <w:t> </w:t>
      </w:r>
      <w:r>
        <w:rPr/>
        <w:t>171–175.</w:t>
      </w:r>
    </w:p>
    <w:p>
      <w:pPr>
        <w:pStyle w:val="BodyText"/>
        <w:spacing w:before="7"/>
      </w:pPr>
    </w:p>
    <w:p>
      <w:pPr>
        <w:pStyle w:val="BodyText"/>
        <w:spacing w:line="237" w:lineRule="auto"/>
        <w:ind w:left="1185" w:right="1258" w:hanging="720"/>
        <w:jc w:val="both"/>
      </w:pPr>
      <w:r>
        <w:rPr/>
        <w:t>Odeku, O. A. (2013). Potentials of tropical starches as pharmaceutical excipients: A</w:t>
      </w:r>
      <w:r>
        <w:rPr>
          <w:spacing w:val="1"/>
        </w:rPr>
        <w:t> </w:t>
      </w:r>
      <w:r>
        <w:rPr/>
        <w:t>review.</w:t>
      </w:r>
      <w:r>
        <w:rPr>
          <w:spacing w:val="-1"/>
        </w:rPr>
        <w:t> </w:t>
      </w:r>
      <w:r>
        <w:rPr>
          <w:i/>
        </w:rPr>
        <w:t>Starch/Staerke</w:t>
      </w:r>
      <w:r>
        <w:rPr/>
        <w:t>, </w:t>
      </w:r>
      <w:r>
        <w:rPr>
          <w:b/>
        </w:rPr>
        <w:t>65(1-2)</w:t>
      </w:r>
      <w:r>
        <w:rPr/>
        <w:t>: 89–106.</w:t>
      </w:r>
    </w:p>
    <w:p>
      <w:pPr>
        <w:spacing w:after="0" w:line="237" w:lineRule="auto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before="72"/>
        <w:ind w:left="1185" w:right="1251" w:hanging="720"/>
        <w:jc w:val="both"/>
      </w:pPr>
      <w:r>
        <w:rPr/>
        <w:t>Ogunjimi, A. T. and Alebiowu, G. (2013). Flow and consolidation properties of neem</w:t>
      </w:r>
      <w:r>
        <w:rPr>
          <w:spacing w:val="1"/>
        </w:rPr>
        <w:t> </w:t>
      </w:r>
      <w:r>
        <w:rPr/>
        <w:t>gum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excipients.</w:t>
      </w:r>
      <w:r>
        <w:rPr>
          <w:spacing w:val="1"/>
        </w:rPr>
        <w:t> </w:t>
      </w:r>
      <w:r>
        <w:rPr>
          <w:i/>
        </w:rPr>
        <w:t>Powder</w:t>
      </w:r>
      <w:r>
        <w:rPr>
          <w:i/>
          <w:spacing w:val="60"/>
        </w:rPr>
        <w:t> </w:t>
      </w:r>
      <w:r>
        <w:rPr>
          <w:i/>
        </w:rPr>
        <w:t>Technology</w:t>
      </w:r>
      <w:r>
        <w:rPr/>
        <w:t>,</w:t>
      </w:r>
      <w:r>
        <w:rPr>
          <w:spacing w:val="1"/>
        </w:rPr>
        <w:t> </w:t>
      </w:r>
      <w:r>
        <w:rPr/>
        <w:t>246: 187-192.</w:t>
      </w:r>
    </w:p>
    <w:p>
      <w:pPr>
        <w:pStyle w:val="BodyText"/>
        <w:spacing w:before="120"/>
        <w:ind w:left="1185" w:right="1254" w:hanging="720"/>
        <w:jc w:val="both"/>
      </w:pPr>
      <w:r>
        <w:rPr/>
        <w:t>Okoye, E. I., Onyekweli, A. O. and Kunle, O. O.(2014). Lacagpregs- a group of novel</w:t>
      </w:r>
      <w:r>
        <w:rPr>
          <w:spacing w:val="1"/>
        </w:rPr>
        <w:t> </w:t>
      </w:r>
      <w:r>
        <w:rPr/>
        <w:t>multifunctional excipients: Development and solid state characterization. </w:t>
      </w:r>
      <w:r>
        <w:rPr>
          <w:i/>
        </w:rPr>
        <w:t>West</w:t>
      </w:r>
      <w:r>
        <w:rPr>
          <w:i/>
          <w:spacing w:val="1"/>
        </w:rPr>
        <w:t> </w:t>
      </w:r>
      <w:r>
        <w:rPr>
          <w:i/>
        </w:rPr>
        <w:t>African</w:t>
      </w:r>
      <w:r>
        <w:rPr>
          <w:i/>
          <w:spacing w:val="-1"/>
        </w:rPr>
        <w:t> </w:t>
      </w:r>
      <w:r>
        <w:rPr>
          <w:i/>
        </w:rPr>
        <w:t>Journal of Pharmacy</w:t>
      </w:r>
      <w:r>
        <w:rPr/>
        <w:t>, </w:t>
      </w:r>
      <w:r>
        <w:rPr>
          <w:b/>
        </w:rPr>
        <w:t>25(2)</w:t>
      </w:r>
      <w:r>
        <w:rPr/>
        <w:t>: 54–75.</w:t>
      </w:r>
    </w:p>
    <w:p>
      <w:pPr>
        <w:spacing w:line="240" w:lineRule="auto" w:before="120"/>
        <w:ind w:left="1185" w:right="1253" w:hanging="720"/>
        <w:jc w:val="both"/>
        <w:rPr>
          <w:sz w:val="24"/>
        </w:rPr>
      </w:pPr>
      <w:r>
        <w:rPr>
          <w:sz w:val="24"/>
        </w:rPr>
        <w:t>Olowosulu, A., Oyi, A.,</w:t>
      </w:r>
      <w:r>
        <w:rPr>
          <w:spacing w:val="1"/>
          <w:sz w:val="24"/>
        </w:rPr>
        <w:t> </w:t>
      </w:r>
      <w:r>
        <w:rPr>
          <w:sz w:val="24"/>
        </w:rPr>
        <w:t>Isah, A. B.,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Ibrahim, M. A. (2011). Formulation and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novel</w:t>
      </w:r>
      <w:r>
        <w:rPr>
          <w:spacing w:val="59"/>
          <w:sz w:val="24"/>
        </w:rPr>
        <w:t> </w:t>
      </w:r>
      <w:r>
        <w:rPr>
          <w:sz w:val="24"/>
        </w:rPr>
        <w:t>coprocessed</w:t>
      </w:r>
      <w:r>
        <w:rPr>
          <w:spacing w:val="58"/>
          <w:sz w:val="24"/>
        </w:rPr>
        <w:t> </w:t>
      </w:r>
      <w:r>
        <w:rPr>
          <w:sz w:val="24"/>
        </w:rPr>
        <w:t>excipients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maize</w:t>
      </w:r>
      <w:r>
        <w:rPr>
          <w:spacing w:val="57"/>
          <w:sz w:val="24"/>
        </w:rPr>
        <w:t> </w:t>
      </w:r>
      <w:r>
        <w:rPr>
          <w:sz w:val="24"/>
        </w:rPr>
        <w:t>starch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acacia</w:t>
      </w:r>
      <w:r>
        <w:rPr>
          <w:spacing w:val="58"/>
          <w:sz w:val="24"/>
        </w:rPr>
        <w:t> </w:t>
      </w:r>
      <w:r>
        <w:rPr>
          <w:sz w:val="24"/>
        </w:rPr>
        <w:t>gum</w:t>
      </w:r>
      <w:r>
        <w:rPr>
          <w:spacing w:val="-57"/>
          <w:sz w:val="24"/>
        </w:rPr>
        <w:t> </w:t>
      </w:r>
      <w:r>
        <w:rPr>
          <w:sz w:val="24"/>
        </w:rPr>
        <w:t>(StarAc)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direct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1"/>
          <w:sz w:val="24"/>
        </w:rPr>
        <w:t> </w:t>
      </w:r>
      <w:r>
        <w:rPr>
          <w:sz w:val="24"/>
        </w:rPr>
        <w:t>tabletting.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and Innovation</w:t>
      </w:r>
      <w:r>
        <w:rPr>
          <w:sz w:val="24"/>
        </w:rPr>
        <w:t>, </w:t>
      </w:r>
      <w:r>
        <w:rPr>
          <w:b/>
          <w:sz w:val="24"/>
        </w:rPr>
        <w:t>2</w:t>
      </w:r>
      <w:r>
        <w:rPr>
          <w:sz w:val="24"/>
        </w:rPr>
        <w:t>: 39–45.</w:t>
      </w:r>
    </w:p>
    <w:p>
      <w:pPr>
        <w:pStyle w:val="BodyText"/>
        <w:spacing w:before="5"/>
      </w:pPr>
    </w:p>
    <w:p>
      <w:pPr>
        <w:spacing w:before="0"/>
        <w:ind w:left="1185" w:right="1254" w:hanging="720"/>
        <w:jc w:val="both"/>
        <w:rPr>
          <w:sz w:val="24"/>
        </w:rPr>
      </w:pPr>
      <w:r>
        <w:rPr>
          <w:sz w:val="24"/>
        </w:rPr>
        <w:t>Patel,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Kaushal,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Bansal,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1"/>
          <w:sz w:val="24"/>
        </w:rPr>
        <w:t> </w:t>
      </w:r>
      <w:r>
        <w:rPr>
          <w:sz w:val="24"/>
        </w:rPr>
        <w:t>physics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formulation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tablets.</w:t>
      </w:r>
      <w:r>
        <w:rPr>
          <w:spacing w:val="1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Therapeutic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Carrier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Systems</w:t>
      </w:r>
      <w:r>
        <w:rPr>
          <w:sz w:val="24"/>
        </w:rPr>
        <w:t>, </w:t>
      </w:r>
      <w:r>
        <w:rPr>
          <w:b/>
          <w:sz w:val="24"/>
        </w:rPr>
        <w:t>23(1)</w:t>
      </w:r>
      <w:r>
        <w:rPr>
          <w:sz w:val="24"/>
        </w:rPr>
        <w:t>: 1–65.</w:t>
      </w:r>
    </w:p>
    <w:p>
      <w:pPr>
        <w:pStyle w:val="BodyText"/>
        <w:spacing w:before="3"/>
      </w:pPr>
    </w:p>
    <w:p>
      <w:pPr>
        <w:spacing w:line="240" w:lineRule="auto" w:before="0"/>
        <w:ind w:left="1185" w:right="1256" w:hanging="720"/>
        <w:jc w:val="both"/>
        <w:rPr>
          <w:sz w:val="24"/>
        </w:rPr>
      </w:pPr>
      <w:r>
        <w:rPr>
          <w:sz w:val="24"/>
        </w:rPr>
        <w:t>Patel, S., Kaushal, A. M., and Bansal, A. K. (2008). Compaction behavior of roller</w:t>
      </w:r>
      <w:r>
        <w:rPr>
          <w:spacing w:val="1"/>
          <w:sz w:val="24"/>
        </w:rPr>
        <w:t> </w:t>
      </w:r>
      <w:r>
        <w:rPr>
          <w:sz w:val="24"/>
        </w:rPr>
        <w:t>compacted</w:t>
      </w:r>
      <w:r>
        <w:rPr>
          <w:spacing w:val="1"/>
          <w:sz w:val="24"/>
        </w:rPr>
        <w:t> </w:t>
      </w:r>
      <w:r>
        <w:rPr>
          <w:sz w:val="24"/>
        </w:rPr>
        <w:t>ibuprofen.</w:t>
      </w:r>
      <w:r>
        <w:rPr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Biopharmaceutics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69(2)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743–749.</w:t>
      </w:r>
    </w:p>
    <w:p>
      <w:pPr>
        <w:pStyle w:val="BodyText"/>
        <w:spacing w:before="139"/>
        <w:ind w:left="465"/>
        <w:jc w:val="both"/>
      </w:pPr>
      <w:r>
        <w:rPr/>
        <w:t>Patel,</w:t>
      </w:r>
      <w:r>
        <w:rPr>
          <w:spacing w:val="43"/>
        </w:rPr>
        <w:t> </w:t>
      </w:r>
      <w:r>
        <w:rPr/>
        <w:t>S.S.</w:t>
      </w:r>
      <w:r>
        <w:rPr>
          <w:spacing w:val="43"/>
        </w:rPr>
        <w:t> </w:t>
      </w:r>
      <w:r>
        <w:rPr/>
        <w:t>and</w:t>
      </w:r>
      <w:r>
        <w:rPr>
          <w:spacing w:val="44"/>
        </w:rPr>
        <w:t> </w:t>
      </w:r>
      <w:r>
        <w:rPr/>
        <w:t>Patel,</w:t>
      </w:r>
      <w:r>
        <w:rPr>
          <w:spacing w:val="43"/>
        </w:rPr>
        <w:t> </w:t>
      </w:r>
      <w:r>
        <w:rPr/>
        <w:t>N.M.</w:t>
      </w:r>
      <w:r>
        <w:rPr>
          <w:spacing w:val="43"/>
        </w:rPr>
        <w:t> </w:t>
      </w:r>
      <w:r>
        <w:rPr/>
        <w:t>(2007).</w:t>
      </w:r>
      <w:r>
        <w:rPr>
          <w:spacing w:val="43"/>
        </w:rPr>
        <w:t> </w:t>
      </w:r>
      <w:r>
        <w:rPr/>
        <w:t>Recent</w:t>
      </w:r>
      <w:r>
        <w:rPr>
          <w:spacing w:val="43"/>
        </w:rPr>
        <w:t> </w:t>
      </w:r>
      <w:r>
        <w:rPr/>
        <w:t>trends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direct</w:t>
      </w:r>
      <w:r>
        <w:rPr>
          <w:spacing w:val="43"/>
        </w:rPr>
        <w:t> </w:t>
      </w:r>
      <w:r>
        <w:rPr/>
        <w:t>compression</w:t>
      </w:r>
      <w:r>
        <w:rPr>
          <w:spacing w:val="43"/>
        </w:rPr>
        <w:t> </w:t>
      </w:r>
      <w:r>
        <w:rPr/>
        <w:t>technology.</w:t>
      </w:r>
    </w:p>
    <w:p>
      <w:pPr>
        <w:spacing w:before="0"/>
        <w:ind w:left="1185" w:right="0" w:firstLine="0"/>
        <w:jc w:val="both"/>
        <w:rPr>
          <w:sz w:val="24"/>
        </w:rPr>
      </w:pPr>
      <w:r>
        <w:rPr>
          <w:i/>
          <w:sz w:val="24"/>
        </w:rPr>
        <w:t>Pharma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Buzz</w:t>
      </w:r>
      <w:r>
        <w:rPr>
          <w:sz w:val="24"/>
        </w:rPr>
        <w:t>, </w:t>
      </w:r>
      <w:r>
        <w:rPr>
          <w:b/>
          <w:sz w:val="24"/>
        </w:rPr>
        <w:t>2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24-34.</w:t>
      </w:r>
    </w:p>
    <w:p>
      <w:pPr>
        <w:pStyle w:val="BodyText"/>
        <w:spacing w:before="121"/>
        <w:ind w:left="1185" w:right="1253" w:hanging="720"/>
        <w:jc w:val="both"/>
      </w:pPr>
      <w:r>
        <w:rPr/>
        <w:t>Pawar, Y. B., Purohit, H., Valicherla, G. R., Munjal, B., Lale, S. V., Patel, S. B. and</w:t>
      </w:r>
      <w:r>
        <w:rPr>
          <w:spacing w:val="1"/>
        </w:rPr>
        <w:t> </w:t>
      </w:r>
      <w:r>
        <w:rPr/>
        <w:t>Bansal,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Cucurmin:</w:t>
      </w:r>
      <w:r>
        <w:rPr>
          <w:spacing w:val="1"/>
        </w:rPr>
        <w:t> </w:t>
      </w:r>
      <w:r>
        <w:rPr/>
        <w:t>Development and optimization by design of experiments approach. </w:t>
      </w:r>
      <w:r>
        <w:rPr>
          <w:i/>
        </w:rPr>
        <w:t>International</w:t>
      </w:r>
      <w:r>
        <w:rPr>
          <w:i/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Pharmaceutics</w:t>
      </w:r>
      <w:r>
        <w:rPr/>
        <w:t>, </w:t>
      </w:r>
      <w:r>
        <w:rPr>
          <w:b/>
        </w:rPr>
        <w:t>436</w:t>
      </w:r>
      <w:r>
        <w:rPr/>
        <w:t>: 617-623.</w:t>
      </w:r>
    </w:p>
    <w:p>
      <w:pPr>
        <w:spacing w:before="120"/>
        <w:ind w:left="465" w:right="0" w:firstLine="0"/>
        <w:jc w:val="both"/>
        <w:rPr>
          <w:sz w:val="24"/>
        </w:rPr>
      </w:pPr>
      <w:r>
        <w:rPr>
          <w:sz w:val="24"/>
        </w:rPr>
        <w:t>PB</w:t>
      </w:r>
      <w:r>
        <w:rPr>
          <w:spacing w:val="37"/>
          <w:sz w:val="24"/>
        </w:rPr>
        <w:t> </w:t>
      </w:r>
      <w:r>
        <w:rPr>
          <w:sz w:val="24"/>
        </w:rPr>
        <w:t>Gelatins.</w:t>
      </w:r>
      <w:r>
        <w:rPr>
          <w:spacing w:val="40"/>
          <w:sz w:val="24"/>
        </w:rPr>
        <w:t> </w:t>
      </w:r>
      <w:r>
        <w:rPr>
          <w:sz w:val="24"/>
        </w:rPr>
        <w:t>(2009).</w:t>
      </w:r>
      <w:r>
        <w:rPr>
          <w:spacing w:val="41"/>
          <w:sz w:val="24"/>
        </w:rPr>
        <w:t> </w:t>
      </w:r>
      <w:r>
        <w:rPr>
          <w:sz w:val="24"/>
        </w:rPr>
        <w:t>G</w:t>
      </w:r>
      <w:r>
        <w:rPr>
          <w:spacing w:val="42"/>
          <w:sz w:val="24"/>
        </w:rPr>
        <w:t> </w:t>
      </w:r>
      <w:r>
        <w:rPr>
          <w:sz w:val="24"/>
        </w:rPr>
        <w:t>e</w:t>
      </w:r>
      <w:r>
        <w:rPr>
          <w:spacing w:val="38"/>
          <w:sz w:val="24"/>
        </w:rPr>
        <w:t> </w:t>
      </w:r>
      <w:r>
        <w:rPr>
          <w:sz w:val="24"/>
        </w:rPr>
        <w:t>l</w:t>
      </w:r>
      <w:r>
        <w:rPr>
          <w:spacing w:val="41"/>
          <w:sz w:val="24"/>
        </w:rPr>
        <w:t> </w:t>
      </w:r>
      <w:r>
        <w:rPr>
          <w:sz w:val="24"/>
        </w:rPr>
        <w:t>at</w:t>
      </w:r>
      <w:r>
        <w:rPr>
          <w:spacing w:val="40"/>
          <w:sz w:val="24"/>
        </w:rPr>
        <w:t> </w:t>
      </w:r>
      <w:r>
        <w:rPr>
          <w:sz w:val="24"/>
        </w:rPr>
        <w:t>i</w:t>
      </w:r>
      <w:r>
        <w:rPr>
          <w:spacing w:val="41"/>
          <w:sz w:val="24"/>
        </w:rPr>
        <w:t> </w:t>
      </w:r>
      <w:r>
        <w:rPr>
          <w:sz w:val="24"/>
        </w:rPr>
        <w:t>n</w:t>
      </w:r>
      <w:r>
        <w:rPr>
          <w:spacing w:val="39"/>
          <w:sz w:val="24"/>
        </w:rPr>
        <w:t> </w:t>
      </w:r>
      <w:r>
        <w:rPr>
          <w:sz w:val="24"/>
        </w:rPr>
        <w:t>technical</w:t>
      </w:r>
      <w:r>
        <w:rPr>
          <w:spacing w:val="41"/>
          <w:sz w:val="24"/>
        </w:rPr>
        <w:t> </w:t>
      </w:r>
      <w:r>
        <w:rPr>
          <w:sz w:val="24"/>
        </w:rPr>
        <w:t>information.</w:t>
      </w:r>
      <w:r>
        <w:rPr>
          <w:spacing w:val="46"/>
          <w:sz w:val="24"/>
        </w:rPr>
        <w:t> </w:t>
      </w:r>
      <w:r>
        <w:rPr>
          <w:i/>
          <w:sz w:val="24"/>
        </w:rPr>
        <w:t>Technical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Information</w:t>
      </w:r>
      <w:r>
        <w:rPr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1–8.</w:t>
      </w:r>
    </w:p>
    <w:p>
      <w:pPr>
        <w:pStyle w:val="BodyText"/>
        <w:spacing w:before="2"/>
        <w:ind w:left="1185"/>
        <w:jc w:val="both"/>
      </w:pPr>
      <w:r>
        <w:rPr/>
        <w:t>Retrieved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hyperlink r:id="rId220">
        <w:r>
          <w:rPr/>
          <w:t>www.pbgelatins.com</w:t>
        </w:r>
        <w:r>
          <w:rPr>
            <w:spacing w:val="1"/>
          </w:rPr>
          <w:t> </w:t>
        </w:r>
      </w:hyperlink>
      <w:r>
        <w:rPr/>
        <w:t>-</w:t>
      </w:r>
      <w:r>
        <w:rPr>
          <w:spacing w:val="-2"/>
        </w:rPr>
        <w:t> </w:t>
      </w:r>
      <w:hyperlink r:id="rId221">
        <w:r>
          <w:rPr/>
          <w:t>www.gelatin.com</w:t>
        </w:r>
        <w:r>
          <w:rPr>
            <w:spacing w:val="1"/>
          </w:rPr>
          <w:t> </w:t>
        </w:r>
      </w:hyperlink>
      <w:r>
        <w:rPr/>
        <w:t>on</w:t>
      </w:r>
      <w:r>
        <w:rPr>
          <w:spacing w:val="-1"/>
        </w:rPr>
        <w:t> </w:t>
      </w:r>
      <w:r>
        <w:rPr/>
        <w:t>19/06/2014.</w:t>
      </w:r>
    </w:p>
    <w:p>
      <w:pPr>
        <w:spacing w:before="140"/>
        <w:ind w:left="1185" w:right="1251" w:hanging="720"/>
        <w:jc w:val="both"/>
        <w:rPr>
          <w:sz w:val="24"/>
        </w:rPr>
      </w:pPr>
      <w:r>
        <w:rPr>
          <w:sz w:val="24"/>
        </w:rPr>
        <w:t>Pharmaceutical Excipients (1992). In: Crommelin,</w:t>
      </w:r>
      <w:r>
        <w:rPr>
          <w:spacing w:val="61"/>
          <w:sz w:val="24"/>
        </w:rPr>
        <w:t> </w:t>
      </w:r>
      <w:r>
        <w:rPr>
          <w:sz w:val="24"/>
        </w:rPr>
        <w:t>D.J.A. and Midha, K. (Eds.) </w:t>
      </w:r>
      <w:r>
        <w:rPr>
          <w:i/>
          <w:sz w:val="24"/>
        </w:rPr>
        <w:t>Topics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1"/>
          <w:sz w:val="24"/>
        </w:rPr>
        <w:t> </w:t>
      </w:r>
      <w:r>
        <w:rPr>
          <w:sz w:val="24"/>
        </w:rPr>
        <w:t>Medpharm,</w:t>
      </w:r>
      <w:r>
        <w:rPr>
          <w:spacing w:val="-1"/>
          <w:sz w:val="24"/>
        </w:rPr>
        <w:t> </w:t>
      </w:r>
      <w:r>
        <w:rPr>
          <w:sz w:val="24"/>
        </w:rPr>
        <w:t>Stuttgart,</w:t>
      </w:r>
      <w:r>
        <w:rPr>
          <w:spacing w:val="14"/>
          <w:sz w:val="24"/>
        </w:rPr>
        <w:t> </w:t>
      </w:r>
      <w:r>
        <w:rPr>
          <w:sz w:val="24"/>
        </w:rPr>
        <w:t>Germany,</w:t>
      </w:r>
      <w:r>
        <w:rPr>
          <w:spacing w:val="-1"/>
          <w:sz w:val="24"/>
        </w:rPr>
        <w:t> </w:t>
      </w:r>
      <w:r>
        <w:rPr>
          <w:sz w:val="24"/>
        </w:rPr>
        <w:t>pp. 205–223.</w:t>
      </w:r>
    </w:p>
    <w:p>
      <w:pPr>
        <w:pStyle w:val="BodyText"/>
        <w:spacing w:before="120"/>
        <w:ind w:left="1185" w:right="1253" w:hanging="720"/>
        <w:jc w:val="both"/>
      </w:pPr>
      <w:r>
        <w:rPr/>
        <w:t>Prochaska,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Konowal,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Sulej-Chojnacka,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Lewandowicz,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(2009).Physicochemical properties of cross-linked and acetylated starches and</w:t>
      </w:r>
      <w:r>
        <w:rPr>
          <w:spacing w:val="1"/>
        </w:rPr>
        <w:t> </w:t>
      </w:r>
      <w:r>
        <w:rPr/>
        <w:t>products of their hydrolysis in</w:t>
      </w:r>
      <w:r>
        <w:rPr>
          <w:spacing w:val="1"/>
        </w:rPr>
        <w:t> </w:t>
      </w:r>
      <w:r>
        <w:rPr/>
        <w:t>continuous recycle membrane reactor.</w:t>
      </w:r>
      <w:r>
        <w:rPr>
          <w:i/>
        </w:rPr>
        <w:t>Colloids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Surfaces B: Biointerfaces</w:t>
      </w:r>
      <w:r>
        <w:rPr/>
        <w:t>, </w:t>
      </w:r>
      <w:r>
        <w:rPr>
          <w:b/>
        </w:rPr>
        <w:t>74 (1)</w:t>
      </w:r>
      <w:r>
        <w:rPr/>
        <w:t>: 238-243.</w:t>
      </w:r>
    </w:p>
    <w:p>
      <w:pPr>
        <w:spacing w:before="120"/>
        <w:ind w:left="1185" w:right="1253" w:hanging="720"/>
        <w:jc w:val="both"/>
        <w:rPr>
          <w:sz w:val="24"/>
        </w:rPr>
      </w:pPr>
      <w:r>
        <w:rPr>
          <w:sz w:val="24"/>
        </w:rPr>
        <w:t>Prosolv</w:t>
      </w:r>
      <w:r>
        <w:rPr>
          <w:spacing w:val="1"/>
          <w:sz w:val="24"/>
        </w:rPr>
        <w:t> </w:t>
      </w:r>
      <w:r>
        <w:rPr>
          <w:sz w:val="24"/>
        </w:rPr>
        <w:t>Technical</w:t>
      </w:r>
      <w:r>
        <w:rPr>
          <w:spacing w:val="1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i/>
          <w:sz w:val="24"/>
        </w:rPr>
        <w:t>Tableting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binder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improves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Penwest</w:t>
      </w:r>
      <w:r>
        <w:rPr>
          <w:spacing w:val="1"/>
          <w:sz w:val="24"/>
        </w:rPr>
        <w:t> </w:t>
      </w:r>
      <w:r>
        <w:rPr>
          <w:sz w:val="24"/>
        </w:rPr>
        <w:t>Pharmaceuticals,</w:t>
      </w:r>
      <w:r>
        <w:rPr>
          <w:spacing w:val="-1"/>
          <w:sz w:val="24"/>
        </w:rPr>
        <w:t> </w:t>
      </w:r>
      <w:r>
        <w:rPr>
          <w:sz w:val="24"/>
        </w:rPr>
        <w:t>New York, USA.</w:t>
      </w:r>
    </w:p>
    <w:p>
      <w:pPr>
        <w:spacing w:line="242" w:lineRule="auto" w:before="120"/>
        <w:ind w:left="1185" w:right="1255" w:hanging="720"/>
        <w:jc w:val="both"/>
        <w:rPr>
          <w:sz w:val="24"/>
        </w:rPr>
      </w:pPr>
      <w:r>
        <w:rPr>
          <w:sz w:val="24"/>
        </w:rPr>
        <w:t>Pucelj, T. (2014). </w:t>
      </w:r>
      <w:r>
        <w:rPr>
          <w:i/>
          <w:sz w:val="24"/>
        </w:rPr>
        <w:t>Co-processed direct-compression excipients ofpretreated powdered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cellulose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fucose</w:t>
      </w:r>
      <w:r>
        <w:rPr>
          <w:sz w:val="24"/>
        </w:rPr>
        <w:t>. M.Sc</w:t>
      </w:r>
      <w:r>
        <w:rPr>
          <w:spacing w:val="-1"/>
          <w:sz w:val="24"/>
        </w:rPr>
        <w:t> </w:t>
      </w:r>
      <w:r>
        <w:rPr>
          <w:sz w:val="24"/>
        </w:rPr>
        <w:t>Thesis,University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Ljubljana, Slovenia.</w:t>
      </w:r>
    </w:p>
    <w:p>
      <w:pPr>
        <w:pStyle w:val="BodyText"/>
      </w:pPr>
    </w:p>
    <w:p>
      <w:pPr>
        <w:pStyle w:val="BodyText"/>
        <w:spacing w:line="275" w:lineRule="exact"/>
        <w:ind w:left="465"/>
        <w:jc w:val="both"/>
      </w:pPr>
      <w:r>
        <w:rPr/>
        <w:t>Raghavarao,</w:t>
      </w:r>
      <w:r>
        <w:rPr>
          <w:spacing w:val="16"/>
        </w:rPr>
        <w:t> </w:t>
      </w:r>
      <w:r>
        <w:rPr/>
        <w:t>D.,</w:t>
      </w:r>
      <w:r>
        <w:rPr>
          <w:spacing w:val="75"/>
        </w:rPr>
        <w:t> </w:t>
      </w:r>
      <w:r>
        <w:rPr/>
        <w:t>Wiley,</w:t>
      </w:r>
      <w:r>
        <w:rPr>
          <w:spacing w:val="77"/>
        </w:rPr>
        <w:t> </w:t>
      </w:r>
      <w:r>
        <w:rPr/>
        <w:t>J.</w:t>
      </w:r>
      <w:r>
        <w:rPr>
          <w:spacing w:val="75"/>
        </w:rPr>
        <w:t> </w:t>
      </w:r>
      <w:r>
        <w:rPr/>
        <w:t>and</w:t>
      </w:r>
      <w:r>
        <w:rPr>
          <w:spacing w:val="75"/>
        </w:rPr>
        <w:t> </w:t>
      </w:r>
      <w:r>
        <w:rPr/>
        <w:t>Chitturi,</w:t>
      </w:r>
      <w:r>
        <w:rPr>
          <w:spacing w:val="73"/>
        </w:rPr>
        <w:t> </w:t>
      </w:r>
      <w:r>
        <w:rPr/>
        <w:t>P.</w:t>
      </w:r>
      <w:r>
        <w:rPr>
          <w:spacing w:val="75"/>
        </w:rPr>
        <w:t> </w:t>
      </w:r>
      <w:r>
        <w:rPr/>
        <w:t>(2010).Choice-based</w:t>
      </w:r>
      <w:r>
        <w:rPr>
          <w:spacing w:val="76"/>
        </w:rPr>
        <w:t> </w:t>
      </w:r>
      <w:r>
        <w:rPr/>
        <w:t>conjoint</w:t>
      </w:r>
      <w:r>
        <w:rPr>
          <w:spacing w:val="76"/>
        </w:rPr>
        <w:t> </w:t>
      </w:r>
      <w:r>
        <w:rPr/>
        <w:t>analysis.</w:t>
      </w:r>
    </w:p>
    <w:p>
      <w:pPr>
        <w:spacing w:line="275" w:lineRule="exact" w:before="0"/>
        <w:ind w:left="1185" w:right="0" w:firstLine="0"/>
        <w:jc w:val="both"/>
        <w:rPr>
          <w:sz w:val="24"/>
        </w:rPr>
      </w:pPr>
      <w:r>
        <w:rPr>
          <w:i/>
          <w:sz w:val="24"/>
        </w:rPr>
        <w:t>Minitab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User’s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2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21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58.</w:t>
      </w:r>
    </w:p>
    <w:p>
      <w:pPr>
        <w:pStyle w:val="BodyText"/>
        <w:spacing w:before="4"/>
      </w:pPr>
    </w:p>
    <w:p>
      <w:pPr>
        <w:pStyle w:val="BodyText"/>
        <w:spacing w:before="1"/>
        <w:ind w:left="1185" w:right="1257" w:hanging="720"/>
        <w:jc w:val="both"/>
      </w:pPr>
      <w:r>
        <w:rPr/>
        <w:t>Rashid,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Omari,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Badwan,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multifunctional</w:t>
      </w:r>
      <w:r>
        <w:rPr>
          <w:spacing w:val="1"/>
        </w:rPr>
        <w:t> </w:t>
      </w:r>
      <w:r>
        <w:rPr/>
        <w:t>starch-based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formulation. </w:t>
      </w:r>
      <w:r>
        <w:rPr>
          <w:i/>
        </w:rPr>
        <w:t>Starch/Stärke</w:t>
      </w:r>
      <w:r>
        <w:rPr/>
        <w:t>, </w:t>
      </w:r>
      <w:r>
        <w:rPr>
          <w:b/>
        </w:rPr>
        <w:t>65</w:t>
      </w:r>
      <w:r>
        <w:rPr/>
        <w:t>: 552-571.</w:t>
      </w:r>
    </w:p>
    <w:p>
      <w:pPr>
        <w:pStyle w:val="BodyText"/>
        <w:spacing w:before="120"/>
        <w:ind w:left="1185" w:right="1254" w:hanging="720"/>
        <w:jc w:val="both"/>
      </w:pPr>
      <w:r>
        <w:rPr/>
        <w:t>Rasmussen,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Albrechtsen,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(1974).Glutaraldehyde.The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pH,temperature,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buffering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polymerization</w:t>
      </w:r>
      <w:r>
        <w:rPr>
          <w:spacing w:val="1"/>
        </w:rPr>
        <w:t> </w:t>
      </w:r>
      <w:r>
        <w:rPr/>
        <w:t>rate.</w:t>
      </w:r>
      <w:r>
        <w:rPr>
          <w:i/>
        </w:rPr>
        <w:t>Histochemistry</w:t>
      </w:r>
      <w:r>
        <w:rPr/>
        <w:t>,</w:t>
      </w:r>
      <w:r>
        <w:rPr>
          <w:spacing w:val="1"/>
        </w:rPr>
        <w:t> </w:t>
      </w:r>
      <w:r>
        <w:rPr>
          <w:b/>
        </w:rPr>
        <w:t>38(1)</w:t>
      </w:r>
      <w:r>
        <w:rPr/>
        <w:t>:19-26.</w:t>
      </w:r>
    </w:p>
    <w:p>
      <w:pPr>
        <w:spacing w:after="0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before="72"/>
        <w:ind w:left="1185" w:right="1251" w:hanging="720"/>
        <w:jc w:val="both"/>
        <w:rPr>
          <w:i/>
        </w:rPr>
      </w:pPr>
      <w:r>
        <w:rPr/>
        <w:t>Ring, S. G., Gee, J. M., Whittam, M., Orford, P. and Johnson, I. T. (1988). Resistant</w:t>
      </w:r>
      <w:r>
        <w:rPr>
          <w:spacing w:val="1"/>
        </w:rPr>
        <w:t> </w:t>
      </w:r>
      <w:r>
        <w:rPr/>
        <w:t>starch:</w:t>
      </w:r>
      <w:r>
        <w:rPr>
          <w:spacing w:val="60"/>
        </w:rPr>
        <w:t> </w:t>
      </w:r>
      <w:r>
        <w:rPr/>
        <w:t>Its</w:t>
      </w:r>
      <w:r>
        <w:rPr>
          <w:spacing w:val="60"/>
        </w:rPr>
        <w:t> </w:t>
      </w:r>
      <w:r>
        <w:rPr/>
        <w:t>chemical form in food stuffs and effects on digestibility</w:t>
      </w:r>
      <w:r>
        <w:rPr>
          <w:spacing w:val="60"/>
        </w:rPr>
        <w:t> </w:t>
      </w:r>
      <w:r>
        <w:rPr>
          <w:i/>
        </w:rPr>
        <w:t>in vitro</w:t>
      </w:r>
      <w:r>
        <w:rPr/>
        <w:t>.</w:t>
      </w:r>
      <w:r>
        <w:rPr>
          <w:spacing w:val="1"/>
        </w:rPr>
        <w:t> </w:t>
      </w:r>
      <w:r>
        <w:rPr>
          <w:i/>
        </w:rPr>
        <w:t>Food</w:t>
      </w:r>
      <w:r>
        <w:rPr>
          <w:i/>
          <w:spacing w:val="-1"/>
        </w:rPr>
        <w:t> </w:t>
      </w:r>
      <w:r>
        <w:rPr>
          <w:i/>
        </w:rPr>
        <w:t>Chemistry, </w:t>
      </w:r>
      <w:r>
        <w:rPr>
          <w:b/>
        </w:rPr>
        <w:t>28(2)</w:t>
      </w:r>
      <w:r>
        <w:rPr/>
        <w:t>:</w:t>
      </w:r>
      <w:r>
        <w:rPr>
          <w:spacing w:val="2"/>
        </w:rPr>
        <w:t> </w:t>
      </w:r>
      <w:r>
        <w:rPr/>
        <w:t>97-109</w:t>
      </w:r>
      <w:r>
        <w:rPr>
          <w:i/>
        </w:rPr>
        <w:t>.</w:t>
      </w:r>
    </w:p>
    <w:p>
      <w:pPr>
        <w:pStyle w:val="BodyText"/>
        <w:spacing w:before="120"/>
        <w:ind w:left="1185" w:right="1253" w:hanging="720"/>
        <w:jc w:val="both"/>
      </w:pPr>
      <w:r>
        <w:rPr/>
        <w:t>Roberts, R. J. and Rowe, R. C. (1986).The effect of the relationship between punch</w:t>
      </w:r>
      <w:r>
        <w:rPr>
          <w:spacing w:val="1"/>
        </w:rPr>
        <w:t> </w:t>
      </w:r>
      <w:r>
        <w:rPr/>
        <w:t>velocity and particle size on the compaction behaviour of materials with varying</w:t>
      </w:r>
      <w:r>
        <w:rPr>
          <w:spacing w:val="1"/>
        </w:rPr>
        <w:t> </w:t>
      </w:r>
      <w:r>
        <w:rPr/>
        <w:t>deformation mechanisms.</w:t>
      </w:r>
      <w:r>
        <w:rPr>
          <w:i/>
        </w:rPr>
        <w:t>Journal of Pharmacy and Pharmacology</w:t>
      </w:r>
      <w:r>
        <w:rPr/>
        <w:t>, </w:t>
      </w:r>
      <w:r>
        <w:rPr>
          <w:b/>
        </w:rPr>
        <w:t>38(8)</w:t>
      </w:r>
      <w:r>
        <w:rPr/>
        <w:t>: 567-</w:t>
      </w:r>
      <w:r>
        <w:rPr>
          <w:spacing w:val="1"/>
        </w:rPr>
        <w:t> </w:t>
      </w:r>
      <w:r>
        <w:rPr/>
        <w:t>571.</w:t>
      </w:r>
    </w:p>
    <w:p>
      <w:pPr>
        <w:spacing w:before="120"/>
        <w:ind w:left="1185" w:right="1250" w:hanging="720"/>
        <w:jc w:val="both"/>
        <w:rPr>
          <w:sz w:val="24"/>
        </w:rPr>
      </w:pPr>
      <w:r>
        <w:rPr>
          <w:sz w:val="24"/>
        </w:rPr>
        <w:t>Roberts, R. J.</w:t>
      </w:r>
      <w:r>
        <w:rPr>
          <w:spacing w:val="1"/>
          <w:sz w:val="24"/>
        </w:rPr>
        <w:t> </w:t>
      </w:r>
      <w:r>
        <w:rPr>
          <w:sz w:val="24"/>
        </w:rPr>
        <w:t>and Rowe, R. C. (1987). Brittle/ductile behaviour in pharmaceutical</w:t>
      </w:r>
      <w:r>
        <w:rPr>
          <w:spacing w:val="1"/>
          <w:sz w:val="24"/>
        </w:rPr>
        <w:t> </w:t>
      </w:r>
      <w:r>
        <w:rPr>
          <w:sz w:val="24"/>
        </w:rPr>
        <w:t>materials used in tableting. </w:t>
      </w:r>
      <w:r>
        <w:rPr>
          <w:i/>
          <w:sz w:val="24"/>
        </w:rPr>
        <w:t>International Journal of Pharmaceutics</w:t>
      </w:r>
      <w:r>
        <w:rPr>
          <w:sz w:val="24"/>
        </w:rPr>
        <w:t>, </w:t>
      </w:r>
      <w:r>
        <w:rPr>
          <w:b/>
          <w:sz w:val="24"/>
        </w:rPr>
        <w:t>36(2)</w:t>
      </w:r>
      <w:r>
        <w:rPr>
          <w:sz w:val="24"/>
        </w:rPr>
        <w:t>: 205-</w:t>
      </w:r>
      <w:r>
        <w:rPr>
          <w:spacing w:val="1"/>
          <w:sz w:val="24"/>
        </w:rPr>
        <w:t> </w:t>
      </w:r>
      <w:r>
        <w:rPr>
          <w:sz w:val="24"/>
        </w:rPr>
        <w:t>209.</w:t>
      </w:r>
    </w:p>
    <w:p>
      <w:pPr>
        <w:spacing w:before="120"/>
        <w:ind w:left="1185" w:right="1253" w:hanging="720"/>
        <w:jc w:val="both"/>
        <w:rPr>
          <w:sz w:val="24"/>
        </w:rPr>
      </w:pPr>
      <w:r>
        <w:rPr>
          <w:sz w:val="24"/>
        </w:rPr>
        <w:t>Rojas, J. and Kumar, V. (2011).Comparative evaluation of silicified microcrystalline</w:t>
      </w:r>
      <w:r>
        <w:rPr>
          <w:spacing w:val="1"/>
          <w:sz w:val="24"/>
        </w:rPr>
        <w:t> </w:t>
      </w:r>
      <w:r>
        <w:rPr>
          <w:sz w:val="24"/>
        </w:rPr>
        <w:t>cellulose</w:t>
      </w:r>
      <w:r>
        <w:rPr>
          <w:spacing w:val="1"/>
          <w:sz w:val="24"/>
        </w:rPr>
        <w:t> </w:t>
      </w:r>
      <w:r>
        <w:rPr>
          <w:sz w:val="24"/>
        </w:rPr>
        <w:t>II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direct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1"/>
          <w:sz w:val="24"/>
        </w:rPr>
        <w:t> </w:t>
      </w:r>
      <w:r>
        <w:rPr>
          <w:sz w:val="24"/>
        </w:rPr>
        <w:t>vehicle.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416(1)</w:t>
      </w:r>
      <w:r>
        <w:rPr>
          <w:sz w:val="24"/>
        </w:rPr>
        <w:t>: 120–128.</w:t>
      </w:r>
    </w:p>
    <w:p>
      <w:pPr>
        <w:spacing w:before="121"/>
        <w:ind w:left="1185" w:right="1251" w:hanging="720"/>
        <w:jc w:val="both"/>
        <w:rPr>
          <w:sz w:val="24"/>
        </w:rPr>
      </w:pPr>
      <w:r>
        <w:rPr>
          <w:sz w:val="24"/>
        </w:rPr>
        <w:t>Rojas, J., Buckner, I. and Kumar, V. (2012).Co-processed excipients with enhanced</w:t>
      </w:r>
      <w:r>
        <w:rPr>
          <w:spacing w:val="1"/>
          <w:sz w:val="24"/>
        </w:rPr>
        <w:t> </w:t>
      </w:r>
      <w:r>
        <w:rPr>
          <w:sz w:val="24"/>
        </w:rPr>
        <w:t>direct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1"/>
          <w:sz w:val="24"/>
        </w:rPr>
        <w:t> </w:t>
      </w:r>
      <w:r>
        <w:rPr>
          <w:sz w:val="24"/>
        </w:rPr>
        <w:t>functionality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1"/>
          <w:sz w:val="24"/>
        </w:rPr>
        <w:t> </w:t>
      </w:r>
      <w:r>
        <w:rPr>
          <w:sz w:val="24"/>
        </w:rPr>
        <w:t>tableting</w:t>
      </w:r>
      <w:r>
        <w:rPr>
          <w:spacing w:val="1"/>
          <w:sz w:val="24"/>
        </w:rPr>
        <w:t> </w:t>
      </w:r>
      <w:r>
        <w:rPr>
          <w:sz w:val="24"/>
        </w:rPr>
        <w:t>performance.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Industrial Pharmacy</w:t>
      </w:r>
      <w:r>
        <w:rPr>
          <w:sz w:val="24"/>
        </w:rPr>
        <w:t>, </w:t>
      </w:r>
      <w:r>
        <w:rPr>
          <w:b/>
          <w:sz w:val="24"/>
        </w:rPr>
        <w:t>38 (10)</w:t>
      </w:r>
      <w:r>
        <w:rPr>
          <w:sz w:val="24"/>
        </w:rPr>
        <w:t>: 1159-1170.</w:t>
      </w:r>
    </w:p>
    <w:p>
      <w:pPr>
        <w:tabs>
          <w:tab w:pos="2625" w:val="left" w:leader="none"/>
        </w:tabs>
        <w:spacing w:before="120"/>
        <w:ind w:left="945" w:right="1204" w:hanging="480"/>
        <w:jc w:val="right"/>
        <w:rPr>
          <w:sz w:val="24"/>
          <w:szCs w:val="24"/>
        </w:rPr>
      </w:pPr>
      <w:r>
        <w:rPr>
          <w:sz w:val="24"/>
          <w:szCs w:val="24"/>
        </w:rPr>
        <w:t>Rojas, J.,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Aristizabal,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J.,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and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Henao,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M.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(2013).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Screening of several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excipients</w:t>
      </w:r>
      <w:r>
        <w:rPr>
          <w:spacing w:val="60"/>
          <w:sz w:val="24"/>
          <w:szCs w:val="24"/>
        </w:rPr>
        <w:t> </w:t>
      </w:r>
      <w:r>
        <w:rPr>
          <w:sz w:val="24"/>
          <w:szCs w:val="24"/>
        </w:rPr>
        <w:t>for</w:t>
      </w:r>
      <w:r>
        <w:rPr>
          <w:spacing w:val="-57"/>
          <w:sz w:val="24"/>
          <w:szCs w:val="24"/>
        </w:rPr>
        <w:t> </w:t>
      </w:r>
      <w:r>
        <w:rPr>
          <w:sz w:val="24"/>
          <w:szCs w:val="24"/>
        </w:rPr>
        <w:t>direct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compression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tabletsԐ :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A</w:t>
      </w:r>
      <w:r>
        <w:rPr>
          <w:spacing w:val="61"/>
          <w:sz w:val="24"/>
          <w:szCs w:val="24"/>
        </w:rPr>
        <w:t> </w:t>
      </w:r>
      <w:r>
        <w:rPr>
          <w:sz w:val="24"/>
          <w:szCs w:val="24"/>
        </w:rPr>
        <w:t>new</w:t>
      </w:r>
      <w:r>
        <w:rPr>
          <w:spacing w:val="61"/>
          <w:sz w:val="24"/>
          <w:szCs w:val="24"/>
        </w:rPr>
        <w:t> </w:t>
      </w:r>
      <w:r>
        <w:rPr>
          <w:sz w:val="24"/>
          <w:szCs w:val="24"/>
        </w:rPr>
        <w:t>perspective</w:t>
      </w:r>
      <w:r>
        <w:rPr>
          <w:spacing w:val="60"/>
          <w:sz w:val="24"/>
          <w:szCs w:val="24"/>
        </w:rPr>
        <w:t> </w:t>
      </w:r>
      <w:r>
        <w:rPr>
          <w:sz w:val="24"/>
          <w:szCs w:val="24"/>
        </w:rPr>
        <w:t>based</w:t>
      </w:r>
      <w:r>
        <w:rPr>
          <w:spacing w:val="61"/>
          <w:sz w:val="24"/>
          <w:szCs w:val="24"/>
        </w:rPr>
        <w:t> </w:t>
      </w:r>
      <w:r>
        <w:rPr>
          <w:sz w:val="24"/>
          <w:szCs w:val="24"/>
        </w:rPr>
        <w:t>on</w:t>
      </w:r>
      <w:r>
        <w:rPr>
          <w:spacing w:val="61"/>
          <w:sz w:val="24"/>
          <w:szCs w:val="24"/>
        </w:rPr>
        <w:t> </w:t>
      </w:r>
      <w:r>
        <w:rPr>
          <w:sz w:val="24"/>
          <w:szCs w:val="24"/>
        </w:rPr>
        <w:t>functional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properties.</w:t>
        <w:tab/>
      </w:r>
      <w:r>
        <w:rPr>
          <w:i/>
          <w:iCs/>
          <w:sz w:val="24"/>
          <w:szCs w:val="24"/>
        </w:rPr>
        <w:t>Journal</w:t>
      </w:r>
      <w:r>
        <w:rPr>
          <w:i/>
          <w:iCs/>
          <w:spacing w:val="48"/>
          <w:sz w:val="24"/>
          <w:szCs w:val="24"/>
        </w:rPr>
        <w:t> </w:t>
      </w:r>
      <w:r>
        <w:rPr>
          <w:i/>
          <w:iCs/>
          <w:sz w:val="24"/>
          <w:szCs w:val="24"/>
        </w:rPr>
        <w:t>of</w:t>
      </w:r>
      <w:r>
        <w:rPr>
          <w:i/>
          <w:iCs/>
          <w:spacing w:val="48"/>
          <w:sz w:val="24"/>
          <w:szCs w:val="24"/>
        </w:rPr>
        <w:t> </w:t>
      </w:r>
      <w:r>
        <w:rPr>
          <w:i/>
          <w:iCs/>
          <w:sz w:val="24"/>
          <w:szCs w:val="24"/>
        </w:rPr>
        <w:t>Basic</w:t>
      </w:r>
      <w:r>
        <w:rPr>
          <w:i/>
          <w:iCs/>
          <w:spacing w:val="48"/>
          <w:sz w:val="24"/>
          <w:szCs w:val="24"/>
        </w:rPr>
        <w:t> </w:t>
      </w:r>
      <w:r>
        <w:rPr>
          <w:i/>
          <w:iCs/>
          <w:sz w:val="24"/>
          <w:szCs w:val="24"/>
        </w:rPr>
        <w:t>and</w:t>
      </w:r>
      <w:r>
        <w:rPr>
          <w:i/>
          <w:iCs/>
          <w:spacing w:val="45"/>
          <w:sz w:val="24"/>
          <w:szCs w:val="24"/>
        </w:rPr>
        <w:t> </w:t>
      </w:r>
      <w:r>
        <w:rPr>
          <w:i/>
          <w:iCs/>
          <w:sz w:val="24"/>
          <w:szCs w:val="24"/>
        </w:rPr>
        <w:t>Applied</w:t>
      </w:r>
      <w:r>
        <w:rPr>
          <w:i/>
          <w:iCs/>
          <w:spacing w:val="49"/>
          <w:sz w:val="24"/>
          <w:szCs w:val="24"/>
        </w:rPr>
        <w:t> </w:t>
      </w:r>
      <w:r>
        <w:rPr>
          <w:i/>
          <w:iCs/>
          <w:sz w:val="24"/>
          <w:szCs w:val="24"/>
        </w:rPr>
        <w:t>Pharmaceutical</w:t>
      </w:r>
      <w:r>
        <w:rPr>
          <w:i/>
          <w:iCs/>
          <w:spacing w:val="48"/>
          <w:sz w:val="24"/>
          <w:szCs w:val="24"/>
        </w:rPr>
        <w:t> </w:t>
      </w:r>
      <w:r>
        <w:rPr>
          <w:i/>
          <w:iCs/>
          <w:sz w:val="24"/>
          <w:szCs w:val="24"/>
        </w:rPr>
        <w:t>Sciences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> </w:t>
      </w:r>
      <w:r>
        <w:rPr>
          <w:b/>
          <w:bCs/>
          <w:sz w:val="24"/>
          <w:szCs w:val="24"/>
        </w:rPr>
        <w:t>34(1)</w:t>
      </w:r>
      <w:r>
        <w:rPr>
          <w:sz w:val="24"/>
          <w:szCs w:val="24"/>
        </w:rPr>
        <w:t>:</w:t>
      </w:r>
    </w:p>
    <w:p>
      <w:pPr>
        <w:pStyle w:val="BodyText"/>
        <w:spacing w:before="2"/>
        <w:ind w:left="945"/>
      </w:pPr>
      <w:r>
        <w:rPr/>
        <w:t>17–23.</w:t>
      </w:r>
    </w:p>
    <w:p>
      <w:pPr>
        <w:spacing w:line="242" w:lineRule="auto" w:before="137"/>
        <w:ind w:left="945" w:right="1255" w:hanging="480"/>
        <w:jc w:val="left"/>
        <w:rPr>
          <w:sz w:val="24"/>
        </w:rPr>
      </w:pPr>
      <w:r>
        <w:rPr>
          <w:sz w:val="24"/>
        </w:rPr>
        <w:t>Rowe,</w:t>
      </w:r>
      <w:r>
        <w:rPr>
          <w:spacing w:val="45"/>
          <w:sz w:val="24"/>
        </w:rPr>
        <w:t> </w:t>
      </w:r>
      <w:r>
        <w:rPr>
          <w:sz w:val="24"/>
        </w:rPr>
        <w:t>R.</w:t>
      </w:r>
      <w:r>
        <w:rPr>
          <w:spacing w:val="46"/>
          <w:sz w:val="24"/>
        </w:rPr>
        <w:t> </w:t>
      </w:r>
      <w:r>
        <w:rPr>
          <w:sz w:val="24"/>
        </w:rPr>
        <w:t>C.,</w:t>
      </w:r>
      <w:r>
        <w:rPr>
          <w:spacing w:val="44"/>
          <w:sz w:val="24"/>
        </w:rPr>
        <w:t> </w:t>
      </w:r>
      <w:r>
        <w:rPr>
          <w:sz w:val="24"/>
        </w:rPr>
        <w:t>Shesjey,</w:t>
      </w:r>
      <w:r>
        <w:rPr>
          <w:spacing w:val="46"/>
          <w:sz w:val="24"/>
        </w:rPr>
        <w:t> </w:t>
      </w:r>
      <w:r>
        <w:rPr>
          <w:sz w:val="24"/>
        </w:rPr>
        <w:t>P.</w:t>
      </w:r>
      <w:r>
        <w:rPr>
          <w:spacing w:val="44"/>
          <w:sz w:val="24"/>
        </w:rPr>
        <w:t> </w:t>
      </w:r>
      <w:r>
        <w:rPr>
          <w:sz w:val="24"/>
        </w:rPr>
        <w:t>J.,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Owen,</w:t>
      </w:r>
      <w:r>
        <w:rPr>
          <w:spacing w:val="46"/>
          <w:sz w:val="24"/>
        </w:rPr>
        <w:t> </w:t>
      </w:r>
      <w:r>
        <w:rPr>
          <w:sz w:val="24"/>
        </w:rPr>
        <w:t>S.</w:t>
      </w:r>
      <w:r>
        <w:rPr>
          <w:spacing w:val="44"/>
          <w:sz w:val="24"/>
        </w:rPr>
        <w:t> </w:t>
      </w:r>
      <w:r>
        <w:rPr>
          <w:sz w:val="24"/>
        </w:rPr>
        <w:t>C.</w:t>
      </w:r>
      <w:r>
        <w:rPr>
          <w:spacing w:val="44"/>
          <w:sz w:val="24"/>
        </w:rPr>
        <w:t> </w:t>
      </w:r>
      <w:r>
        <w:rPr>
          <w:sz w:val="24"/>
        </w:rPr>
        <w:t>(2005).</w:t>
      </w:r>
      <w:r>
        <w:rPr>
          <w:spacing w:val="3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Excipients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5: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Single-User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Version</w:t>
      </w:r>
      <w:r>
        <w:rPr>
          <w:sz w:val="24"/>
        </w:rPr>
        <w:t>. McGraw-Hill Medical Publishing</w:t>
      </w:r>
      <w:r>
        <w:rPr>
          <w:spacing w:val="-3"/>
          <w:sz w:val="24"/>
        </w:rPr>
        <w:t> </w:t>
      </w:r>
      <w:r>
        <w:rPr>
          <w:sz w:val="24"/>
        </w:rPr>
        <w:t>Division.</w:t>
      </w:r>
    </w:p>
    <w:p>
      <w:pPr>
        <w:spacing w:line="242" w:lineRule="auto" w:before="134"/>
        <w:ind w:left="1185" w:right="1257" w:hanging="720"/>
        <w:jc w:val="both"/>
        <w:rPr>
          <w:sz w:val="24"/>
        </w:rPr>
      </w:pPr>
      <w:r>
        <w:rPr>
          <w:sz w:val="24"/>
        </w:rPr>
        <w:t>Rumman, M. (2009). </w:t>
      </w:r>
      <w:r>
        <w:rPr>
          <w:i/>
          <w:sz w:val="24"/>
        </w:rPr>
        <w:t>Understanding the functionality of MCC Rapid as an excipient 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towards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QbD</w:t>
      </w:r>
      <w:r>
        <w:rPr>
          <w:sz w:val="24"/>
        </w:rPr>
        <w:t>.</w:t>
      </w:r>
      <w:r>
        <w:rPr>
          <w:spacing w:val="59"/>
          <w:sz w:val="24"/>
        </w:rPr>
        <w:t> </w:t>
      </w:r>
      <w:r>
        <w:rPr>
          <w:sz w:val="24"/>
        </w:rPr>
        <w:t>PhD</w:t>
      </w:r>
      <w:r>
        <w:rPr>
          <w:spacing w:val="-1"/>
          <w:sz w:val="24"/>
        </w:rPr>
        <w:t> </w:t>
      </w:r>
      <w:r>
        <w:rPr>
          <w:sz w:val="24"/>
        </w:rPr>
        <w:t>Dissertation,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 Basel,</w:t>
      </w:r>
      <w:r>
        <w:rPr>
          <w:spacing w:val="-1"/>
          <w:sz w:val="24"/>
        </w:rPr>
        <w:t> </w:t>
      </w:r>
      <w:r>
        <w:rPr>
          <w:sz w:val="24"/>
        </w:rPr>
        <w:t>Switzerland.</w:t>
      </w:r>
    </w:p>
    <w:p>
      <w:pPr>
        <w:spacing w:line="240" w:lineRule="auto" w:before="137"/>
        <w:ind w:left="1185" w:right="1254" w:hanging="720"/>
        <w:jc w:val="both"/>
        <w:rPr>
          <w:sz w:val="24"/>
        </w:rPr>
      </w:pPr>
      <w:r>
        <w:rPr>
          <w:sz w:val="24"/>
        </w:rPr>
        <w:t>Saha,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Shahiwala,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Multifunctional</w:t>
      </w:r>
      <w:r>
        <w:rPr>
          <w:spacing w:val="1"/>
          <w:sz w:val="24"/>
        </w:rPr>
        <w:t> </w:t>
      </w:r>
      <w:r>
        <w:rPr>
          <w:sz w:val="24"/>
        </w:rPr>
        <w:t>coprocessed</w:t>
      </w:r>
      <w:r>
        <w:rPr>
          <w:spacing w:val="1"/>
          <w:sz w:val="24"/>
        </w:rPr>
        <w:t> </w:t>
      </w:r>
      <w:r>
        <w:rPr>
          <w:sz w:val="24"/>
        </w:rPr>
        <w:t>excipients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improved tableting performance. </w:t>
      </w:r>
      <w:r>
        <w:rPr>
          <w:i/>
          <w:sz w:val="24"/>
        </w:rPr>
        <w:t>Expert Opinion on Drug Delivery</w:t>
      </w:r>
      <w:r>
        <w:rPr>
          <w:sz w:val="24"/>
        </w:rPr>
        <w:t>, </w:t>
      </w:r>
      <w:r>
        <w:rPr>
          <w:b/>
          <w:sz w:val="24"/>
        </w:rPr>
        <w:t>6(2)</w:t>
      </w:r>
      <w:r>
        <w:rPr>
          <w:sz w:val="24"/>
        </w:rPr>
        <w:t>: 197–</w:t>
      </w:r>
      <w:r>
        <w:rPr>
          <w:spacing w:val="1"/>
          <w:sz w:val="24"/>
        </w:rPr>
        <w:t> </w:t>
      </w:r>
      <w:r>
        <w:rPr>
          <w:sz w:val="24"/>
        </w:rPr>
        <w:t>208.</w:t>
      </w:r>
    </w:p>
    <w:p>
      <w:pPr>
        <w:pStyle w:val="BodyText"/>
        <w:spacing w:before="7"/>
      </w:pPr>
    </w:p>
    <w:p>
      <w:pPr>
        <w:spacing w:line="237" w:lineRule="auto" w:before="0"/>
        <w:ind w:left="1185" w:right="1259" w:hanging="720"/>
        <w:jc w:val="both"/>
        <w:rPr>
          <w:sz w:val="24"/>
        </w:rPr>
      </w:pPr>
      <w:r>
        <w:rPr>
          <w:sz w:val="24"/>
        </w:rPr>
        <w:t>Sainio, J. A. (2011). </w:t>
      </w:r>
      <w:r>
        <w:rPr>
          <w:i/>
          <w:sz w:val="24"/>
        </w:rPr>
        <w:t>Characterization and evaluation of melibiose as novel excipient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tablet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compaction</w:t>
      </w:r>
      <w:r>
        <w:rPr>
          <w:sz w:val="24"/>
        </w:rPr>
        <w:t>.M.Sc</w:t>
      </w:r>
      <w:r>
        <w:rPr>
          <w:spacing w:val="-1"/>
          <w:sz w:val="24"/>
        </w:rPr>
        <w:t> </w:t>
      </w:r>
      <w:r>
        <w:rPr>
          <w:sz w:val="24"/>
        </w:rPr>
        <w:t>Thesis, University</w:t>
      </w:r>
      <w:r>
        <w:rPr>
          <w:spacing w:val="-5"/>
          <w:sz w:val="24"/>
        </w:rPr>
        <w:t> </w:t>
      </w:r>
      <w:r>
        <w:rPr>
          <w:sz w:val="24"/>
        </w:rPr>
        <w:t>of Helsinki, Finland.</w:t>
      </w:r>
    </w:p>
    <w:p>
      <w:pPr>
        <w:pStyle w:val="BodyText"/>
        <w:spacing w:before="5"/>
      </w:pPr>
    </w:p>
    <w:p>
      <w:pPr>
        <w:pStyle w:val="BodyText"/>
        <w:ind w:left="1185" w:right="1252" w:hanging="720"/>
        <w:jc w:val="both"/>
      </w:pPr>
      <w:r>
        <w:rPr/>
        <w:t>Schmidt,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Rubensdorfer,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(1994a).Evaluation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Ludipress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multipurpose excipient for direct compression. Part I: Powder characteristics and</w:t>
      </w:r>
      <w:r>
        <w:rPr>
          <w:spacing w:val="-57"/>
        </w:rPr>
        <w:t> </w:t>
      </w:r>
      <w:r>
        <w:rPr/>
        <w:t>tableting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>
          <w:i/>
        </w:rPr>
        <w:t>Drug</w:t>
      </w:r>
      <w:r>
        <w:rPr>
          <w:i/>
          <w:spacing w:val="1"/>
        </w:rPr>
        <w:t> </w:t>
      </w:r>
      <w:r>
        <w:rPr>
          <w:i/>
        </w:rPr>
        <w:t>Development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Industrial</w:t>
      </w:r>
      <w:r>
        <w:rPr>
          <w:i/>
          <w:spacing w:val="1"/>
        </w:rPr>
        <w:t> </w:t>
      </w:r>
      <w:r>
        <w:rPr>
          <w:i/>
        </w:rPr>
        <w:t>Pharmacy</w:t>
      </w:r>
      <w:r>
        <w:rPr/>
        <w:t>,</w:t>
      </w:r>
      <w:r>
        <w:rPr>
          <w:spacing w:val="1"/>
        </w:rPr>
        <w:t> </w:t>
      </w:r>
      <w:r>
        <w:rPr>
          <w:b/>
        </w:rPr>
        <w:t>20</w:t>
      </w:r>
      <w:r>
        <w:rPr>
          <w:b/>
          <w:spacing w:val="1"/>
        </w:rPr>
        <w:t> </w:t>
      </w:r>
      <w:r>
        <w:rPr>
          <w:b/>
        </w:rPr>
        <w:t>(18)</w:t>
      </w:r>
      <w:r>
        <w:rPr/>
        <w:t>:</w:t>
      </w:r>
      <w:r>
        <w:rPr>
          <w:spacing w:val="1"/>
        </w:rPr>
        <w:t> </w:t>
      </w:r>
      <w:r>
        <w:rPr/>
        <w:t>2899-2925.</w:t>
      </w:r>
    </w:p>
    <w:p>
      <w:pPr>
        <w:pStyle w:val="BodyText"/>
        <w:spacing w:before="121"/>
        <w:ind w:left="1185" w:right="1254" w:hanging="720"/>
        <w:jc w:val="both"/>
      </w:pPr>
      <w:r>
        <w:rPr/>
        <w:t>Schmidt,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Rubensdorfer,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(1994b).Evaluation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Ludipress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multipurpose excipient for direct compression. Part II: Interactive blending and</w:t>
      </w:r>
      <w:r>
        <w:rPr>
          <w:spacing w:val="1"/>
        </w:rPr>
        <w:t> </w:t>
      </w:r>
      <w:r>
        <w:rPr/>
        <w:t>tableting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micronized</w:t>
      </w:r>
      <w:r>
        <w:rPr>
          <w:spacing w:val="1"/>
        </w:rPr>
        <w:t> </w:t>
      </w:r>
      <w:r>
        <w:rPr/>
        <w:t>glibenclamide.</w:t>
      </w:r>
      <w:r>
        <w:rPr>
          <w:spacing w:val="1"/>
        </w:rPr>
        <w:t> </w:t>
      </w:r>
      <w:r>
        <w:rPr>
          <w:i/>
        </w:rPr>
        <w:t>Drug</w:t>
      </w:r>
      <w:r>
        <w:rPr>
          <w:i/>
          <w:spacing w:val="1"/>
        </w:rPr>
        <w:t> </w:t>
      </w:r>
      <w:r>
        <w:rPr>
          <w:i/>
        </w:rPr>
        <w:t>Development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Industrial</w:t>
      </w:r>
      <w:r>
        <w:rPr>
          <w:i/>
          <w:spacing w:val="1"/>
        </w:rPr>
        <w:t> </w:t>
      </w:r>
      <w:r>
        <w:rPr>
          <w:i/>
        </w:rPr>
        <w:t>Pharmacy</w:t>
      </w:r>
      <w:r>
        <w:rPr/>
        <w:t>,</w:t>
      </w:r>
      <w:r>
        <w:rPr>
          <w:spacing w:val="-1"/>
        </w:rPr>
        <w:t> </w:t>
      </w:r>
      <w:r>
        <w:rPr>
          <w:b/>
        </w:rPr>
        <w:t>20 (18)</w:t>
      </w:r>
      <w:r>
        <w:rPr/>
        <w:t>: 2927-2952.</w:t>
      </w:r>
    </w:p>
    <w:p>
      <w:pPr>
        <w:pStyle w:val="BodyText"/>
        <w:spacing w:before="120"/>
        <w:ind w:left="1185" w:right="1255" w:hanging="720"/>
        <w:jc w:val="both"/>
      </w:pPr>
      <w:r>
        <w:rPr/>
        <w:t>Shah,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Kakumanu,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Bansal,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(2006).Analytical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quantification of amorphous/crystalline phases in pharmaceutical solids.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Pharmaceutical Sciences</w:t>
      </w:r>
      <w:r>
        <w:rPr/>
        <w:t>, </w:t>
      </w:r>
      <w:r>
        <w:rPr>
          <w:b/>
        </w:rPr>
        <w:t>95(8)</w:t>
      </w:r>
      <w:r>
        <w:rPr/>
        <w:t>: 1641-1665.</w:t>
      </w:r>
    </w:p>
    <w:p>
      <w:pPr>
        <w:pStyle w:val="BodyText"/>
        <w:spacing w:before="120"/>
        <w:ind w:left="1185" w:right="1255" w:hanging="720"/>
        <w:jc w:val="both"/>
      </w:pPr>
      <w:r>
        <w:rPr/>
        <w:t>Shangraw,</w:t>
      </w:r>
      <w:r>
        <w:rPr>
          <w:spacing w:val="18"/>
        </w:rPr>
        <w:t> </w:t>
      </w:r>
      <w:r>
        <w:rPr/>
        <w:t>R.</w:t>
      </w:r>
      <w:r>
        <w:rPr>
          <w:spacing w:val="19"/>
        </w:rPr>
        <w:t> </w:t>
      </w:r>
      <w:r>
        <w:rPr/>
        <w:t>F.</w:t>
      </w:r>
      <w:r>
        <w:rPr>
          <w:spacing w:val="21"/>
        </w:rPr>
        <w:t> </w:t>
      </w:r>
      <w:r>
        <w:rPr/>
        <w:t>(1990).</w:t>
      </w:r>
      <w:r>
        <w:rPr>
          <w:spacing w:val="21"/>
        </w:rPr>
        <w:t> </w:t>
      </w:r>
      <w:r>
        <w:rPr/>
        <w:t>Compressed</w:t>
      </w:r>
      <w:r>
        <w:rPr>
          <w:spacing w:val="18"/>
        </w:rPr>
        <w:t> </w:t>
      </w:r>
      <w:r>
        <w:rPr/>
        <w:t>tablets</w:t>
      </w:r>
      <w:r>
        <w:rPr>
          <w:spacing w:val="20"/>
        </w:rPr>
        <w:t> </w:t>
      </w:r>
      <w:r>
        <w:rPr/>
        <w:t>by</w:t>
      </w:r>
      <w:r>
        <w:rPr>
          <w:spacing w:val="17"/>
        </w:rPr>
        <w:t> </w:t>
      </w:r>
      <w:r>
        <w:rPr/>
        <w:t>direct</w:t>
      </w:r>
      <w:r>
        <w:rPr>
          <w:spacing w:val="19"/>
        </w:rPr>
        <w:t> </w:t>
      </w:r>
      <w:r>
        <w:rPr/>
        <w:t>compression.</w:t>
      </w:r>
      <w:r>
        <w:rPr>
          <w:spacing w:val="21"/>
        </w:rPr>
        <w:t> </w:t>
      </w:r>
      <w:r>
        <w:rPr/>
        <w:t>In:</w:t>
      </w:r>
      <w:r>
        <w:rPr>
          <w:spacing w:val="20"/>
        </w:rPr>
        <w:t> </w:t>
      </w:r>
      <w:r>
        <w:rPr/>
        <w:t>Lieberman,</w:t>
      </w:r>
      <w:r>
        <w:rPr>
          <w:spacing w:val="19"/>
        </w:rPr>
        <w:t> </w:t>
      </w:r>
      <w:r>
        <w:rPr/>
        <w:t>H.</w:t>
      </w:r>
      <w:r>
        <w:rPr>
          <w:spacing w:val="-58"/>
        </w:rPr>
        <w:t> </w:t>
      </w:r>
      <w:r>
        <w:rPr/>
        <w:t>A,</w:t>
      </w:r>
      <w:r>
        <w:rPr>
          <w:spacing w:val="1"/>
        </w:rPr>
        <w:t> </w:t>
      </w:r>
      <w:r>
        <w:rPr/>
        <w:t>Lachman,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Schwartz,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(Eds)</w:t>
      </w:r>
      <w:r>
        <w:rPr>
          <w:spacing w:val="1"/>
        </w:rPr>
        <w:t> </w:t>
      </w:r>
      <w:r>
        <w:rPr>
          <w:i/>
        </w:rPr>
        <w:t>Pharmaceutical</w:t>
      </w:r>
      <w:r>
        <w:rPr>
          <w:i/>
          <w:spacing w:val="1"/>
        </w:rPr>
        <w:t> </w:t>
      </w:r>
      <w:r>
        <w:rPr>
          <w:i/>
        </w:rPr>
        <w:t>dosage</w:t>
      </w:r>
      <w:r>
        <w:rPr>
          <w:i/>
          <w:spacing w:val="1"/>
        </w:rPr>
        <w:t> </w:t>
      </w:r>
      <w:r>
        <w:rPr>
          <w:i/>
        </w:rPr>
        <w:t>forms:</w:t>
      </w:r>
      <w:r>
        <w:rPr>
          <w:i/>
          <w:spacing w:val="1"/>
        </w:rPr>
        <w:t> </w:t>
      </w:r>
      <w:r>
        <w:rPr>
          <w:i/>
        </w:rPr>
        <w:t>Tablets</w:t>
      </w:r>
      <w:r>
        <w:rPr/>
        <w:t>.</w:t>
      </w:r>
      <w:r>
        <w:rPr>
          <w:spacing w:val="-1"/>
        </w:rPr>
        <w:t> </w:t>
      </w:r>
      <w:r>
        <w:rPr/>
        <w:t>Marcel Dekker</w:t>
      </w:r>
      <w:r>
        <w:rPr>
          <w:spacing w:val="1"/>
        </w:rPr>
        <w:t> </w:t>
      </w:r>
      <w:r>
        <w:rPr/>
        <w:t>Inc., New York,</w:t>
      </w:r>
      <w:r>
        <w:rPr>
          <w:spacing w:val="-1"/>
        </w:rPr>
        <w:t> </w:t>
      </w:r>
      <w:r>
        <w:rPr/>
        <w:t>USA, pp.</w:t>
      </w:r>
      <w:r>
        <w:rPr>
          <w:spacing w:val="1"/>
        </w:rPr>
        <w:t> </w:t>
      </w:r>
      <w:r>
        <w:rPr/>
        <w:t>195-246.</w:t>
      </w:r>
    </w:p>
    <w:p>
      <w:pPr>
        <w:spacing w:after="0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spacing w:before="72"/>
        <w:ind w:left="1185" w:right="1251" w:hanging="720"/>
        <w:jc w:val="both"/>
      </w:pPr>
      <w:r>
        <w:rPr/>
        <w:t>Shangraw,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harmonization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compendia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pharmaceutical excipients. In: Crommelin, D.J.A. and Midha, K. (Eds.), </w:t>
      </w:r>
      <w:r>
        <w:rPr>
          <w:i/>
        </w:rPr>
        <w:t>Topics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Pharmaceutical sciences</w:t>
      </w:r>
      <w:r>
        <w:rPr/>
        <w:t>, Medpharm, Stuggart, pp. 205-223.</w:t>
      </w:r>
    </w:p>
    <w:p>
      <w:pPr>
        <w:pStyle w:val="BodyText"/>
        <w:spacing w:before="5"/>
      </w:pPr>
    </w:p>
    <w:p>
      <w:pPr>
        <w:pStyle w:val="BodyText"/>
        <w:ind w:left="1185" w:right="1253" w:hanging="720"/>
        <w:jc w:val="both"/>
      </w:pPr>
      <w:r>
        <w:rPr/>
        <w:t>Sharma, P., Modi, S. R. and Bansal, A. K. (2015). Co-processing of hydroxypropyl</w:t>
      </w:r>
      <w:r>
        <w:rPr>
          <w:spacing w:val="1"/>
        </w:rPr>
        <w:t> </w:t>
      </w:r>
      <w:r>
        <w:rPr/>
        <w:t>methylcellulose ( HPMC ) for improved aqueous dispersibility.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Pharmaceutics</w:t>
      </w:r>
      <w:r>
        <w:rPr/>
        <w:t>, 485(1): 348-356.</w:t>
      </w:r>
    </w:p>
    <w:p>
      <w:pPr>
        <w:pStyle w:val="BodyText"/>
        <w:spacing w:before="2"/>
      </w:pPr>
    </w:p>
    <w:p>
      <w:pPr>
        <w:pStyle w:val="BodyText"/>
        <w:ind w:left="1185" w:right="1260" w:hanging="720"/>
        <w:jc w:val="both"/>
      </w:pPr>
      <w:r>
        <w:rPr/>
        <w:t>Sherwood, B. E. and Becker, J. W. (1998). A new class of high functionality excipients:</w:t>
      </w:r>
      <w:r>
        <w:rPr>
          <w:spacing w:val="-57"/>
        </w:rPr>
        <w:t> </w:t>
      </w:r>
      <w:r>
        <w:rPr/>
        <w:t>Silicified</w:t>
      </w:r>
      <w:r>
        <w:rPr>
          <w:spacing w:val="-1"/>
        </w:rPr>
        <w:t> </w:t>
      </w:r>
      <w:r>
        <w:rPr/>
        <w:t>microcrystalline</w:t>
      </w:r>
      <w:r>
        <w:rPr>
          <w:spacing w:val="-2"/>
        </w:rPr>
        <w:t> </w:t>
      </w:r>
      <w:r>
        <w:rPr/>
        <w:t>cellulose.</w:t>
      </w:r>
      <w:r>
        <w:rPr>
          <w:spacing w:val="1"/>
        </w:rPr>
        <w:t> </w:t>
      </w:r>
      <w:r>
        <w:rPr>
          <w:i/>
        </w:rPr>
        <w:t>Pharmaceutical</w:t>
      </w:r>
      <w:r>
        <w:rPr>
          <w:i/>
          <w:spacing w:val="-1"/>
        </w:rPr>
        <w:t> </w:t>
      </w:r>
      <w:r>
        <w:rPr>
          <w:i/>
        </w:rPr>
        <w:t>Technology</w:t>
      </w:r>
      <w:r>
        <w:rPr/>
        <w:t>, </w:t>
      </w:r>
      <w:r>
        <w:rPr>
          <w:b/>
        </w:rPr>
        <w:t>22</w:t>
      </w:r>
      <w:r>
        <w:rPr/>
        <w:t>:78-88.</w:t>
      </w:r>
    </w:p>
    <w:p>
      <w:pPr>
        <w:spacing w:before="120"/>
        <w:ind w:left="1185" w:right="1255" w:hanging="720"/>
        <w:jc w:val="both"/>
        <w:rPr>
          <w:sz w:val="24"/>
        </w:rPr>
      </w:pPr>
      <w:r>
        <w:rPr>
          <w:sz w:val="24"/>
        </w:rPr>
        <w:t>Shittu, A. O., Oyi, A. R., Isah, A. B. and Ibrahim, M. A. (2012). Formulation and</w:t>
      </w:r>
      <w:r>
        <w:rPr>
          <w:spacing w:val="1"/>
          <w:sz w:val="24"/>
        </w:rPr>
        <w:t> </w:t>
      </w:r>
      <w:r>
        <w:rPr>
          <w:sz w:val="24"/>
        </w:rPr>
        <w:t>evaluation of a 2-component composite excipient “Microcrystarlac” as a filler-</w:t>
      </w:r>
      <w:r>
        <w:rPr>
          <w:spacing w:val="1"/>
          <w:sz w:val="24"/>
        </w:rPr>
        <w:t> </w:t>
      </w:r>
      <w:r>
        <w:rPr>
          <w:sz w:val="24"/>
        </w:rPr>
        <w:t>binder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direct</w:t>
      </w:r>
      <w:r>
        <w:rPr>
          <w:spacing w:val="1"/>
          <w:sz w:val="24"/>
        </w:rPr>
        <w:t> </w:t>
      </w:r>
      <w:r>
        <w:rPr>
          <w:sz w:val="24"/>
        </w:rPr>
        <w:t>compression.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b/>
          <w:sz w:val="24"/>
        </w:rPr>
        <w:t>1(3)</w:t>
      </w:r>
      <w:r>
        <w:rPr>
          <w:sz w:val="24"/>
        </w:rPr>
        <w:t>: 5-26.</w:t>
      </w:r>
    </w:p>
    <w:p>
      <w:pPr>
        <w:pStyle w:val="BodyText"/>
        <w:spacing w:before="6"/>
      </w:pPr>
    </w:p>
    <w:p>
      <w:pPr>
        <w:spacing w:before="0"/>
        <w:ind w:left="1185" w:right="1253" w:hanging="720"/>
        <w:jc w:val="both"/>
        <w:rPr>
          <w:sz w:val="24"/>
        </w:rPr>
      </w:pPr>
      <w:r>
        <w:rPr>
          <w:sz w:val="24"/>
        </w:rPr>
        <w:t>Silverstein, R.M. and Webster, F. X. (1998). </w:t>
      </w:r>
      <w:r>
        <w:rPr>
          <w:i/>
          <w:sz w:val="24"/>
        </w:rPr>
        <w:t>Spectrometric identification of organic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compounds</w:t>
      </w:r>
      <w:r>
        <w:rPr>
          <w:i/>
          <w:spacing w:val="-1"/>
          <w:sz w:val="24"/>
        </w:rPr>
        <w:t> </w:t>
      </w:r>
      <w:r>
        <w:rPr>
          <w:sz w:val="24"/>
        </w:rPr>
        <w:t>(6th</w:t>
      </w:r>
      <w:r>
        <w:rPr>
          <w:spacing w:val="-1"/>
          <w:sz w:val="24"/>
        </w:rPr>
        <w:t> </w:t>
      </w:r>
      <w:r>
        <w:rPr>
          <w:sz w:val="24"/>
        </w:rPr>
        <w:t>Edition). New York: John</w:t>
      </w:r>
      <w:r>
        <w:rPr>
          <w:spacing w:val="-1"/>
          <w:sz w:val="24"/>
        </w:rPr>
        <w:t> </w:t>
      </w:r>
      <w:r>
        <w:rPr>
          <w:sz w:val="24"/>
        </w:rPr>
        <w:t>Wiley</w:t>
      </w:r>
      <w:r>
        <w:rPr>
          <w:spacing w:val="-6"/>
          <w:sz w:val="24"/>
        </w:rPr>
        <w:t> </w:t>
      </w:r>
      <w:r>
        <w:rPr>
          <w:sz w:val="24"/>
        </w:rPr>
        <w:t>and Sons,</w:t>
      </w:r>
      <w:r>
        <w:rPr>
          <w:spacing w:val="2"/>
          <w:sz w:val="24"/>
        </w:rPr>
        <w:t> </w:t>
      </w:r>
      <w:r>
        <w:rPr>
          <w:sz w:val="24"/>
        </w:rPr>
        <w:t>Inc.</w:t>
      </w:r>
    </w:p>
    <w:p>
      <w:pPr>
        <w:pStyle w:val="BodyText"/>
        <w:spacing w:before="2"/>
      </w:pPr>
    </w:p>
    <w:p>
      <w:pPr>
        <w:pStyle w:val="BodyText"/>
        <w:ind w:left="1185" w:right="1259" w:hanging="720"/>
        <w:jc w:val="both"/>
      </w:pPr>
      <w:r>
        <w:rPr/>
        <w:t>Singh, B., Kapil, R., Nandi, M. and Ahuja, N. (2011). Developing oral drug delivery</w:t>
      </w:r>
      <w:r>
        <w:rPr>
          <w:spacing w:val="1"/>
        </w:rPr>
        <w:t> </w:t>
      </w:r>
      <w:r>
        <w:rPr/>
        <w:t>systems using formulation by design: vital precepts, retrospect and prospect.</w:t>
      </w:r>
      <w:r>
        <w:rPr>
          <w:spacing w:val="1"/>
        </w:rPr>
        <w:t> </w:t>
      </w:r>
      <w:r>
        <w:rPr>
          <w:i/>
        </w:rPr>
        <w:t>Expert</w:t>
      </w:r>
      <w:r>
        <w:rPr>
          <w:i/>
          <w:spacing w:val="-1"/>
        </w:rPr>
        <w:t> </w:t>
      </w:r>
      <w:r>
        <w:rPr>
          <w:i/>
        </w:rPr>
        <w:t>Opinion Drug Delivery</w:t>
      </w:r>
      <w:r>
        <w:rPr/>
        <w:t>, </w:t>
      </w:r>
      <w:r>
        <w:rPr>
          <w:b/>
        </w:rPr>
        <w:t>8(10)</w:t>
      </w:r>
      <w:r>
        <w:rPr/>
        <w:t>: 1341-1360.</w:t>
      </w:r>
    </w:p>
    <w:p>
      <w:pPr>
        <w:pStyle w:val="BodyText"/>
        <w:spacing w:before="121"/>
        <w:ind w:left="1185" w:right="1253" w:hanging="720"/>
        <w:jc w:val="both"/>
      </w:pPr>
      <w:r>
        <w:rPr/>
        <w:t>Singh, I., Kaur, B. and Juneja, P. (2014). Preparation and characterization of starch-</w:t>
      </w:r>
      <w:r>
        <w:rPr>
          <w:spacing w:val="1"/>
        </w:rPr>
        <w:t> </w:t>
      </w:r>
      <w:r>
        <w:rPr/>
        <w:t>metal silicate co-precipitate-Evaluation as a tablet superdisintegrant. </w:t>
      </w:r>
      <w:r>
        <w:rPr>
          <w:i/>
        </w:rPr>
        <w:t>Polim Med</w:t>
      </w:r>
      <w:r>
        <w:rPr/>
        <w:t>,</w:t>
      </w:r>
      <w:r>
        <w:rPr>
          <w:spacing w:val="-57"/>
        </w:rPr>
        <w:t> </w:t>
      </w:r>
      <w:r>
        <w:rPr>
          <w:b/>
        </w:rPr>
        <w:t>44</w:t>
      </w:r>
      <w:r>
        <w:rPr>
          <w:b/>
          <w:spacing w:val="-1"/>
        </w:rPr>
        <w:t> </w:t>
      </w:r>
      <w:r>
        <w:rPr>
          <w:b/>
        </w:rPr>
        <w:t>(3)</w:t>
      </w:r>
      <w:r>
        <w:rPr/>
        <w:t>: 157-166.</w:t>
      </w:r>
    </w:p>
    <w:p>
      <w:pPr>
        <w:pStyle w:val="BodyText"/>
        <w:spacing w:before="122"/>
        <w:ind w:left="465"/>
        <w:jc w:val="both"/>
      </w:pPr>
      <w:r>
        <w:rPr/>
        <w:t>Sitterley,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(2008).</w:t>
      </w:r>
      <w:r>
        <w:rPr>
          <w:spacing w:val="-1"/>
        </w:rPr>
        <w:t> </w:t>
      </w:r>
      <w:r>
        <w:rPr/>
        <w:t>Gelatins.</w:t>
      </w:r>
      <w:r>
        <w:rPr>
          <w:spacing w:val="1"/>
        </w:rPr>
        <w:t> </w:t>
      </w:r>
      <w:r>
        <w:rPr>
          <w:i/>
        </w:rPr>
        <w:t>Biofiles</w:t>
      </w:r>
      <w:r>
        <w:rPr/>
        <w:t>,</w:t>
      </w:r>
      <w:r>
        <w:rPr>
          <w:spacing w:val="-1"/>
        </w:rPr>
        <w:t> </w:t>
      </w:r>
      <w:r>
        <w:rPr/>
        <w:t>3,</w:t>
      </w:r>
      <w:r>
        <w:rPr>
          <w:spacing w:val="-1"/>
        </w:rPr>
        <w:t> </w:t>
      </w:r>
      <w:r>
        <w:rPr/>
        <w:t>8,</w:t>
      </w:r>
      <w:r>
        <w:rPr>
          <w:spacing w:val="-1"/>
        </w:rPr>
        <w:t> </w:t>
      </w:r>
      <w:r>
        <w:rPr/>
        <w:t>10.</w:t>
      </w:r>
    </w:p>
    <w:p>
      <w:pPr>
        <w:pStyle w:val="BodyText"/>
        <w:spacing w:before="140"/>
        <w:ind w:left="1185" w:right="1256" w:hanging="720"/>
        <w:jc w:val="both"/>
      </w:pPr>
      <w:r>
        <w:rPr/>
        <w:t>Staniforth, J. N. and Chatrath, M. (1996). Towards a new class of high functionality</w:t>
      </w:r>
      <w:r>
        <w:rPr>
          <w:spacing w:val="1"/>
        </w:rPr>
        <w:t> </w:t>
      </w:r>
      <w:r>
        <w:rPr/>
        <w:t>tablet binders. I: Quasi-hornification of microcrystalline cellulose and loss of</w:t>
      </w:r>
      <w:r>
        <w:rPr>
          <w:spacing w:val="1"/>
        </w:rPr>
        <w:t> </w:t>
      </w:r>
      <w:r>
        <w:rPr/>
        <w:t>functionality. </w:t>
      </w:r>
      <w:r>
        <w:rPr>
          <w:i/>
        </w:rPr>
        <w:t>Pharmaceutical Research</w:t>
      </w:r>
      <w:r>
        <w:rPr/>
        <w:t>, </w:t>
      </w:r>
      <w:r>
        <w:rPr>
          <w:b/>
        </w:rPr>
        <w:t>13(9)</w:t>
      </w:r>
      <w:r>
        <w:rPr/>
        <w:t>: S208.</w:t>
      </w:r>
    </w:p>
    <w:p>
      <w:pPr>
        <w:pStyle w:val="BodyText"/>
        <w:spacing w:before="7"/>
      </w:pPr>
    </w:p>
    <w:p>
      <w:pPr>
        <w:spacing w:line="237" w:lineRule="auto" w:before="0"/>
        <w:ind w:left="1185" w:right="1260" w:hanging="720"/>
        <w:jc w:val="both"/>
        <w:rPr>
          <w:sz w:val="24"/>
        </w:rPr>
      </w:pPr>
      <w:r>
        <w:rPr>
          <w:sz w:val="24"/>
        </w:rPr>
        <w:t>Sun, C. C. (2011). Decoding Powder Tabletability: Roles of Particle Adhesion and</w:t>
      </w:r>
      <w:r>
        <w:rPr>
          <w:spacing w:val="1"/>
          <w:sz w:val="24"/>
        </w:rPr>
        <w:t> </w:t>
      </w:r>
      <w:r>
        <w:rPr>
          <w:sz w:val="24"/>
        </w:rPr>
        <w:t>Plasticity.</w:t>
      </w:r>
      <w:r>
        <w:rPr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Adhesion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25(4-5)</w:t>
      </w:r>
      <w:r>
        <w:rPr>
          <w:sz w:val="24"/>
        </w:rPr>
        <w:t>: 483–499.</w:t>
      </w:r>
    </w:p>
    <w:p>
      <w:pPr>
        <w:pStyle w:val="BodyText"/>
        <w:spacing w:before="5"/>
      </w:pPr>
    </w:p>
    <w:p>
      <w:pPr>
        <w:pStyle w:val="BodyText"/>
        <w:spacing w:before="1"/>
        <w:ind w:left="1185" w:right="1254" w:hanging="720"/>
        <w:jc w:val="both"/>
      </w:pPr>
      <w:r>
        <w:rPr/>
        <w:t>Taylor, M. K., Ginsburg, J., Hickey, A. J. and Gheyas, F. (2000). Composite method to</w:t>
      </w:r>
      <w:r>
        <w:rPr>
          <w:spacing w:val="1"/>
        </w:rPr>
        <w:t> </w:t>
      </w:r>
      <w:r>
        <w:rPr/>
        <w:t>quantify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capsule</w:t>
      </w:r>
      <w:r>
        <w:rPr>
          <w:spacing w:val="1"/>
        </w:rPr>
        <w:t> </w:t>
      </w:r>
      <w:r>
        <w:rPr/>
        <w:t>formulation</w:t>
      </w:r>
      <w:r>
        <w:rPr>
          <w:spacing w:val="-1"/>
        </w:rPr>
        <w:t> </w:t>
      </w:r>
      <w:r>
        <w:rPr/>
        <w:t>development.</w:t>
      </w:r>
      <w:r>
        <w:rPr>
          <w:spacing w:val="1"/>
        </w:rPr>
        <w:t> </w:t>
      </w:r>
      <w:r>
        <w:rPr>
          <w:i/>
        </w:rPr>
        <w:t>AAPS</w:t>
      </w:r>
      <w:r>
        <w:rPr>
          <w:i/>
          <w:spacing w:val="-1"/>
        </w:rPr>
        <w:t> </w:t>
      </w:r>
      <w:r>
        <w:rPr>
          <w:i/>
        </w:rPr>
        <w:t>PharmSciTech</w:t>
      </w:r>
      <w:r>
        <w:rPr/>
        <w:t>, </w:t>
      </w:r>
      <w:r>
        <w:rPr>
          <w:b/>
        </w:rPr>
        <w:t>1</w:t>
      </w:r>
      <w:r>
        <w:rPr/>
        <w:t>:1-11.</w:t>
      </w:r>
    </w:p>
    <w:p>
      <w:pPr>
        <w:pStyle w:val="BodyText"/>
        <w:spacing w:before="5"/>
      </w:pPr>
    </w:p>
    <w:p>
      <w:pPr>
        <w:spacing w:before="0"/>
        <w:ind w:left="1185" w:right="1258" w:hanging="720"/>
        <w:jc w:val="both"/>
        <w:rPr>
          <w:sz w:val="24"/>
        </w:rPr>
      </w:pPr>
      <w:r>
        <w:rPr>
          <w:sz w:val="24"/>
        </w:rPr>
        <w:t>Tester, R. F., Karkalas, J. and Qi, X. (2004). Starch - Composition, fine structure and</w:t>
      </w:r>
      <w:r>
        <w:rPr>
          <w:spacing w:val="1"/>
          <w:sz w:val="24"/>
        </w:rPr>
        <w:t> </w:t>
      </w:r>
      <w:r>
        <w:rPr>
          <w:sz w:val="24"/>
        </w:rPr>
        <w:t>architecture. </w:t>
      </w:r>
      <w:r>
        <w:rPr>
          <w:i/>
          <w:sz w:val="24"/>
        </w:rPr>
        <w:t>Journal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Cereal Science</w:t>
      </w:r>
      <w:r>
        <w:rPr>
          <w:sz w:val="24"/>
        </w:rPr>
        <w:t>, </w:t>
      </w:r>
      <w:r>
        <w:rPr>
          <w:b/>
          <w:sz w:val="24"/>
        </w:rPr>
        <w:t>39(2)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151–165.</w:t>
      </w:r>
    </w:p>
    <w:p>
      <w:pPr>
        <w:pStyle w:val="BodyText"/>
        <w:spacing w:before="2"/>
      </w:pPr>
    </w:p>
    <w:p>
      <w:pPr>
        <w:pStyle w:val="BodyText"/>
        <w:ind w:left="465"/>
        <w:jc w:val="both"/>
      </w:pPr>
      <w:r>
        <w:rPr/>
        <w:t>Thoorens,</w:t>
      </w:r>
      <w:r>
        <w:rPr>
          <w:spacing w:val="12"/>
        </w:rPr>
        <w:t> </w:t>
      </w:r>
      <w:r>
        <w:rPr/>
        <w:t>G.,</w:t>
      </w:r>
      <w:r>
        <w:rPr>
          <w:spacing w:val="15"/>
        </w:rPr>
        <w:t> </w:t>
      </w:r>
      <w:r>
        <w:rPr/>
        <w:t>Leclercq,</w:t>
      </w:r>
      <w:r>
        <w:rPr>
          <w:spacing w:val="12"/>
        </w:rPr>
        <w:t> </w:t>
      </w:r>
      <w:r>
        <w:rPr/>
        <w:t>B.,</w:t>
      </w:r>
      <w:r>
        <w:rPr>
          <w:spacing w:val="13"/>
        </w:rPr>
        <w:t> </w:t>
      </w:r>
      <w:r>
        <w:rPr/>
        <w:t>Carlin,</w:t>
      </w:r>
      <w:r>
        <w:rPr>
          <w:spacing w:val="12"/>
        </w:rPr>
        <w:t> </w:t>
      </w:r>
      <w:r>
        <w:rPr/>
        <w:t>B.,</w:t>
      </w:r>
      <w:r>
        <w:rPr>
          <w:spacing w:val="13"/>
        </w:rPr>
        <w:t> </w:t>
      </w:r>
      <w:r>
        <w:rPr/>
        <w:t>Riley,</w:t>
      </w:r>
      <w:r>
        <w:rPr>
          <w:spacing w:val="13"/>
        </w:rPr>
        <w:t> </w:t>
      </w:r>
      <w:r>
        <w:rPr/>
        <w:t>P.,</w:t>
      </w:r>
      <w:r>
        <w:rPr>
          <w:spacing w:val="12"/>
        </w:rPr>
        <w:t> </w:t>
      </w:r>
      <w:r>
        <w:rPr/>
        <w:t>Garcia,</w:t>
      </w:r>
      <w:r>
        <w:rPr>
          <w:spacing w:val="12"/>
        </w:rPr>
        <w:t> </w:t>
      </w:r>
      <w:r>
        <w:rPr/>
        <w:t>M.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It</w:t>
      </w:r>
      <w:r>
        <w:rPr>
          <w:spacing w:val="13"/>
        </w:rPr>
        <w:t> </w:t>
      </w:r>
      <w:r>
        <w:rPr/>
        <w:t>P,</w:t>
      </w:r>
      <w:r>
        <w:rPr>
          <w:spacing w:val="12"/>
        </w:rPr>
        <w:t> </w:t>
      </w:r>
      <w:r>
        <w:rPr/>
        <w:t>inventors</w:t>
      </w:r>
      <w:r>
        <w:rPr>
          <w:spacing w:val="13"/>
        </w:rPr>
        <w:t> </w:t>
      </w:r>
      <w:r>
        <w:rPr/>
        <w:t>(2008).</w:t>
      </w:r>
    </w:p>
    <w:p>
      <w:pPr>
        <w:spacing w:before="0"/>
        <w:ind w:left="1185" w:right="0" w:firstLine="0"/>
        <w:jc w:val="both"/>
        <w:rPr>
          <w:sz w:val="24"/>
        </w:rPr>
      </w:pPr>
      <w:r>
        <w:rPr>
          <w:sz w:val="24"/>
        </w:rPr>
        <w:t>Dry</w:t>
      </w:r>
      <w:r>
        <w:rPr>
          <w:spacing w:val="-4"/>
          <w:sz w:val="24"/>
        </w:rPr>
        <w:t> </w:t>
      </w:r>
      <w:r>
        <w:rPr>
          <w:sz w:val="24"/>
        </w:rPr>
        <w:t>granulation</w:t>
      </w:r>
      <w:r>
        <w:rPr>
          <w:spacing w:val="-1"/>
          <w:sz w:val="24"/>
        </w:rPr>
        <w:t> </w:t>
      </w:r>
      <w:r>
        <w:rPr>
          <w:sz w:val="24"/>
        </w:rPr>
        <w:t>binders, products,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thereof.</w:t>
      </w:r>
      <w:r>
        <w:rPr>
          <w:spacing w:val="4"/>
          <w:sz w:val="24"/>
        </w:rPr>
        <w:t> </w:t>
      </w:r>
      <w:r>
        <w:rPr>
          <w:i/>
          <w:sz w:val="24"/>
        </w:rPr>
        <w:t>WO/2008/057266</w:t>
      </w:r>
      <w:r>
        <w:rPr>
          <w:sz w:val="24"/>
        </w:rPr>
        <w:t>.</w:t>
      </w:r>
    </w:p>
    <w:p>
      <w:pPr>
        <w:pStyle w:val="BodyText"/>
        <w:spacing w:before="121"/>
        <w:ind w:left="1185" w:right="1255" w:hanging="720"/>
        <w:jc w:val="both"/>
      </w:pPr>
      <w:r>
        <w:rPr/>
        <w:t>Tobyn, M. J., McCarthy, G. P., Staniforth, J. N. and Edge, S. (1998). Physicochemical</w:t>
      </w:r>
      <w:r>
        <w:rPr>
          <w:spacing w:val="1"/>
        </w:rPr>
        <w:t> </w:t>
      </w:r>
      <w:r>
        <w:rPr/>
        <w:t>comparison between microcrystalline cellulose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silicified microcrystalline</w:t>
      </w:r>
      <w:r>
        <w:rPr>
          <w:spacing w:val="1"/>
        </w:rPr>
        <w:t> </w:t>
      </w:r>
      <w:r>
        <w:rPr/>
        <w:t>cellulose.</w:t>
      </w:r>
      <w:r>
        <w:rPr>
          <w:spacing w:val="-1"/>
        </w:rPr>
        <w:t> </w:t>
      </w:r>
      <w:r>
        <w:rPr>
          <w:i/>
        </w:rPr>
        <w:t>International 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Pharmaceutics</w:t>
      </w:r>
      <w:r>
        <w:rPr/>
        <w:t>,</w:t>
      </w:r>
      <w:r>
        <w:rPr>
          <w:b/>
        </w:rPr>
        <w:t>169(2)</w:t>
      </w:r>
      <w:r>
        <w:rPr/>
        <w:t>:183-194.</w:t>
      </w:r>
    </w:p>
    <w:p>
      <w:pPr>
        <w:spacing w:before="120"/>
        <w:ind w:left="1185" w:right="1256" w:hanging="720"/>
        <w:jc w:val="both"/>
        <w:rPr>
          <w:sz w:val="24"/>
        </w:rPr>
      </w:pPr>
      <w:r>
        <w:rPr>
          <w:sz w:val="24"/>
        </w:rPr>
        <w:t>Tonukari,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Cassava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starch.</w:t>
      </w:r>
      <w:r>
        <w:rPr>
          <w:spacing w:val="1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7</w:t>
      </w:r>
      <w:r>
        <w:rPr>
          <w:sz w:val="24"/>
        </w:rPr>
        <w:t>: 5–8.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tabs>
          <w:tab w:pos="1905" w:val="left" w:leader="none"/>
        </w:tabs>
        <w:spacing w:before="72"/>
        <w:ind w:left="945" w:right="1254" w:hanging="480"/>
        <w:jc w:val="right"/>
      </w:pPr>
      <w:r>
        <w:rPr/>
        <w:t>Tuomela,</w:t>
      </w:r>
      <w:r>
        <w:rPr>
          <w:spacing w:val="26"/>
        </w:rPr>
        <w:t> </w:t>
      </w:r>
      <w:r>
        <w:rPr/>
        <w:t>A.,</w:t>
      </w:r>
      <w:r>
        <w:rPr>
          <w:spacing w:val="29"/>
        </w:rPr>
        <w:t> </w:t>
      </w:r>
      <w:r>
        <w:rPr/>
        <w:t>Laaksonen,</w:t>
      </w:r>
      <w:r>
        <w:rPr>
          <w:spacing w:val="27"/>
        </w:rPr>
        <w:t> </w:t>
      </w:r>
      <w:r>
        <w:rPr/>
        <w:t>T.,</w:t>
      </w:r>
      <w:r>
        <w:rPr>
          <w:spacing w:val="29"/>
        </w:rPr>
        <w:t> </w:t>
      </w:r>
      <w:r>
        <w:rPr/>
        <w:t>Laru,</w:t>
      </w:r>
      <w:r>
        <w:rPr>
          <w:spacing w:val="26"/>
        </w:rPr>
        <w:t> </w:t>
      </w:r>
      <w:r>
        <w:rPr/>
        <w:t>J.,</w:t>
      </w:r>
      <w:r>
        <w:rPr>
          <w:spacing w:val="27"/>
        </w:rPr>
        <w:t> </w:t>
      </w:r>
      <w:r>
        <w:rPr/>
        <w:t>Antikainen,</w:t>
      </w:r>
      <w:r>
        <w:rPr>
          <w:spacing w:val="27"/>
        </w:rPr>
        <w:t> </w:t>
      </w:r>
      <w:r>
        <w:rPr/>
        <w:t>O.,</w:t>
      </w:r>
      <w:r>
        <w:rPr>
          <w:spacing w:val="27"/>
        </w:rPr>
        <w:t> </w:t>
      </w:r>
      <w:r>
        <w:rPr/>
        <w:t>Kiesvaara,</w:t>
      </w:r>
      <w:r>
        <w:rPr>
          <w:spacing w:val="27"/>
        </w:rPr>
        <w:t> </w:t>
      </w:r>
      <w:r>
        <w:rPr/>
        <w:t>J.,</w:t>
      </w:r>
      <w:r>
        <w:rPr>
          <w:spacing w:val="27"/>
        </w:rPr>
        <w:t> </w:t>
      </w:r>
      <w:r>
        <w:rPr/>
        <w:t>Ilkka,</w:t>
      </w:r>
      <w:r>
        <w:rPr>
          <w:spacing w:val="27"/>
        </w:rPr>
        <w:t> </w:t>
      </w:r>
      <w:r>
        <w:rPr/>
        <w:t>J.,</w:t>
      </w:r>
      <w:r>
        <w:rPr>
          <w:spacing w:val="26"/>
        </w:rPr>
        <w:t> </w:t>
      </w:r>
      <w:r>
        <w:rPr/>
        <w:t>Oksala,</w:t>
      </w:r>
      <w:r>
        <w:rPr>
          <w:spacing w:val="-57"/>
        </w:rPr>
        <w:t> </w:t>
      </w:r>
      <w:r>
        <w:rPr/>
        <w:t>O.,</w:t>
      </w:r>
      <w:r>
        <w:rPr>
          <w:spacing w:val="1"/>
        </w:rPr>
        <w:t> </w:t>
      </w:r>
      <w:r>
        <w:rPr/>
        <w:t>Rönkkö,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Järvinen,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nanocrystal</w:t>
      </w:r>
      <w:r>
        <w:rPr>
          <w:spacing w:val="1"/>
        </w:rPr>
        <w:t> </w:t>
      </w:r>
      <w:r>
        <w:rPr/>
        <w:t>approachԐ :</w:t>
      </w:r>
      <w:r>
        <w:rPr>
          <w:spacing w:val="1"/>
        </w:rPr>
        <w:t> </w:t>
      </w:r>
      <w:r>
        <w:rPr/>
        <w:t>Critical</w:t>
      </w:r>
      <w:r>
        <w:rPr>
          <w:spacing w:val="60"/>
        </w:rPr>
        <w:t> </w:t>
      </w:r>
      <w:r>
        <w:rPr/>
        <w:t>process</w:t>
      </w:r>
      <w:r>
        <w:rPr>
          <w:spacing w:val="60"/>
        </w:rPr>
        <w:t> </w:t>
      </w:r>
      <w:r>
        <w:rPr/>
        <w:t>parameters</w:t>
      </w:r>
      <w:r>
        <w:rPr>
          <w:spacing w:val="60"/>
        </w:rPr>
        <w:t> </w:t>
      </w:r>
      <w:r>
        <w:rPr/>
        <w:t>regarding scale-ability of</w:t>
      </w:r>
      <w:r>
        <w:rPr>
          <w:spacing w:val="60"/>
        </w:rPr>
        <w:t> </w:t>
      </w:r>
      <w:r>
        <w:rPr/>
        <w:t>nanocrystals</w:t>
      </w:r>
      <w:r>
        <w:rPr>
          <w:spacing w:val="1"/>
        </w:rPr>
        <w:t> </w:t>
      </w:r>
      <w:r>
        <w:rPr/>
        <w:t>for</w:t>
        <w:tab/>
        <w:t>tableting</w:t>
      </w:r>
      <w:r>
        <w:rPr>
          <w:spacing w:val="8"/>
        </w:rPr>
        <w:t> </w:t>
      </w:r>
      <w:r>
        <w:rPr/>
        <w:t>applications.</w:t>
      </w:r>
      <w:r>
        <w:rPr>
          <w:spacing w:val="13"/>
        </w:rPr>
        <w:t> </w:t>
      </w:r>
      <w:r>
        <w:rPr>
          <w:i/>
          <w:iCs/>
        </w:rPr>
        <w:t>International</w:t>
      </w:r>
      <w:r>
        <w:rPr>
          <w:i/>
          <w:iCs/>
          <w:spacing w:val="12"/>
        </w:rPr>
        <w:t> </w:t>
      </w:r>
      <w:r>
        <w:rPr>
          <w:i/>
          <w:iCs/>
        </w:rPr>
        <w:t>Journal</w:t>
      </w:r>
      <w:r>
        <w:rPr>
          <w:i/>
          <w:iCs/>
          <w:spacing w:val="11"/>
        </w:rPr>
        <w:t> </w:t>
      </w:r>
      <w:r>
        <w:rPr>
          <w:i/>
          <w:iCs/>
        </w:rPr>
        <w:t>of</w:t>
      </w:r>
      <w:r>
        <w:rPr>
          <w:i/>
          <w:iCs/>
          <w:spacing w:val="12"/>
        </w:rPr>
        <w:t> </w:t>
      </w:r>
      <w:r>
        <w:rPr>
          <w:i/>
          <w:iCs/>
        </w:rPr>
        <w:t>Pharmaceutics</w:t>
      </w:r>
      <w:r>
        <w:rPr/>
        <w:t>,</w:t>
      </w:r>
      <w:r>
        <w:rPr>
          <w:spacing w:val="11"/>
        </w:rPr>
        <w:t> </w:t>
      </w:r>
      <w:r>
        <w:rPr>
          <w:b/>
          <w:bCs/>
        </w:rPr>
        <w:t>485:</w:t>
      </w:r>
      <w:r>
        <w:rPr>
          <w:b/>
          <w:bCs/>
          <w:spacing w:val="11"/>
        </w:rPr>
        <w:t> </w:t>
      </w:r>
      <w:r>
        <w:rPr/>
        <w:t>77–</w:t>
      </w:r>
    </w:p>
    <w:p>
      <w:pPr>
        <w:pStyle w:val="BodyText"/>
        <w:ind w:left="945"/>
      </w:pPr>
      <w:r>
        <w:rPr/>
        <w:t>86.</w:t>
      </w:r>
    </w:p>
    <w:p>
      <w:pPr>
        <w:pStyle w:val="BodyText"/>
        <w:spacing w:before="2"/>
      </w:pPr>
    </w:p>
    <w:p>
      <w:pPr>
        <w:pStyle w:val="BodyText"/>
        <w:spacing w:before="1"/>
        <w:ind w:left="1185" w:right="1259" w:hanging="720"/>
        <w:jc w:val="both"/>
      </w:pPr>
      <w:r>
        <w:rPr/>
        <w:t>Upadhyay, P., Khomane, K. S., Kumar, L. and Bansal, A. K. (2013). Relationship</w:t>
      </w:r>
      <w:r>
        <w:rPr>
          <w:spacing w:val="1"/>
        </w:rPr>
        <w:t> </w:t>
      </w:r>
      <w:r>
        <w:rPr/>
        <w:t>between crystal structure and mechanical properties of ranitidine hydrochloride</w:t>
      </w:r>
      <w:r>
        <w:rPr>
          <w:spacing w:val="1"/>
        </w:rPr>
        <w:t> </w:t>
      </w:r>
      <w:r>
        <w:rPr/>
        <w:t>polymorphs.</w:t>
      </w:r>
      <w:r>
        <w:rPr>
          <w:spacing w:val="-1"/>
        </w:rPr>
        <w:t> </w:t>
      </w:r>
      <w:r>
        <w:rPr>
          <w:i/>
        </w:rPr>
        <w:t>CrystEngComm</w:t>
      </w:r>
      <w:r>
        <w:rPr/>
        <w:t>, </w:t>
      </w:r>
      <w:r>
        <w:rPr>
          <w:i/>
        </w:rPr>
        <w:t>15</w:t>
      </w:r>
      <w:r>
        <w:rPr/>
        <w:t>, 3959-3964.</w:t>
      </w:r>
    </w:p>
    <w:p>
      <w:pPr>
        <w:pStyle w:val="BodyText"/>
        <w:spacing w:before="4"/>
      </w:pPr>
    </w:p>
    <w:p>
      <w:pPr>
        <w:pStyle w:val="BodyText"/>
        <w:ind w:left="1185" w:right="1261" w:hanging="720"/>
        <w:jc w:val="both"/>
      </w:pPr>
      <w:r>
        <w:rPr/>
        <w:t>USP/NF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chapters:</w:t>
      </w:r>
      <w:r>
        <w:rPr>
          <w:spacing w:val="1"/>
        </w:rPr>
        <w:t> </w:t>
      </w:r>
      <w:r>
        <w:rPr/>
        <w:t>Disintegration,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drying,</w:t>
      </w:r>
      <w:r>
        <w:rPr>
          <w:spacing w:val="1"/>
        </w:rPr>
        <w:t> </w:t>
      </w:r>
      <w:r>
        <w:rPr/>
        <w:t>viscosity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friability.</w:t>
      </w:r>
      <w:r>
        <w:rPr>
          <w:spacing w:val="1"/>
        </w:rPr>
        <w:t> </w:t>
      </w:r>
      <w:r>
        <w:rPr/>
        <w:t>In: USP.</w:t>
      </w:r>
      <w:r>
        <w:rPr>
          <w:spacing w:val="-1"/>
        </w:rPr>
        <w:t> </w:t>
      </w:r>
      <w:r>
        <w:rPr/>
        <w:t>Rockville, MD:</w:t>
      </w:r>
      <w:r>
        <w:rPr>
          <w:spacing w:val="3"/>
        </w:rPr>
        <w:t> </w:t>
      </w:r>
      <w:r>
        <w:rPr>
          <w:i/>
        </w:rPr>
        <w:t>USP32-NF27</w:t>
      </w:r>
      <w:r>
        <w:rPr/>
        <w:t>,</w:t>
      </w:r>
      <w:r>
        <w:rPr>
          <w:spacing w:val="-1"/>
        </w:rPr>
        <w:t> </w:t>
      </w:r>
      <w:r>
        <w:rPr/>
        <w:t>pp.2411-2748.</w:t>
      </w:r>
    </w:p>
    <w:p>
      <w:pPr>
        <w:pStyle w:val="BodyText"/>
        <w:spacing w:before="6"/>
      </w:pPr>
    </w:p>
    <w:p>
      <w:pPr>
        <w:pStyle w:val="BodyText"/>
        <w:ind w:left="465"/>
        <w:jc w:val="both"/>
      </w:pPr>
      <w:r>
        <w:rPr/>
        <w:t>Van</w:t>
      </w:r>
      <w:r>
        <w:rPr>
          <w:spacing w:val="7"/>
        </w:rPr>
        <w:t> </w:t>
      </w:r>
      <w:r>
        <w:rPr/>
        <w:t>De</w:t>
      </w:r>
      <w:r>
        <w:rPr>
          <w:spacing w:val="9"/>
        </w:rPr>
        <w:t> </w:t>
      </w:r>
      <w:r>
        <w:rPr/>
        <w:t>Velde,</w:t>
      </w:r>
      <w:r>
        <w:rPr>
          <w:spacing w:val="8"/>
        </w:rPr>
        <w:t> </w:t>
      </w:r>
      <w:r>
        <w:rPr/>
        <w:t>F.,</w:t>
      </w:r>
      <w:r>
        <w:rPr>
          <w:spacing w:val="10"/>
        </w:rPr>
        <w:t> </w:t>
      </w:r>
      <w:r>
        <w:rPr/>
        <w:t>Weinbreck,</w:t>
      </w:r>
      <w:r>
        <w:rPr>
          <w:spacing w:val="10"/>
        </w:rPr>
        <w:t> </w:t>
      </w:r>
      <w:r>
        <w:rPr/>
        <w:t>F.,</w:t>
      </w:r>
      <w:r>
        <w:rPr>
          <w:spacing w:val="7"/>
        </w:rPr>
        <w:t> </w:t>
      </w:r>
      <w:r>
        <w:rPr/>
        <w:t>Edelman,</w:t>
      </w:r>
      <w:r>
        <w:rPr>
          <w:spacing w:val="8"/>
        </w:rPr>
        <w:t> </w:t>
      </w:r>
      <w:r>
        <w:rPr/>
        <w:t>M.</w:t>
      </w:r>
      <w:r>
        <w:rPr>
          <w:spacing w:val="11"/>
        </w:rPr>
        <w:t> </w:t>
      </w:r>
      <w:r>
        <w:rPr/>
        <w:t>W.,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/>
        <w:t>Der</w:t>
      </w:r>
      <w:r>
        <w:rPr>
          <w:spacing w:val="11"/>
        </w:rPr>
        <w:t> </w:t>
      </w:r>
      <w:r>
        <w:rPr/>
        <w:t>Linden,</w:t>
      </w:r>
      <w:r>
        <w:rPr>
          <w:spacing w:val="7"/>
        </w:rPr>
        <w:t> </w:t>
      </w:r>
      <w:r>
        <w:rPr/>
        <w:t>E.</w:t>
      </w:r>
      <w:r>
        <w:rPr>
          <w:spacing w:val="12"/>
        </w:rPr>
        <w:t> </w:t>
      </w:r>
      <w:r>
        <w:rPr/>
        <w:t>and</w:t>
      </w:r>
      <w:r>
        <w:rPr>
          <w:spacing w:val="8"/>
        </w:rPr>
        <w:t> </w:t>
      </w:r>
      <w:r>
        <w:rPr/>
        <w:t>Tromp,</w:t>
      </w:r>
      <w:r>
        <w:rPr>
          <w:spacing w:val="8"/>
        </w:rPr>
        <w:t> </w:t>
      </w:r>
      <w:r>
        <w:rPr/>
        <w:t>R.</w:t>
      </w:r>
    </w:p>
    <w:p>
      <w:pPr>
        <w:spacing w:before="0"/>
        <w:ind w:left="1185" w:right="1253" w:firstLine="0"/>
        <w:jc w:val="both"/>
        <w:rPr>
          <w:sz w:val="24"/>
        </w:rPr>
      </w:pPr>
      <w:r>
        <w:rPr>
          <w:sz w:val="24"/>
        </w:rPr>
        <w:t>H. (2003). Visualisation of biopolymer mixtures using confocal scanning laser</w:t>
      </w:r>
      <w:r>
        <w:rPr>
          <w:spacing w:val="1"/>
          <w:sz w:val="24"/>
        </w:rPr>
        <w:t> </w:t>
      </w:r>
      <w:r>
        <w:rPr>
          <w:sz w:val="24"/>
        </w:rPr>
        <w:t>microscopy (CSLM)</w:t>
      </w:r>
      <w:r>
        <w:rPr>
          <w:spacing w:val="1"/>
          <w:sz w:val="24"/>
        </w:rPr>
        <w:t> </w:t>
      </w:r>
      <w:r>
        <w:rPr>
          <w:sz w:val="24"/>
        </w:rPr>
        <w:t>and covalent labelling techniques.</w:t>
      </w:r>
      <w:r>
        <w:rPr>
          <w:spacing w:val="60"/>
          <w:sz w:val="24"/>
        </w:rPr>
        <w:t> </w:t>
      </w:r>
      <w:r>
        <w:rPr>
          <w:i/>
          <w:sz w:val="24"/>
        </w:rPr>
        <w:t>Colloids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 Surfaces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Biointerfaces</w:t>
      </w:r>
      <w:r>
        <w:rPr>
          <w:sz w:val="24"/>
        </w:rPr>
        <w:t>, </w:t>
      </w:r>
      <w:r>
        <w:rPr>
          <w:b/>
          <w:sz w:val="24"/>
        </w:rPr>
        <w:t>31(1-4)</w:t>
      </w:r>
      <w:r>
        <w:rPr>
          <w:sz w:val="24"/>
        </w:rPr>
        <w:t>: 159–168.</w:t>
      </w:r>
    </w:p>
    <w:p>
      <w:pPr>
        <w:pStyle w:val="BodyText"/>
        <w:spacing w:before="2"/>
      </w:pPr>
    </w:p>
    <w:p>
      <w:pPr>
        <w:spacing w:before="0"/>
        <w:ind w:left="1185" w:right="1255" w:hanging="720"/>
        <w:jc w:val="both"/>
        <w:rPr>
          <w:sz w:val="24"/>
        </w:rPr>
      </w:pPr>
      <w:r>
        <w:rPr>
          <w:sz w:val="24"/>
        </w:rPr>
        <w:t>Wagner,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Dressler,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corn</w:t>
      </w:r>
      <w:r>
        <w:rPr>
          <w:spacing w:val="1"/>
          <w:sz w:val="24"/>
        </w:rPr>
        <w:t> </w:t>
      </w:r>
      <w:r>
        <w:rPr>
          <w:sz w:val="24"/>
        </w:rPr>
        <w:t>starch/α-lactose</w:t>
      </w:r>
      <w:r>
        <w:rPr>
          <w:spacing w:val="1"/>
          <w:sz w:val="24"/>
        </w:rPr>
        <w:t> </w:t>
      </w:r>
      <w:r>
        <w:rPr>
          <w:sz w:val="24"/>
        </w:rPr>
        <w:t>monohydrate</w:t>
      </w:r>
      <w:r>
        <w:rPr>
          <w:spacing w:val="1"/>
          <w:sz w:val="24"/>
        </w:rPr>
        <w:t> </w:t>
      </w:r>
      <w:r>
        <w:rPr>
          <w:sz w:val="24"/>
        </w:rPr>
        <w:t>compound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directly</w:t>
      </w:r>
      <w:r>
        <w:rPr>
          <w:spacing w:val="1"/>
          <w:sz w:val="24"/>
        </w:rPr>
        <w:t> </w:t>
      </w:r>
      <w:r>
        <w:rPr>
          <w:sz w:val="24"/>
        </w:rPr>
        <w:t>compressible</w:t>
      </w:r>
      <w:r>
        <w:rPr>
          <w:spacing w:val="1"/>
          <w:sz w:val="24"/>
        </w:rPr>
        <w:t> </w:t>
      </w:r>
      <w:r>
        <w:rPr>
          <w:sz w:val="24"/>
        </w:rPr>
        <w:t>excipient.</w:t>
      </w:r>
      <w:r>
        <w:rPr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Europe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15</w:t>
      </w:r>
      <w:r>
        <w:rPr>
          <w:sz w:val="24"/>
        </w:rPr>
        <w:t>: 33-41.</w:t>
      </w:r>
    </w:p>
    <w:p>
      <w:pPr>
        <w:pStyle w:val="BodyText"/>
        <w:spacing w:before="5"/>
      </w:pPr>
    </w:p>
    <w:p>
      <w:pPr>
        <w:pStyle w:val="BodyText"/>
        <w:ind w:left="945" w:right="1260" w:hanging="480"/>
        <w:jc w:val="both"/>
      </w:pPr>
      <w:r>
        <w:rPr/>
        <w:t>Waigh, T. A., Gidley, M. J., Komanshek, B. U. and Donald, A. M. (2000). The phase</w:t>
      </w:r>
      <w:r>
        <w:rPr>
          <w:spacing w:val="1"/>
        </w:rPr>
        <w:t> </w:t>
      </w:r>
      <w:r>
        <w:rPr/>
        <w:t>transformations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gelatinisation: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crystalline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>
          <w:i/>
        </w:rPr>
        <w:t>Carbohydrate</w:t>
      </w:r>
      <w:r>
        <w:rPr>
          <w:i/>
          <w:spacing w:val="-2"/>
        </w:rPr>
        <w:t> </w:t>
      </w:r>
      <w:r>
        <w:rPr>
          <w:i/>
        </w:rPr>
        <w:t>Research</w:t>
      </w:r>
      <w:r>
        <w:rPr/>
        <w:t>,</w:t>
      </w:r>
      <w:r>
        <w:rPr>
          <w:spacing w:val="2"/>
        </w:rPr>
        <w:t> </w:t>
      </w:r>
      <w:r>
        <w:rPr>
          <w:b/>
        </w:rPr>
        <w:t>328(2)</w:t>
      </w:r>
      <w:r>
        <w:rPr/>
        <w:t>: 165–176.</w:t>
      </w:r>
    </w:p>
    <w:p>
      <w:pPr>
        <w:pStyle w:val="BodyText"/>
        <w:spacing w:before="5"/>
      </w:pPr>
    </w:p>
    <w:p>
      <w:pPr>
        <w:spacing w:before="1"/>
        <w:ind w:left="945" w:right="1259" w:hanging="480"/>
        <w:jc w:val="both"/>
        <w:rPr>
          <w:sz w:val="24"/>
        </w:rPr>
      </w:pPr>
      <w:r>
        <w:rPr>
          <w:sz w:val="24"/>
        </w:rPr>
        <w:t>Wong, L. W. and Pilpel, N. (1990). The effect of particle shape on the mechanical</w:t>
      </w:r>
      <w:r>
        <w:rPr>
          <w:spacing w:val="1"/>
          <w:sz w:val="24"/>
        </w:rPr>
        <w:t> </w:t>
      </w:r>
      <w:r>
        <w:rPr>
          <w:sz w:val="24"/>
        </w:rPr>
        <w:t>propertiesof</w:t>
      </w:r>
      <w:r>
        <w:rPr>
          <w:spacing w:val="-3"/>
          <w:sz w:val="24"/>
        </w:rPr>
        <w:t> </w:t>
      </w:r>
      <w:r>
        <w:rPr>
          <w:sz w:val="24"/>
        </w:rPr>
        <w:t>powders. </w:t>
      </w:r>
      <w:r>
        <w:rPr>
          <w:i/>
          <w:sz w:val="24"/>
        </w:rPr>
        <w:t>International Journal of Pharmaceutics</w:t>
      </w:r>
      <w:r>
        <w:rPr>
          <w:sz w:val="24"/>
        </w:rPr>
        <w:t>, </w:t>
      </w:r>
      <w:r>
        <w:rPr>
          <w:b/>
          <w:sz w:val="24"/>
        </w:rPr>
        <w:t>59</w:t>
      </w:r>
      <w:r>
        <w:rPr>
          <w:sz w:val="24"/>
        </w:rPr>
        <w:t>:145-154.</w:t>
      </w:r>
    </w:p>
    <w:p>
      <w:pPr>
        <w:pStyle w:val="BodyText"/>
        <w:spacing w:before="2"/>
      </w:pPr>
    </w:p>
    <w:p>
      <w:pPr>
        <w:spacing w:before="0"/>
        <w:ind w:left="1185" w:right="1259" w:hanging="720"/>
        <w:jc w:val="both"/>
        <w:rPr>
          <w:sz w:val="24"/>
        </w:rPr>
      </w:pPr>
      <w:r>
        <w:rPr>
          <w:sz w:val="24"/>
        </w:rPr>
        <w:t>York, P. (1992). Crystal engineering and particle design for the powder compaction</w:t>
      </w:r>
      <w:r>
        <w:rPr>
          <w:spacing w:val="1"/>
          <w:sz w:val="24"/>
        </w:rPr>
        <w:t> </w:t>
      </w:r>
      <w:r>
        <w:rPr>
          <w:sz w:val="24"/>
        </w:rPr>
        <w:t>process. </w:t>
      </w:r>
      <w:r>
        <w:rPr>
          <w:i/>
          <w:sz w:val="24"/>
        </w:rPr>
        <w:t>Drug 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Industrial Pharmacy</w:t>
      </w:r>
      <w:r>
        <w:rPr>
          <w:sz w:val="24"/>
        </w:rPr>
        <w:t>, </w:t>
      </w:r>
      <w:r>
        <w:rPr>
          <w:b/>
          <w:sz w:val="24"/>
        </w:rPr>
        <w:t>18</w:t>
      </w:r>
      <w:r>
        <w:rPr>
          <w:sz w:val="24"/>
        </w:rPr>
        <w:t>: 677-721.</w:t>
      </w:r>
    </w:p>
    <w:p>
      <w:pPr>
        <w:spacing w:before="120"/>
        <w:ind w:left="1185" w:right="1252" w:hanging="720"/>
        <w:jc w:val="both"/>
        <w:rPr>
          <w:sz w:val="24"/>
        </w:rPr>
      </w:pPr>
      <w:r>
        <w:rPr>
          <w:sz w:val="24"/>
        </w:rPr>
        <w:t>York, P. (2001). Molecules, material science and medicines. </w:t>
      </w:r>
      <w:r>
        <w:rPr>
          <w:i/>
          <w:sz w:val="24"/>
        </w:rPr>
        <w:t>Pharmacy Journal</w:t>
      </w:r>
      <w:r>
        <w:rPr>
          <w:sz w:val="24"/>
        </w:rPr>
        <w:t>, </w:t>
      </w:r>
      <w:r>
        <w:rPr>
          <w:b/>
          <w:sz w:val="24"/>
        </w:rPr>
        <w:t>267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437-440.</w:t>
      </w:r>
    </w:p>
    <w:p>
      <w:pPr>
        <w:pStyle w:val="BodyText"/>
        <w:spacing w:before="120"/>
        <w:ind w:left="1185" w:right="1251" w:hanging="720"/>
        <w:jc w:val="both"/>
      </w:pPr>
      <w:r>
        <w:rPr/>
        <w:t>Young, </w:t>
      </w:r>
      <w:r>
        <w:rPr>
          <w:b/>
        </w:rPr>
        <w:t>S</w:t>
      </w:r>
      <w:r>
        <w:rPr/>
        <w:t>., Wong, M., Tabata, Y. and Mikos, A.G. (2005). Gelatin as a delivery vehicle</w:t>
      </w:r>
      <w:r>
        <w:rPr>
          <w:spacing w:val="1"/>
        </w:rPr>
        <w:t> </w:t>
      </w:r>
      <w:r>
        <w:rPr/>
        <w:t>for the controlled release of bioactive molecules. </w:t>
      </w:r>
      <w:r>
        <w:rPr>
          <w:i/>
        </w:rPr>
        <w:t>Journal of Controlled Release</w:t>
      </w:r>
      <w:r>
        <w:rPr/>
        <w:t>,</w:t>
      </w:r>
      <w:r>
        <w:rPr>
          <w:spacing w:val="1"/>
        </w:rPr>
        <w:t> </w:t>
      </w:r>
      <w:r>
        <w:rPr>
          <w:b/>
        </w:rPr>
        <w:t>109(1)</w:t>
      </w:r>
      <w:r>
        <w:rPr/>
        <w:t>:</w:t>
      </w:r>
      <w:r>
        <w:rPr>
          <w:spacing w:val="59"/>
        </w:rPr>
        <w:t> </w:t>
      </w:r>
      <w:r>
        <w:rPr/>
        <w:t>256-274.</w:t>
      </w:r>
    </w:p>
    <w:p>
      <w:pPr>
        <w:pStyle w:val="BodyText"/>
        <w:spacing w:before="121"/>
        <w:ind w:left="1185" w:right="1254" w:hanging="720"/>
        <w:jc w:val="both"/>
      </w:pPr>
      <w:r>
        <w:rPr/>
        <w:t>Yu, L. X. (2008). Pharmaceutical quality by design: product and process development,</w:t>
      </w:r>
      <w:r>
        <w:rPr>
          <w:spacing w:val="1"/>
        </w:rPr>
        <w:t> </w:t>
      </w:r>
      <w:r>
        <w:rPr/>
        <w:t>understanding,</w:t>
      </w:r>
      <w:r>
        <w:rPr>
          <w:spacing w:val="-1"/>
        </w:rPr>
        <w:t> </w:t>
      </w:r>
      <w:r>
        <w:rPr/>
        <w:t>and control. </w:t>
      </w:r>
      <w:r>
        <w:rPr>
          <w:i/>
        </w:rPr>
        <w:t>Pharmaceutical Research</w:t>
      </w:r>
      <w:r>
        <w:rPr/>
        <w:t>,</w:t>
      </w:r>
      <w:r>
        <w:rPr>
          <w:spacing w:val="-1"/>
        </w:rPr>
        <w:t> </w:t>
      </w:r>
      <w:r>
        <w:rPr>
          <w:b/>
        </w:rPr>
        <w:t>25 (4)</w:t>
      </w:r>
      <w:r>
        <w:rPr/>
        <w:t>:</w:t>
      </w:r>
      <w:r>
        <w:rPr>
          <w:spacing w:val="-1"/>
        </w:rPr>
        <w:t> </w:t>
      </w:r>
      <w:r>
        <w:rPr/>
        <w:t>781-791.</w:t>
      </w:r>
    </w:p>
    <w:p>
      <w:pPr>
        <w:pStyle w:val="BodyText"/>
        <w:spacing w:before="120"/>
        <w:ind w:left="1185" w:right="1254" w:hanging="720"/>
        <w:jc w:val="both"/>
      </w:pPr>
      <w:r>
        <w:rPr/>
        <w:t>Zeleznik,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Renak,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functionality excipients</w:t>
      </w:r>
      <w:r>
        <w:rPr>
          <w:spacing w:val="1"/>
        </w:rPr>
        <w:t> </w:t>
      </w:r>
      <w:r>
        <w:rPr/>
        <w:t>(HFE)-ProSolv</w:t>
      </w:r>
      <w:r>
        <w:rPr>
          <w:spacing w:val="1"/>
        </w:rPr>
        <w:t> </w:t>
      </w:r>
      <w:r>
        <w:rPr/>
        <w:t>SMCC</w:t>
      </w:r>
      <w:r>
        <w:rPr>
          <w:spacing w:val="-1"/>
        </w:rPr>
        <w:t> </w:t>
      </w:r>
      <w:r>
        <w:rPr/>
        <w:t>as an</w:t>
      </w:r>
      <w:r>
        <w:rPr>
          <w:spacing w:val="-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strategy</w:t>
      </w:r>
      <w:r>
        <w:rPr>
          <w:spacing w:val="-6"/>
        </w:rPr>
        <w:t> </w:t>
      </w:r>
      <w:r>
        <w:rPr/>
        <w:t>for</w:t>
      </w:r>
      <w:r>
        <w:rPr>
          <w:spacing w:val="1"/>
        </w:rPr>
        <w:t> </w:t>
      </w:r>
      <w:r>
        <w:rPr/>
        <w:t>generic</w:t>
      </w:r>
      <w:r>
        <w:rPr>
          <w:spacing w:val="-2"/>
        </w:rPr>
        <w:t> </w:t>
      </w:r>
      <w:r>
        <w:rPr/>
        <w:t>drug</w:t>
      </w:r>
      <w:r>
        <w:rPr>
          <w:spacing w:val="-4"/>
        </w:rPr>
        <w:t> </w:t>
      </w:r>
      <w:r>
        <w:rPr/>
        <w:t>formulation.</w:t>
      </w:r>
      <w:r>
        <w:rPr>
          <w:spacing w:val="5"/>
        </w:rPr>
        <w:t> </w:t>
      </w:r>
      <w:r>
        <w:rPr>
          <w:i/>
        </w:rPr>
        <w:t>Tech</w:t>
      </w:r>
      <w:r>
        <w:rPr>
          <w:i/>
          <w:spacing w:val="-1"/>
        </w:rPr>
        <w:t> </w:t>
      </w:r>
      <w:r>
        <w:rPr>
          <w:i/>
        </w:rPr>
        <w:t>Serv</w:t>
      </w:r>
      <w:r>
        <w:rPr/>
        <w:t>:1-4.</w:t>
      </w:r>
    </w:p>
    <w:p>
      <w:pPr>
        <w:pStyle w:val="BodyText"/>
        <w:spacing w:before="120"/>
        <w:ind w:left="1185" w:right="1250" w:hanging="720"/>
        <w:jc w:val="both"/>
      </w:pPr>
      <w:r>
        <w:rPr/>
        <w:t>Zhang, Y., Law, Y. and Chakrabati, S. (2003). Physical properties and compact analysis</w:t>
      </w:r>
      <w:r>
        <w:rPr>
          <w:spacing w:val="-57"/>
        </w:rPr>
        <w:t> </w:t>
      </w:r>
      <w:r>
        <w:rPr/>
        <w:t>of commonly used direct compression binders. </w:t>
      </w:r>
      <w:r>
        <w:rPr>
          <w:i/>
        </w:rPr>
        <w:t>AAPS PharmSciTech</w:t>
      </w:r>
      <w:r>
        <w:rPr/>
        <w:t>, </w:t>
      </w:r>
      <w:r>
        <w:rPr>
          <w:b/>
        </w:rPr>
        <w:t>4(4)</w:t>
      </w:r>
      <w:r>
        <w:rPr/>
        <w:t>, 489-</w:t>
      </w:r>
      <w:r>
        <w:rPr>
          <w:spacing w:val="1"/>
        </w:rPr>
        <w:t> </w:t>
      </w:r>
      <w:r>
        <w:rPr/>
        <w:t>499.</w:t>
      </w:r>
    </w:p>
    <w:p>
      <w:pPr>
        <w:pStyle w:val="BodyText"/>
        <w:spacing w:before="120"/>
        <w:ind w:left="1185" w:right="1257" w:hanging="720"/>
        <w:jc w:val="both"/>
      </w:pPr>
      <w:r>
        <w:rPr/>
        <w:t>Zhou,</w:t>
      </w:r>
      <w:r>
        <w:rPr>
          <w:spacing w:val="57"/>
        </w:rPr>
        <w:t> </w:t>
      </w:r>
      <w:r>
        <w:rPr/>
        <w:t>D.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Qiu,</w:t>
      </w:r>
      <w:r>
        <w:rPr>
          <w:spacing w:val="57"/>
        </w:rPr>
        <w:t> </w:t>
      </w:r>
      <w:r>
        <w:rPr/>
        <w:t>Y.  (2010).</w:t>
      </w:r>
      <w:r>
        <w:rPr>
          <w:spacing w:val="57"/>
        </w:rPr>
        <w:t> </w:t>
      </w:r>
      <w:r>
        <w:rPr/>
        <w:t>Understanding</w:t>
      </w:r>
      <w:r>
        <w:rPr>
          <w:spacing w:val="57"/>
        </w:rPr>
        <w:t> </w:t>
      </w:r>
      <w:r>
        <w:rPr/>
        <w:t>material</w:t>
      </w:r>
      <w:r>
        <w:rPr>
          <w:spacing w:val="59"/>
        </w:rPr>
        <w:t> </w:t>
      </w:r>
      <w:r>
        <w:rPr/>
        <w:t>properties</w:t>
      </w:r>
      <w:r>
        <w:rPr>
          <w:spacing w:val="57"/>
        </w:rPr>
        <w:t> </w:t>
      </w:r>
      <w:r>
        <w:rPr/>
        <w:t>in</w:t>
      </w:r>
      <w:r>
        <w:rPr>
          <w:spacing w:val="59"/>
        </w:rPr>
        <w:t> </w:t>
      </w:r>
      <w:r>
        <w:rPr/>
        <w:t>pharmaceutical</w:t>
      </w:r>
      <w:r>
        <w:rPr>
          <w:spacing w:val="-58"/>
        </w:rPr>
        <w:t> </w:t>
      </w:r>
      <w:r>
        <w:rPr/>
        <w:t>product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manufacturing: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properties.</w:t>
      </w:r>
      <w:r>
        <w:rPr>
          <w:spacing w:val="-1"/>
        </w:rPr>
        <w:t> </w:t>
      </w:r>
      <w:r>
        <w:rPr>
          <w:i/>
        </w:rPr>
        <w:t>Journal of Validation Technology</w:t>
      </w:r>
      <w:r>
        <w:rPr/>
        <w:t>, 65–77.</w:t>
      </w:r>
    </w:p>
    <w:p>
      <w:pPr>
        <w:spacing w:after="0"/>
        <w:jc w:val="both"/>
        <w:sectPr>
          <w:pgSz w:w="11910" w:h="16840"/>
          <w:pgMar w:header="0" w:footer="987" w:top="1320" w:bottom="1260" w:left="1520" w:right="160"/>
        </w:sectPr>
      </w:pPr>
    </w:p>
    <w:p>
      <w:pPr>
        <w:spacing w:before="72"/>
        <w:ind w:left="1185" w:right="1253" w:hanging="720"/>
        <w:jc w:val="both"/>
        <w:rPr>
          <w:sz w:val="24"/>
        </w:rPr>
      </w:pPr>
      <w:r>
        <w:rPr>
          <w:sz w:val="24"/>
        </w:rPr>
        <w:t>Zubair, S., Esezobo, S. and Pilpel, N. (1988). The effects of interacting variables on the</w:t>
      </w:r>
      <w:r>
        <w:rPr>
          <w:spacing w:val="1"/>
          <w:sz w:val="24"/>
        </w:rPr>
        <w:t> </w:t>
      </w:r>
      <w:r>
        <w:rPr>
          <w:sz w:val="24"/>
        </w:rPr>
        <w:t>tensile</w:t>
      </w:r>
      <w:r>
        <w:rPr>
          <w:spacing w:val="1"/>
          <w:sz w:val="24"/>
        </w:rPr>
        <w:t> </w:t>
      </w:r>
      <w:r>
        <w:rPr>
          <w:sz w:val="24"/>
        </w:rPr>
        <w:t>strength,</w:t>
      </w:r>
      <w:r>
        <w:rPr>
          <w:spacing w:val="1"/>
          <w:sz w:val="24"/>
        </w:rPr>
        <w:t> </w:t>
      </w:r>
      <w:r>
        <w:rPr>
          <w:sz w:val="24"/>
        </w:rPr>
        <w:t>disintegration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dissolution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paracetamol</w:t>
      </w:r>
      <w:r>
        <w:rPr>
          <w:spacing w:val="1"/>
          <w:sz w:val="24"/>
        </w:rPr>
        <w:t> </w:t>
      </w:r>
      <w:r>
        <w:rPr>
          <w:sz w:val="24"/>
        </w:rPr>
        <w:t>tablets.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Pharmacology</w:t>
      </w:r>
      <w:r>
        <w:rPr>
          <w:sz w:val="24"/>
        </w:rPr>
        <w:t>, </w:t>
      </w:r>
      <w:r>
        <w:rPr>
          <w:b/>
          <w:sz w:val="24"/>
        </w:rPr>
        <w:t>40(4)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278–81.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7" w:top="1320" w:bottom="1260" w:left="1520" w:right="160"/>
        </w:sectPr>
      </w:pPr>
    </w:p>
    <w:p>
      <w:pPr>
        <w:pStyle w:val="Heading3"/>
        <w:ind w:left="646" w:right="1436"/>
        <w:jc w:val="center"/>
      </w:pPr>
      <w:bookmarkStart w:name="_TOC_250000" w:id="106"/>
      <w:bookmarkEnd w:id="106"/>
      <w:r>
        <w:rPr/>
        <w:t>APPENDICES</w:t>
      </w:r>
    </w:p>
    <w:p>
      <w:pPr>
        <w:pStyle w:val="BodyText"/>
        <w:spacing w:before="6"/>
        <w:rPr>
          <w:b/>
          <w:sz w:val="34"/>
        </w:rPr>
      </w:pPr>
    </w:p>
    <w:p>
      <w:pPr>
        <w:spacing w:before="0"/>
        <w:ind w:left="465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A1.1: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Dilution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potential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data</w:t>
      </w:r>
    </w:p>
    <w:p>
      <w:pPr>
        <w:pStyle w:val="BodyText"/>
        <w:spacing w:before="8"/>
        <w:rPr>
          <w:b/>
          <w:sz w:val="10"/>
        </w:rPr>
      </w:pPr>
    </w:p>
    <w:tbl>
      <w:tblPr>
        <w:tblW w:w="0" w:type="auto"/>
        <w:jc w:val="left"/>
        <w:tblInd w:w="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4"/>
        <w:gridCol w:w="1848"/>
        <w:gridCol w:w="2180"/>
        <w:gridCol w:w="2511"/>
      </w:tblGrid>
      <w:tr>
        <w:trPr>
          <w:trHeight w:val="274" w:hRule="atLeast"/>
        </w:trPr>
        <w:tc>
          <w:tcPr>
            <w:tcW w:w="8733" w:type="dxa"/>
            <w:gridSpan w:val="4"/>
            <w:tcBorders>
              <w:top w:val="single" w:sz="12" w:space="0" w:color="000000"/>
            </w:tcBorders>
          </w:tcPr>
          <w:p>
            <w:pPr>
              <w:pStyle w:val="TableParagraph"/>
              <w:spacing w:line="255" w:lineRule="exact"/>
              <w:ind w:left="4284"/>
              <w:rPr>
                <w:b/>
                <w:sz w:val="24"/>
              </w:rPr>
            </w:pPr>
            <w:r>
              <w:rPr>
                <w:b/>
                <w:sz w:val="24"/>
              </w:rPr>
              <w:t>Tensile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strength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(MPa)</w:t>
            </w:r>
          </w:p>
        </w:tc>
      </w:tr>
      <w:tr>
        <w:trPr>
          <w:trHeight w:val="553" w:hRule="atLeast"/>
        </w:trPr>
        <w:tc>
          <w:tcPr>
            <w:tcW w:w="219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6" w:lineRule="exact"/>
              <w:ind w:left="122" w:right="385"/>
              <w:rPr>
                <w:b/>
                <w:sz w:val="24"/>
              </w:rPr>
            </w:pPr>
            <w:r>
              <w:rPr>
                <w:b/>
                <w:sz w:val="24"/>
              </w:rPr>
              <w:t>Mass fraction of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excipient</w:t>
            </w:r>
          </w:p>
        </w:tc>
        <w:tc>
          <w:tcPr>
            <w:tcW w:w="1848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SGS-A</w:t>
            </w:r>
          </w:p>
        </w:tc>
        <w:tc>
          <w:tcPr>
            <w:tcW w:w="2180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5"/>
              <w:ind w:left="442"/>
              <w:rPr>
                <w:b/>
                <w:sz w:val="24"/>
              </w:rPr>
            </w:pPr>
            <w:r>
              <w:rPr>
                <w:b/>
                <w:sz w:val="24"/>
              </w:rPr>
              <w:t>SGS-B</w:t>
            </w:r>
          </w:p>
        </w:tc>
        <w:tc>
          <w:tcPr>
            <w:tcW w:w="2511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35"/>
              <w:ind w:left="441"/>
              <w:rPr>
                <w:b/>
                <w:sz w:val="24"/>
              </w:rPr>
            </w:pPr>
            <w:r>
              <w:rPr>
                <w:b/>
                <w:sz w:val="24"/>
              </w:rPr>
              <w:t>SGS-C</w:t>
            </w:r>
          </w:p>
        </w:tc>
      </w:tr>
      <w:tr>
        <w:trPr>
          <w:trHeight w:val="272" w:hRule="atLeast"/>
        </w:trPr>
        <w:tc>
          <w:tcPr>
            <w:tcW w:w="219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2" w:lineRule="exact"/>
              <w:ind w:left="122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84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0.854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(0.019)</w:t>
            </w:r>
          </w:p>
        </w:tc>
        <w:tc>
          <w:tcPr>
            <w:tcW w:w="218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2" w:lineRule="exact"/>
              <w:ind w:left="442"/>
              <w:rPr>
                <w:sz w:val="24"/>
              </w:rPr>
            </w:pPr>
            <w:r>
              <w:rPr>
                <w:sz w:val="24"/>
              </w:rPr>
              <w:t>0.798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(0.035)</w:t>
            </w:r>
          </w:p>
        </w:tc>
        <w:tc>
          <w:tcPr>
            <w:tcW w:w="251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2" w:lineRule="exact"/>
              <w:ind w:left="441"/>
              <w:rPr>
                <w:sz w:val="24"/>
              </w:rPr>
            </w:pPr>
            <w:r>
              <w:rPr>
                <w:sz w:val="24"/>
              </w:rPr>
              <w:t>1.004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(0.014)</w:t>
            </w:r>
          </w:p>
        </w:tc>
      </w:tr>
      <w:tr>
        <w:trPr>
          <w:trHeight w:val="275" w:hRule="atLeast"/>
        </w:trPr>
        <w:tc>
          <w:tcPr>
            <w:tcW w:w="219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84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1.422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(0.02)</w:t>
            </w:r>
          </w:p>
        </w:tc>
        <w:tc>
          <w:tcPr>
            <w:tcW w:w="2180" w:type="dxa"/>
          </w:tcPr>
          <w:p>
            <w:pPr>
              <w:pStyle w:val="TableParagraph"/>
              <w:spacing w:line="256" w:lineRule="exact"/>
              <w:ind w:left="442"/>
              <w:rPr>
                <w:sz w:val="24"/>
              </w:rPr>
            </w:pPr>
            <w:r>
              <w:rPr>
                <w:sz w:val="24"/>
              </w:rPr>
              <w:t>1.344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(0.03)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1.319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(0.024)</w:t>
            </w:r>
          </w:p>
        </w:tc>
      </w:tr>
      <w:tr>
        <w:trPr>
          <w:trHeight w:val="275" w:hRule="atLeast"/>
        </w:trPr>
        <w:tc>
          <w:tcPr>
            <w:tcW w:w="219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84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1.552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(0.026)</w:t>
            </w:r>
          </w:p>
        </w:tc>
        <w:tc>
          <w:tcPr>
            <w:tcW w:w="2180" w:type="dxa"/>
          </w:tcPr>
          <w:p>
            <w:pPr>
              <w:pStyle w:val="TableParagraph"/>
              <w:spacing w:line="256" w:lineRule="exact"/>
              <w:ind w:left="442"/>
              <w:rPr>
                <w:sz w:val="24"/>
              </w:rPr>
            </w:pPr>
            <w:r>
              <w:rPr>
                <w:sz w:val="24"/>
              </w:rPr>
              <w:t>1.477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(0.057)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1.338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(0.028)</w:t>
            </w:r>
          </w:p>
        </w:tc>
      </w:tr>
      <w:tr>
        <w:trPr>
          <w:trHeight w:val="276" w:hRule="atLeast"/>
        </w:trPr>
        <w:tc>
          <w:tcPr>
            <w:tcW w:w="219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84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1.591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(0.033)</w:t>
            </w:r>
          </w:p>
        </w:tc>
        <w:tc>
          <w:tcPr>
            <w:tcW w:w="2180" w:type="dxa"/>
          </w:tcPr>
          <w:p>
            <w:pPr>
              <w:pStyle w:val="TableParagraph"/>
              <w:spacing w:line="256" w:lineRule="exact"/>
              <w:ind w:left="442"/>
              <w:rPr>
                <w:sz w:val="24"/>
              </w:rPr>
            </w:pPr>
            <w:r>
              <w:rPr>
                <w:sz w:val="24"/>
              </w:rPr>
              <w:t>1.545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(0.08)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1.524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(0.065)</w:t>
            </w:r>
          </w:p>
        </w:tc>
      </w:tr>
      <w:tr>
        <w:trPr>
          <w:trHeight w:val="276" w:hRule="atLeast"/>
        </w:trPr>
        <w:tc>
          <w:tcPr>
            <w:tcW w:w="219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184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1.676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(0.05)</w:t>
            </w:r>
          </w:p>
        </w:tc>
        <w:tc>
          <w:tcPr>
            <w:tcW w:w="2180" w:type="dxa"/>
          </w:tcPr>
          <w:p>
            <w:pPr>
              <w:pStyle w:val="TableParagraph"/>
              <w:spacing w:line="256" w:lineRule="exact"/>
              <w:ind w:left="442"/>
              <w:rPr>
                <w:sz w:val="24"/>
              </w:rPr>
            </w:pPr>
            <w:r>
              <w:rPr>
                <w:sz w:val="24"/>
              </w:rPr>
              <w:t>1.743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(0.058)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1.775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(0.052)</w:t>
            </w:r>
          </w:p>
        </w:tc>
      </w:tr>
      <w:tr>
        <w:trPr>
          <w:trHeight w:val="281" w:hRule="atLeast"/>
        </w:trPr>
        <w:tc>
          <w:tcPr>
            <w:tcW w:w="219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2.523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(0.032)</w:t>
            </w:r>
          </w:p>
        </w:tc>
        <w:tc>
          <w:tcPr>
            <w:tcW w:w="218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left="442"/>
              <w:rPr>
                <w:sz w:val="24"/>
              </w:rPr>
            </w:pPr>
            <w:r>
              <w:rPr>
                <w:sz w:val="24"/>
              </w:rPr>
              <w:t>2.271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(0.017)</w:t>
            </w:r>
          </w:p>
        </w:tc>
        <w:tc>
          <w:tcPr>
            <w:tcW w:w="251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left="441"/>
              <w:rPr>
                <w:sz w:val="24"/>
              </w:rPr>
            </w:pPr>
            <w:r>
              <w:rPr>
                <w:sz w:val="24"/>
              </w:rPr>
              <w:t>1.956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(0.036)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3"/>
        <w:spacing w:before="190"/>
        <w:ind w:left="465"/>
      </w:pPr>
      <w:r>
        <w:rPr/>
        <w:t>Table</w:t>
      </w:r>
      <w:r>
        <w:rPr>
          <w:spacing w:val="-1"/>
        </w:rPr>
        <w:t> </w:t>
      </w:r>
      <w:r>
        <w:rPr/>
        <w:t>A1.2:</w:t>
      </w:r>
      <w:r>
        <w:rPr>
          <w:spacing w:val="-1"/>
        </w:rPr>
        <w:t> </w:t>
      </w:r>
      <w:r>
        <w:rPr/>
        <w:t>Particle size</w:t>
      </w:r>
      <w:r>
        <w:rPr>
          <w:spacing w:val="-2"/>
        </w:rPr>
        <w:t> </w:t>
      </w:r>
      <w:r>
        <w:rPr/>
        <w:t>analysis for</w:t>
      </w:r>
      <w:r>
        <w:rPr>
          <w:spacing w:val="-2"/>
        </w:rPr>
        <w:t> </w:t>
      </w:r>
      <w:r>
        <w:rPr/>
        <w:t>CS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6"/>
        <w:gridCol w:w="1266"/>
        <w:gridCol w:w="1539"/>
        <w:gridCol w:w="2017"/>
        <w:gridCol w:w="2437"/>
      </w:tblGrid>
      <w:tr>
        <w:trPr>
          <w:trHeight w:val="402" w:hRule="atLeast"/>
        </w:trPr>
        <w:tc>
          <w:tcPr>
            <w:tcW w:w="1476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Size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266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8"/>
              <w:ind w:left="384"/>
              <w:rPr>
                <w:b/>
                <w:sz w:val="24"/>
              </w:rPr>
            </w:pPr>
            <w:r>
              <w:rPr>
                <w:b/>
                <w:sz w:val="24"/>
              </w:rPr>
              <w:t>cum</w:t>
            </w:r>
          </w:p>
        </w:tc>
        <w:tc>
          <w:tcPr>
            <w:tcW w:w="1539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8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freq</w:t>
            </w:r>
          </w:p>
        </w:tc>
        <w:tc>
          <w:tcPr>
            <w:tcW w:w="2017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8"/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freq</w:t>
            </w:r>
          </w:p>
        </w:tc>
        <w:tc>
          <w:tcPr>
            <w:tcW w:w="2437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8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cum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398" w:hRule="atLeast"/>
        </w:trPr>
        <w:tc>
          <w:tcPr>
            <w:tcW w:w="14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4"/>
              <w:ind w:left="122"/>
              <w:rPr>
                <w:sz w:val="24"/>
              </w:rPr>
            </w:pPr>
            <w:r>
              <w:rPr>
                <w:sz w:val="24"/>
              </w:rPr>
              <w:t>5.0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6.9</w:t>
            </w:r>
          </w:p>
        </w:tc>
        <w:tc>
          <w:tcPr>
            <w:tcW w:w="12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4"/>
              <w:ind w:left="38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4"/>
              <w:ind w:left="44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4"/>
              <w:ind w:left="671"/>
              <w:rPr>
                <w:sz w:val="24"/>
              </w:rPr>
            </w:pPr>
            <w:r>
              <w:rPr>
                <w:sz w:val="24"/>
              </w:rPr>
              <w:t>1.105845</w:t>
            </w:r>
          </w:p>
        </w:tc>
        <w:tc>
          <w:tcPr>
            <w:tcW w:w="24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4"/>
              <w:ind w:left="447"/>
              <w:rPr>
                <w:sz w:val="24"/>
              </w:rPr>
            </w:pPr>
            <w:r>
              <w:rPr>
                <w:sz w:val="24"/>
              </w:rPr>
              <w:t>1.10584518</w:t>
            </w:r>
          </w:p>
        </w:tc>
      </w:tr>
      <w:tr>
        <w:trPr>
          <w:trHeight w:val="402" w:hRule="atLeast"/>
        </w:trPr>
        <w:tc>
          <w:tcPr>
            <w:tcW w:w="1476" w:type="dxa"/>
          </w:tcPr>
          <w:p>
            <w:pPr>
              <w:pStyle w:val="TableParagraph"/>
              <w:spacing w:before="58"/>
              <w:ind w:left="122"/>
              <w:rPr>
                <w:sz w:val="24"/>
              </w:rPr>
            </w:pPr>
            <w:r>
              <w:rPr>
                <w:sz w:val="24"/>
              </w:rPr>
              <w:t>7.0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8.9</w:t>
            </w:r>
          </w:p>
        </w:tc>
        <w:tc>
          <w:tcPr>
            <w:tcW w:w="1266" w:type="dxa"/>
          </w:tcPr>
          <w:p>
            <w:pPr>
              <w:pStyle w:val="TableParagraph"/>
              <w:spacing w:before="58"/>
              <w:ind w:left="38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39" w:type="dxa"/>
          </w:tcPr>
          <w:p>
            <w:pPr>
              <w:pStyle w:val="TableParagraph"/>
              <w:spacing w:before="58"/>
              <w:ind w:left="44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017" w:type="dxa"/>
          </w:tcPr>
          <w:p>
            <w:pPr>
              <w:pStyle w:val="TableParagraph"/>
              <w:spacing w:before="58"/>
              <w:ind w:left="671"/>
              <w:rPr>
                <w:sz w:val="24"/>
              </w:rPr>
            </w:pPr>
            <w:r>
              <w:rPr>
                <w:sz w:val="24"/>
              </w:rPr>
              <w:t>10.26856</w:t>
            </w:r>
          </w:p>
        </w:tc>
        <w:tc>
          <w:tcPr>
            <w:tcW w:w="2437" w:type="dxa"/>
          </w:tcPr>
          <w:p>
            <w:pPr>
              <w:pStyle w:val="TableParagraph"/>
              <w:spacing w:before="58"/>
              <w:ind w:left="447"/>
              <w:rPr>
                <w:sz w:val="24"/>
              </w:rPr>
            </w:pPr>
            <w:r>
              <w:rPr>
                <w:sz w:val="24"/>
              </w:rPr>
              <w:t>11.3744076</w:t>
            </w:r>
          </w:p>
        </w:tc>
      </w:tr>
      <w:tr>
        <w:trPr>
          <w:trHeight w:val="402" w:hRule="atLeast"/>
        </w:trPr>
        <w:tc>
          <w:tcPr>
            <w:tcW w:w="1476" w:type="dxa"/>
          </w:tcPr>
          <w:p>
            <w:pPr>
              <w:pStyle w:val="TableParagraph"/>
              <w:spacing w:before="57"/>
              <w:ind w:left="122"/>
              <w:rPr>
                <w:sz w:val="24"/>
              </w:rPr>
            </w:pPr>
            <w:r>
              <w:rPr>
                <w:sz w:val="24"/>
              </w:rPr>
              <w:t>9.0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10.9</w:t>
            </w:r>
          </w:p>
        </w:tc>
        <w:tc>
          <w:tcPr>
            <w:tcW w:w="1266" w:type="dxa"/>
          </w:tcPr>
          <w:p>
            <w:pPr>
              <w:pStyle w:val="TableParagraph"/>
              <w:spacing w:before="57"/>
              <w:ind w:left="384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539" w:type="dxa"/>
          </w:tcPr>
          <w:p>
            <w:pPr>
              <w:pStyle w:val="TableParagraph"/>
              <w:spacing w:before="57"/>
              <w:ind w:left="443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2017" w:type="dxa"/>
          </w:tcPr>
          <w:p>
            <w:pPr>
              <w:pStyle w:val="TableParagraph"/>
              <w:spacing w:before="57"/>
              <w:ind w:left="671"/>
              <w:rPr>
                <w:sz w:val="24"/>
              </w:rPr>
            </w:pPr>
            <w:r>
              <w:rPr>
                <w:sz w:val="24"/>
              </w:rPr>
              <w:t>21.80095</w:t>
            </w:r>
          </w:p>
        </w:tc>
        <w:tc>
          <w:tcPr>
            <w:tcW w:w="2437" w:type="dxa"/>
          </w:tcPr>
          <w:p>
            <w:pPr>
              <w:pStyle w:val="TableParagraph"/>
              <w:spacing w:before="57"/>
              <w:ind w:left="447"/>
              <w:rPr>
                <w:sz w:val="24"/>
              </w:rPr>
            </w:pPr>
            <w:r>
              <w:rPr>
                <w:sz w:val="24"/>
              </w:rPr>
              <w:t>33.1753555</w:t>
            </w:r>
          </w:p>
        </w:tc>
      </w:tr>
      <w:tr>
        <w:trPr>
          <w:trHeight w:val="402" w:hRule="atLeast"/>
        </w:trPr>
        <w:tc>
          <w:tcPr>
            <w:tcW w:w="1476" w:type="dxa"/>
          </w:tcPr>
          <w:p>
            <w:pPr>
              <w:pStyle w:val="TableParagraph"/>
              <w:spacing w:before="58"/>
              <w:ind w:left="12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12.9</w:t>
            </w:r>
          </w:p>
        </w:tc>
        <w:tc>
          <w:tcPr>
            <w:tcW w:w="1266" w:type="dxa"/>
          </w:tcPr>
          <w:p>
            <w:pPr>
              <w:pStyle w:val="TableParagraph"/>
              <w:spacing w:before="58"/>
              <w:ind w:left="384"/>
              <w:rPr>
                <w:sz w:val="24"/>
              </w:rPr>
            </w:pPr>
            <w:r>
              <w:rPr>
                <w:sz w:val="24"/>
              </w:rPr>
              <w:t>376</w:t>
            </w:r>
          </w:p>
        </w:tc>
        <w:tc>
          <w:tcPr>
            <w:tcW w:w="1539" w:type="dxa"/>
          </w:tcPr>
          <w:p>
            <w:pPr>
              <w:pStyle w:val="TableParagraph"/>
              <w:spacing w:before="58"/>
              <w:ind w:left="443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2017" w:type="dxa"/>
          </w:tcPr>
          <w:p>
            <w:pPr>
              <w:pStyle w:val="TableParagraph"/>
              <w:spacing w:before="58"/>
              <w:ind w:left="671"/>
              <w:rPr>
                <w:sz w:val="24"/>
              </w:rPr>
            </w:pPr>
            <w:r>
              <w:rPr>
                <w:sz w:val="24"/>
              </w:rPr>
              <w:t>26.22433</w:t>
            </w:r>
          </w:p>
        </w:tc>
        <w:tc>
          <w:tcPr>
            <w:tcW w:w="2437" w:type="dxa"/>
          </w:tcPr>
          <w:p>
            <w:pPr>
              <w:pStyle w:val="TableParagraph"/>
              <w:spacing w:before="58"/>
              <w:ind w:left="447"/>
              <w:rPr>
                <w:sz w:val="24"/>
              </w:rPr>
            </w:pPr>
            <w:r>
              <w:rPr>
                <w:sz w:val="24"/>
              </w:rPr>
              <w:t>59.399684</w:t>
            </w:r>
          </w:p>
        </w:tc>
      </w:tr>
      <w:tr>
        <w:trPr>
          <w:trHeight w:val="402" w:hRule="atLeast"/>
        </w:trPr>
        <w:tc>
          <w:tcPr>
            <w:tcW w:w="1476" w:type="dxa"/>
          </w:tcPr>
          <w:p>
            <w:pPr>
              <w:pStyle w:val="TableParagraph"/>
              <w:spacing w:before="57"/>
              <w:ind w:left="122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14.9</w:t>
            </w:r>
          </w:p>
        </w:tc>
        <w:tc>
          <w:tcPr>
            <w:tcW w:w="1266" w:type="dxa"/>
          </w:tcPr>
          <w:p>
            <w:pPr>
              <w:pStyle w:val="TableParagraph"/>
              <w:spacing w:before="57"/>
              <w:ind w:left="384"/>
              <w:rPr>
                <w:sz w:val="24"/>
              </w:rPr>
            </w:pPr>
            <w:r>
              <w:rPr>
                <w:sz w:val="24"/>
              </w:rPr>
              <w:t>486</w:t>
            </w:r>
          </w:p>
        </w:tc>
        <w:tc>
          <w:tcPr>
            <w:tcW w:w="1539" w:type="dxa"/>
          </w:tcPr>
          <w:p>
            <w:pPr>
              <w:pStyle w:val="TableParagraph"/>
              <w:spacing w:before="57"/>
              <w:ind w:left="44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2017" w:type="dxa"/>
          </w:tcPr>
          <w:p>
            <w:pPr>
              <w:pStyle w:val="TableParagraph"/>
              <w:spacing w:before="57"/>
              <w:ind w:left="671"/>
              <w:rPr>
                <w:sz w:val="24"/>
              </w:rPr>
            </w:pPr>
            <w:r>
              <w:rPr>
                <w:sz w:val="24"/>
              </w:rPr>
              <w:t>17.37757</w:t>
            </w:r>
          </w:p>
        </w:tc>
        <w:tc>
          <w:tcPr>
            <w:tcW w:w="2437" w:type="dxa"/>
          </w:tcPr>
          <w:p>
            <w:pPr>
              <w:pStyle w:val="TableParagraph"/>
              <w:spacing w:before="57"/>
              <w:ind w:left="447"/>
              <w:rPr>
                <w:sz w:val="24"/>
              </w:rPr>
            </w:pPr>
            <w:r>
              <w:rPr>
                <w:sz w:val="24"/>
              </w:rPr>
              <w:t>76.7772512</w:t>
            </w:r>
          </w:p>
        </w:tc>
      </w:tr>
      <w:tr>
        <w:trPr>
          <w:trHeight w:val="401" w:hRule="atLeast"/>
        </w:trPr>
        <w:tc>
          <w:tcPr>
            <w:tcW w:w="1476" w:type="dxa"/>
          </w:tcPr>
          <w:p>
            <w:pPr>
              <w:pStyle w:val="TableParagraph"/>
              <w:spacing w:before="58"/>
              <w:ind w:left="122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16.9</w:t>
            </w:r>
          </w:p>
        </w:tc>
        <w:tc>
          <w:tcPr>
            <w:tcW w:w="1266" w:type="dxa"/>
          </w:tcPr>
          <w:p>
            <w:pPr>
              <w:pStyle w:val="TableParagraph"/>
              <w:spacing w:before="58"/>
              <w:ind w:left="384"/>
              <w:rPr>
                <w:sz w:val="24"/>
              </w:rPr>
            </w:pPr>
            <w:r>
              <w:rPr>
                <w:sz w:val="24"/>
              </w:rPr>
              <w:t>573</w:t>
            </w:r>
          </w:p>
        </w:tc>
        <w:tc>
          <w:tcPr>
            <w:tcW w:w="1539" w:type="dxa"/>
          </w:tcPr>
          <w:p>
            <w:pPr>
              <w:pStyle w:val="TableParagraph"/>
              <w:spacing w:before="58"/>
              <w:ind w:left="443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017" w:type="dxa"/>
          </w:tcPr>
          <w:p>
            <w:pPr>
              <w:pStyle w:val="TableParagraph"/>
              <w:spacing w:before="58"/>
              <w:ind w:left="671"/>
              <w:rPr>
                <w:sz w:val="24"/>
              </w:rPr>
            </w:pPr>
            <w:r>
              <w:rPr>
                <w:sz w:val="24"/>
              </w:rPr>
              <w:t>13.74408</w:t>
            </w:r>
          </w:p>
        </w:tc>
        <w:tc>
          <w:tcPr>
            <w:tcW w:w="2437" w:type="dxa"/>
          </w:tcPr>
          <w:p>
            <w:pPr>
              <w:pStyle w:val="TableParagraph"/>
              <w:spacing w:before="58"/>
              <w:ind w:left="447"/>
              <w:rPr>
                <w:sz w:val="24"/>
              </w:rPr>
            </w:pPr>
            <w:r>
              <w:rPr>
                <w:sz w:val="24"/>
              </w:rPr>
              <w:t>90.521327</w:t>
            </w:r>
          </w:p>
        </w:tc>
      </w:tr>
      <w:tr>
        <w:trPr>
          <w:trHeight w:val="402" w:hRule="atLeast"/>
        </w:trPr>
        <w:tc>
          <w:tcPr>
            <w:tcW w:w="1476" w:type="dxa"/>
          </w:tcPr>
          <w:p>
            <w:pPr>
              <w:pStyle w:val="TableParagraph"/>
              <w:spacing w:before="57"/>
              <w:ind w:left="122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18.9</w:t>
            </w:r>
          </w:p>
        </w:tc>
        <w:tc>
          <w:tcPr>
            <w:tcW w:w="1266" w:type="dxa"/>
          </w:tcPr>
          <w:p>
            <w:pPr>
              <w:pStyle w:val="TableParagraph"/>
              <w:spacing w:before="57"/>
              <w:ind w:left="384"/>
              <w:rPr>
                <w:sz w:val="24"/>
              </w:rPr>
            </w:pPr>
            <w:r>
              <w:rPr>
                <w:sz w:val="24"/>
              </w:rPr>
              <w:t>612</w:t>
            </w:r>
          </w:p>
        </w:tc>
        <w:tc>
          <w:tcPr>
            <w:tcW w:w="1539" w:type="dxa"/>
          </w:tcPr>
          <w:p>
            <w:pPr>
              <w:pStyle w:val="TableParagraph"/>
              <w:spacing w:before="57"/>
              <w:ind w:left="44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017" w:type="dxa"/>
          </w:tcPr>
          <w:p>
            <w:pPr>
              <w:pStyle w:val="TableParagraph"/>
              <w:spacing w:before="57"/>
              <w:ind w:left="671"/>
              <w:rPr>
                <w:sz w:val="24"/>
              </w:rPr>
            </w:pPr>
            <w:r>
              <w:rPr>
                <w:sz w:val="24"/>
              </w:rPr>
              <w:t>6.161137</w:t>
            </w:r>
          </w:p>
        </w:tc>
        <w:tc>
          <w:tcPr>
            <w:tcW w:w="2437" w:type="dxa"/>
          </w:tcPr>
          <w:p>
            <w:pPr>
              <w:pStyle w:val="TableParagraph"/>
              <w:spacing w:before="57"/>
              <w:ind w:left="447"/>
              <w:rPr>
                <w:sz w:val="24"/>
              </w:rPr>
            </w:pPr>
            <w:r>
              <w:rPr>
                <w:sz w:val="24"/>
              </w:rPr>
              <w:t>96.6824645</w:t>
            </w:r>
          </w:p>
        </w:tc>
      </w:tr>
      <w:tr>
        <w:trPr>
          <w:trHeight w:val="402" w:hRule="atLeast"/>
        </w:trPr>
        <w:tc>
          <w:tcPr>
            <w:tcW w:w="1476" w:type="dxa"/>
          </w:tcPr>
          <w:p>
            <w:pPr>
              <w:pStyle w:val="TableParagraph"/>
              <w:spacing w:before="58"/>
              <w:ind w:left="12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20.9</w:t>
            </w:r>
          </w:p>
        </w:tc>
        <w:tc>
          <w:tcPr>
            <w:tcW w:w="1266" w:type="dxa"/>
          </w:tcPr>
          <w:p>
            <w:pPr>
              <w:pStyle w:val="TableParagraph"/>
              <w:spacing w:before="58"/>
              <w:ind w:left="384"/>
              <w:rPr>
                <w:sz w:val="24"/>
              </w:rPr>
            </w:pPr>
            <w:r>
              <w:rPr>
                <w:sz w:val="24"/>
              </w:rPr>
              <w:t>628</w:t>
            </w:r>
          </w:p>
        </w:tc>
        <w:tc>
          <w:tcPr>
            <w:tcW w:w="1539" w:type="dxa"/>
          </w:tcPr>
          <w:p>
            <w:pPr>
              <w:pStyle w:val="TableParagraph"/>
              <w:spacing w:before="58"/>
              <w:ind w:left="44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17" w:type="dxa"/>
          </w:tcPr>
          <w:p>
            <w:pPr>
              <w:pStyle w:val="TableParagraph"/>
              <w:spacing w:before="58"/>
              <w:ind w:left="671"/>
              <w:rPr>
                <w:sz w:val="24"/>
              </w:rPr>
            </w:pPr>
            <w:r>
              <w:rPr>
                <w:sz w:val="24"/>
              </w:rPr>
              <w:t>2.527646</w:t>
            </w:r>
          </w:p>
        </w:tc>
        <w:tc>
          <w:tcPr>
            <w:tcW w:w="2437" w:type="dxa"/>
          </w:tcPr>
          <w:p>
            <w:pPr>
              <w:pStyle w:val="TableParagraph"/>
              <w:spacing w:before="58"/>
              <w:ind w:left="447"/>
              <w:rPr>
                <w:sz w:val="24"/>
              </w:rPr>
            </w:pPr>
            <w:r>
              <w:rPr>
                <w:sz w:val="24"/>
              </w:rPr>
              <w:t>99.2101106</w:t>
            </w:r>
          </w:p>
        </w:tc>
      </w:tr>
      <w:tr>
        <w:trPr>
          <w:trHeight w:val="401" w:hRule="atLeast"/>
        </w:trPr>
        <w:tc>
          <w:tcPr>
            <w:tcW w:w="1476" w:type="dxa"/>
          </w:tcPr>
          <w:p>
            <w:pPr>
              <w:pStyle w:val="TableParagraph"/>
              <w:spacing w:before="57"/>
              <w:ind w:left="122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-22.9</w:t>
            </w:r>
          </w:p>
        </w:tc>
        <w:tc>
          <w:tcPr>
            <w:tcW w:w="1266" w:type="dxa"/>
          </w:tcPr>
          <w:p>
            <w:pPr>
              <w:pStyle w:val="TableParagraph"/>
              <w:spacing w:before="57"/>
              <w:ind w:left="384"/>
              <w:rPr>
                <w:sz w:val="24"/>
              </w:rPr>
            </w:pPr>
            <w:r>
              <w:rPr>
                <w:sz w:val="24"/>
              </w:rPr>
              <w:t>631</w:t>
            </w:r>
          </w:p>
        </w:tc>
        <w:tc>
          <w:tcPr>
            <w:tcW w:w="1539" w:type="dxa"/>
          </w:tcPr>
          <w:p>
            <w:pPr>
              <w:pStyle w:val="TableParagraph"/>
              <w:spacing w:before="57"/>
              <w:ind w:left="44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17" w:type="dxa"/>
          </w:tcPr>
          <w:p>
            <w:pPr>
              <w:pStyle w:val="TableParagraph"/>
              <w:spacing w:before="57"/>
              <w:ind w:left="671"/>
              <w:rPr>
                <w:sz w:val="24"/>
              </w:rPr>
            </w:pPr>
            <w:r>
              <w:rPr>
                <w:sz w:val="24"/>
              </w:rPr>
              <w:t>0.473934</w:t>
            </w:r>
          </w:p>
        </w:tc>
        <w:tc>
          <w:tcPr>
            <w:tcW w:w="2437" w:type="dxa"/>
          </w:tcPr>
          <w:p>
            <w:pPr>
              <w:pStyle w:val="TableParagraph"/>
              <w:spacing w:before="57"/>
              <w:ind w:left="447"/>
              <w:rPr>
                <w:sz w:val="24"/>
              </w:rPr>
            </w:pPr>
            <w:r>
              <w:rPr>
                <w:sz w:val="24"/>
              </w:rPr>
              <w:t>99.6840442</w:t>
            </w:r>
          </w:p>
        </w:tc>
      </w:tr>
      <w:tr>
        <w:trPr>
          <w:trHeight w:val="401" w:hRule="atLeast"/>
        </w:trPr>
        <w:tc>
          <w:tcPr>
            <w:tcW w:w="1476" w:type="dxa"/>
          </w:tcPr>
          <w:p>
            <w:pPr>
              <w:pStyle w:val="TableParagraph"/>
              <w:spacing w:before="58"/>
              <w:ind w:left="122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24.9</w:t>
            </w:r>
          </w:p>
        </w:tc>
        <w:tc>
          <w:tcPr>
            <w:tcW w:w="1266" w:type="dxa"/>
          </w:tcPr>
          <w:p>
            <w:pPr>
              <w:pStyle w:val="TableParagraph"/>
              <w:spacing w:before="58"/>
              <w:ind w:left="384"/>
              <w:rPr>
                <w:sz w:val="24"/>
              </w:rPr>
            </w:pPr>
            <w:r>
              <w:rPr>
                <w:sz w:val="24"/>
              </w:rPr>
              <w:t>632</w:t>
            </w:r>
          </w:p>
        </w:tc>
        <w:tc>
          <w:tcPr>
            <w:tcW w:w="1539" w:type="dxa"/>
          </w:tcPr>
          <w:p>
            <w:pPr>
              <w:pStyle w:val="TableParagraph"/>
              <w:spacing w:before="58"/>
              <w:ind w:left="4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7" w:type="dxa"/>
          </w:tcPr>
          <w:p>
            <w:pPr>
              <w:pStyle w:val="TableParagraph"/>
              <w:spacing w:before="58"/>
              <w:ind w:left="671"/>
              <w:rPr>
                <w:sz w:val="24"/>
              </w:rPr>
            </w:pPr>
            <w:r>
              <w:rPr>
                <w:sz w:val="24"/>
              </w:rPr>
              <w:t>0.157978</w:t>
            </w:r>
          </w:p>
        </w:tc>
        <w:tc>
          <w:tcPr>
            <w:tcW w:w="2437" w:type="dxa"/>
          </w:tcPr>
          <w:p>
            <w:pPr>
              <w:pStyle w:val="TableParagraph"/>
              <w:spacing w:before="58"/>
              <w:ind w:left="447"/>
              <w:rPr>
                <w:sz w:val="24"/>
              </w:rPr>
            </w:pPr>
            <w:r>
              <w:rPr>
                <w:sz w:val="24"/>
              </w:rPr>
              <w:t>99.8420221</w:t>
            </w:r>
          </w:p>
        </w:tc>
      </w:tr>
      <w:tr>
        <w:trPr>
          <w:trHeight w:val="405" w:hRule="atLeast"/>
        </w:trPr>
        <w:tc>
          <w:tcPr>
            <w:tcW w:w="147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7"/>
              <w:ind w:left="12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6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7"/>
              <w:ind w:left="384"/>
              <w:rPr>
                <w:sz w:val="24"/>
              </w:rPr>
            </w:pPr>
            <w:r>
              <w:rPr>
                <w:sz w:val="24"/>
              </w:rPr>
              <w:t>633</w:t>
            </w:r>
          </w:p>
        </w:tc>
        <w:tc>
          <w:tcPr>
            <w:tcW w:w="153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7"/>
              <w:ind w:left="4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7"/>
              <w:ind w:left="671"/>
              <w:rPr>
                <w:sz w:val="24"/>
              </w:rPr>
            </w:pPr>
            <w:r>
              <w:rPr>
                <w:sz w:val="24"/>
              </w:rPr>
              <w:t>0.157978</w:t>
            </w:r>
          </w:p>
        </w:tc>
        <w:tc>
          <w:tcPr>
            <w:tcW w:w="243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7"/>
              <w:ind w:left="44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320" w:bottom="1260" w:left="1520" w:right="160"/>
        </w:sectPr>
      </w:pPr>
    </w:p>
    <w:p>
      <w:pPr>
        <w:spacing w:before="76"/>
        <w:ind w:left="465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A1.3: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Particle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SGS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3"/>
        <w:gridCol w:w="1524"/>
        <w:gridCol w:w="1571"/>
        <w:gridCol w:w="1881"/>
        <w:gridCol w:w="2140"/>
      </w:tblGrid>
      <w:tr>
        <w:trPr>
          <w:trHeight w:val="375" w:hRule="atLeast"/>
        </w:trPr>
        <w:tc>
          <w:tcPr>
            <w:tcW w:w="1623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6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Size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524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6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cum</w:t>
            </w:r>
          </w:p>
        </w:tc>
        <w:tc>
          <w:tcPr>
            <w:tcW w:w="1571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6"/>
              <w:ind w:left="612"/>
              <w:rPr>
                <w:b/>
                <w:sz w:val="24"/>
              </w:rPr>
            </w:pPr>
            <w:r>
              <w:rPr>
                <w:b/>
                <w:sz w:val="24"/>
              </w:rPr>
              <w:t>freq</w:t>
            </w:r>
          </w:p>
        </w:tc>
        <w:tc>
          <w:tcPr>
            <w:tcW w:w="1881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6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2140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6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cum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372" w:hRule="atLeast"/>
        </w:trPr>
        <w:tc>
          <w:tcPr>
            <w:tcW w:w="16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2"/>
              <w:ind w:left="122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19.9</w:t>
            </w:r>
          </w:p>
        </w:tc>
        <w:tc>
          <w:tcPr>
            <w:tcW w:w="15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2"/>
              <w:ind w:left="530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5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2"/>
              <w:ind w:left="55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8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2"/>
              <w:ind w:left="529"/>
              <w:rPr>
                <w:sz w:val="24"/>
              </w:rPr>
            </w:pPr>
            <w:r>
              <w:rPr>
                <w:sz w:val="24"/>
              </w:rPr>
              <w:t>22.00772</w:t>
            </w:r>
          </w:p>
        </w:tc>
        <w:tc>
          <w:tcPr>
            <w:tcW w:w="21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2"/>
              <w:ind w:left="446"/>
              <w:rPr>
                <w:sz w:val="24"/>
              </w:rPr>
            </w:pPr>
            <w:r>
              <w:rPr>
                <w:sz w:val="24"/>
              </w:rPr>
              <w:t>22.00772</w:t>
            </w:r>
          </w:p>
        </w:tc>
      </w:tr>
      <w:tr>
        <w:trPr>
          <w:trHeight w:val="374" w:hRule="atLeast"/>
        </w:trPr>
        <w:tc>
          <w:tcPr>
            <w:tcW w:w="1623" w:type="dxa"/>
          </w:tcPr>
          <w:p>
            <w:pPr>
              <w:pStyle w:val="TableParagraph"/>
              <w:spacing w:before="44"/>
              <w:ind w:left="122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39.9</w:t>
            </w:r>
          </w:p>
        </w:tc>
        <w:tc>
          <w:tcPr>
            <w:tcW w:w="1524" w:type="dxa"/>
          </w:tcPr>
          <w:p>
            <w:pPr>
              <w:pStyle w:val="TableParagraph"/>
              <w:spacing w:before="44"/>
              <w:ind w:left="530"/>
              <w:rPr>
                <w:sz w:val="24"/>
              </w:rPr>
            </w:pPr>
            <w:r>
              <w:rPr>
                <w:sz w:val="24"/>
              </w:rPr>
              <w:t>381</w:t>
            </w:r>
          </w:p>
        </w:tc>
        <w:tc>
          <w:tcPr>
            <w:tcW w:w="1571" w:type="dxa"/>
          </w:tcPr>
          <w:p>
            <w:pPr>
              <w:pStyle w:val="TableParagraph"/>
              <w:spacing w:before="44"/>
              <w:ind w:left="552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1881" w:type="dxa"/>
          </w:tcPr>
          <w:p>
            <w:pPr>
              <w:pStyle w:val="TableParagraph"/>
              <w:spacing w:before="44"/>
              <w:ind w:left="529"/>
              <w:rPr>
                <w:sz w:val="24"/>
              </w:rPr>
            </w:pPr>
            <w:r>
              <w:rPr>
                <w:sz w:val="24"/>
              </w:rPr>
              <w:t>51.5444</w:t>
            </w:r>
          </w:p>
        </w:tc>
        <w:tc>
          <w:tcPr>
            <w:tcW w:w="2140" w:type="dxa"/>
          </w:tcPr>
          <w:p>
            <w:pPr>
              <w:pStyle w:val="TableParagraph"/>
              <w:spacing w:before="44"/>
              <w:ind w:left="446"/>
              <w:rPr>
                <w:sz w:val="24"/>
              </w:rPr>
            </w:pPr>
            <w:r>
              <w:rPr>
                <w:sz w:val="24"/>
              </w:rPr>
              <w:t>73.55212</w:t>
            </w:r>
          </w:p>
        </w:tc>
      </w:tr>
      <w:tr>
        <w:trPr>
          <w:trHeight w:val="374" w:hRule="atLeast"/>
        </w:trPr>
        <w:tc>
          <w:tcPr>
            <w:tcW w:w="1623" w:type="dxa"/>
          </w:tcPr>
          <w:p>
            <w:pPr>
              <w:pStyle w:val="TableParagraph"/>
              <w:spacing w:before="44"/>
              <w:ind w:left="122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59.9</w:t>
            </w:r>
          </w:p>
        </w:tc>
        <w:tc>
          <w:tcPr>
            <w:tcW w:w="1524" w:type="dxa"/>
          </w:tcPr>
          <w:p>
            <w:pPr>
              <w:pStyle w:val="TableParagraph"/>
              <w:spacing w:before="44"/>
              <w:ind w:left="530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1571" w:type="dxa"/>
          </w:tcPr>
          <w:p>
            <w:pPr>
              <w:pStyle w:val="TableParagraph"/>
              <w:spacing w:before="44"/>
              <w:ind w:left="552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881" w:type="dxa"/>
          </w:tcPr>
          <w:p>
            <w:pPr>
              <w:pStyle w:val="TableParagraph"/>
              <w:spacing w:before="44"/>
              <w:ind w:left="529"/>
              <w:rPr>
                <w:sz w:val="24"/>
              </w:rPr>
            </w:pPr>
            <w:r>
              <w:rPr>
                <w:sz w:val="24"/>
              </w:rPr>
              <w:t>17.18147</w:t>
            </w:r>
          </w:p>
        </w:tc>
        <w:tc>
          <w:tcPr>
            <w:tcW w:w="2140" w:type="dxa"/>
          </w:tcPr>
          <w:p>
            <w:pPr>
              <w:pStyle w:val="TableParagraph"/>
              <w:spacing w:before="44"/>
              <w:ind w:left="446"/>
              <w:rPr>
                <w:sz w:val="24"/>
              </w:rPr>
            </w:pPr>
            <w:r>
              <w:rPr>
                <w:sz w:val="24"/>
              </w:rPr>
              <w:t>90.73359</w:t>
            </w:r>
          </w:p>
        </w:tc>
      </w:tr>
      <w:tr>
        <w:trPr>
          <w:trHeight w:val="375" w:hRule="atLeast"/>
        </w:trPr>
        <w:tc>
          <w:tcPr>
            <w:tcW w:w="1623" w:type="dxa"/>
          </w:tcPr>
          <w:p>
            <w:pPr>
              <w:pStyle w:val="TableParagraph"/>
              <w:spacing w:before="44"/>
              <w:ind w:left="122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79.9</w:t>
            </w:r>
          </w:p>
        </w:tc>
        <w:tc>
          <w:tcPr>
            <w:tcW w:w="1524" w:type="dxa"/>
          </w:tcPr>
          <w:p>
            <w:pPr>
              <w:pStyle w:val="TableParagraph"/>
              <w:spacing w:before="44"/>
              <w:ind w:left="530"/>
              <w:rPr>
                <w:sz w:val="24"/>
              </w:rPr>
            </w:pPr>
            <w:r>
              <w:rPr>
                <w:sz w:val="24"/>
              </w:rPr>
              <w:t>503</w:t>
            </w:r>
          </w:p>
        </w:tc>
        <w:tc>
          <w:tcPr>
            <w:tcW w:w="1571" w:type="dxa"/>
          </w:tcPr>
          <w:p>
            <w:pPr>
              <w:pStyle w:val="TableParagraph"/>
              <w:spacing w:before="44"/>
              <w:ind w:left="55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81" w:type="dxa"/>
          </w:tcPr>
          <w:p>
            <w:pPr>
              <w:pStyle w:val="TableParagraph"/>
              <w:spacing w:before="44"/>
              <w:ind w:left="529"/>
              <w:rPr>
                <w:sz w:val="24"/>
              </w:rPr>
            </w:pPr>
            <w:r>
              <w:rPr>
                <w:sz w:val="24"/>
              </w:rPr>
              <w:t>6.370656</w:t>
            </w:r>
          </w:p>
        </w:tc>
        <w:tc>
          <w:tcPr>
            <w:tcW w:w="2140" w:type="dxa"/>
          </w:tcPr>
          <w:p>
            <w:pPr>
              <w:pStyle w:val="TableParagraph"/>
              <w:spacing w:before="44"/>
              <w:ind w:left="446"/>
              <w:rPr>
                <w:sz w:val="24"/>
              </w:rPr>
            </w:pPr>
            <w:r>
              <w:rPr>
                <w:sz w:val="24"/>
              </w:rPr>
              <w:t>97.10425</w:t>
            </w:r>
          </w:p>
        </w:tc>
      </w:tr>
      <w:tr>
        <w:trPr>
          <w:trHeight w:val="375" w:hRule="atLeast"/>
        </w:trPr>
        <w:tc>
          <w:tcPr>
            <w:tcW w:w="1623" w:type="dxa"/>
          </w:tcPr>
          <w:p>
            <w:pPr>
              <w:pStyle w:val="TableParagraph"/>
              <w:spacing w:before="45"/>
              <w:ind w:left="122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99.9</w:t>
            </w:r>
          </w:p>
        </w:tc>
        <w:tc>
          <w:tcPr>
            <w:tcW w:w="1524" w:type="dxa"/>
          </w:tcPr>
          <w:p>
            <w:pPr>
              <w:pStyle w:val="TableParagraph"/>
              <w:spacing w:before="45"/>
              <w:ind w:left="530"/>
              <w:rPr>
                <w:sz w:val="24"/>
              </w:rPr>
            </w:pPr>
            <w:r>
              <w:rPr>
                <w:sz w:val="24"/>
              </w:rPr>
              <w:t>515</w:t>
            </w:r>
          </w:p>
        </w:tc>
        <w:tc>
          <w:tcPr>
            <w:tcW w:w="1571" w:type="dxa"/>
          </w:tcPr>
          <w:p>
            <w:pPr>
              <w:pStyle w:val="TableParagraph"/>
              <w:spacing w:before="45"/>
              <w:ind w:left="55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1" w:type="dxa"/>
          </w:tcPr>
          <w:p>
            <w:pPr>
              <w:pStyle w:val="TableParagraph"/>
              <w:spacing w:before="45"/>
              <w:ind w:left="529"/>
              <w:rPr>
                <w:sz w:val="24"/>
              </w:rPr>
            </w:pPr>
            <w:r>
              <w:rPr>
                <w:sz w:val="24"/>
              </w:rPr>
              <w:t>2.316602</w:t>
            </w:r>
          </w:p>
        </w:tc>
        <w:tc>
          <w:tcPr>
            <w:tcW w:w="2140" w:type="dxa"/>
          </w:tcPr>
          <w:p>
            <w:pPr>
              <w:pStyle w:val="TableParagraph"/>
              <w:spacing w:before="45"/>
              <w:ind w:left="446"/>
              <w:rPr>
                <w:sz w:val="24"/>
              </w:rPr>
            </w:pPr>
            <w:r>
              <w:rPr>
                <w:sz w:val="24"/>
              </w:rPr>
              <w:t>99.42085</w:t>
            </w:r>
          </w:p>
        </w:tc>
      </w:tr>
      <w:tr>
        <w:trPr>
          <w:trHeight w:val="377" w:hRule="atLeast"/>
        </w:trPr>
        <w:tc>
          <w:tcPr>
            <w:tcW w:w="162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4"/>
              <w:ind w:left="122"/>
              <w:rPr>
                <w:sz w:val="24"/>
              </w:rPr>
            </w:pPr>
            <w:r>
              <w:rPr>
                <w:sz w:val="24"/>
              </w:rPr>
              <w:t>≥ 100</w:t>
            </w:r>
          </w:p>
        </w:tc>
        <w:tc>
          <w:tcPr>
            <w:tcW w:w="152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4"/>
              <w:ind w:left="530"/>
              <w:rPr>
                <w:sz w:val="24"/>
              </w:rPr>
            </w:pPr>
            <w:r>
              <w:rPr>
                <w:sz w:val="24"/>
              </w:rPr>
              <w:t>518</w:t>
            </w:r>
          </w:p>
        </w:tc>
        <w:tc>
          <w:tcPr>
            <w:tcW w:w="15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4"/>
              <w:ind w:left="55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4"/>
              <w:ind w:left="529"/>
              <w:rPr>
                <w:sz w:val="24"/>
              </w:rPr>
            </w:pPr>
            <w:r>
              <w:rPr>
                <w:sz w:val="24"/>
              </w:rPr>
              <w:t>0.579151</w:t>
            </w:r>
          </w:p>
        </w:tc>
        <w:tc>
          <w:tcPr>
            <w:tcW w:w="21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4"/>
              <w:ind w:left="44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3"/>
        <w:spacing w:before="191"/>
        <w:ind w:left="465"/>
      </w:pPr>
      <w:r>
        <w:rPr/>
        <w:t>Table</w:t>
      </w:r>
      <w:r>
        <w:rPr>
          <w:spacing w:val="-2"/>
        </w:rPr>
        <w:t> </w:t>
      </w:r>
      <w:r>
        <w:rPr/>
        <w:t>A1.4:</w:t>
      </w:r>
      <w:r>
        <w:rPr>
          <w:spacing w:val="-1"/>
        </w:rPr>
        <w:t> </w:t>
      </w:r>
      <w:r>
        <w:rPr/>
        <w:t>Compaction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SGS</w:t>
      </w:r>
    </w:p>
    <w:p>
      <w:pPr>
        <w:pStyle w:val="BodyText"/>
        <w:spacing w:before="8"/>
        <w:rPr>
          <w:b/>
          <w:sz w:val="10"/>
        </w:rPr>
      </w:pPr>
    </w:p>
    <w:tbl>
      <w:tblPr>
        <w:tblW w:w="0" w:type="auto"/>
        <w:jc w:val="left"/>
        <w:tblInd w:w="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5"/>
        <w:gridCol w:w="1504"/>
        <w:gridCol w:w="2550"/>
        <w:gridCol w:w="1254"/>
        <w:gridCol w:w="1594"/>
      </w:tblGrid>
      <w:tr>
        <w:trPr>
          <w:trHeight w:val="337" w:hRule="atLeast"/>
        </w:trPr>
        <w:tc>
          <w:tcPr>
            <w:tcW w:w="1835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Pressure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(MPa)</w:t>
            </w:r>
          </w:p>
        </w:tc>
        <w:tc>
          <w:tcPr>
            <w:tcW w:w="1504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10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105"/>
                <w:sz w:val="24"/>
                <w:szCs w:val="24"/>
              </w:rPr>
              <w:t>Porosity</w:t>
            </w:r>
            <w:r>
              <w:rPr>
                <w:b/>
                <w:bCs/>
                <w:spacing w:val="-2"/>
                <w:w w:val="105"/>
                <w:sz w:val="24"/>
                <w:szCs w:val="24"/>
              </w:rPr>
              <w:t> </w:t>
            </w:r>
            <w:r>
              <w:rPr>
                <w:b/>
                <w:bCs/>
                <w:w w:val="105"/>
                <w:sz w:val="24"/>
                <w:szCs w:val="24"/>
              </w:rPr>
              <w:t>(Ԑ</w:t>
            </w:r>
            <w:r>
              <w:rPr>
                <w:b/>
                <w:bCs/>
                <w:spacing w:val="-11"/>
                <w:w w:val="105"/>
                <w:sz w:val="24"/>
                <w:szCs w:val="24"/>
              </w:rPr>
              <w:t> </w:t>
            </w:r>
            <w:r>
              <w:rPr>
                <w:b/>
                <w:bCs/>
                <w:w w:val="105"/>
                <w:sz w:val="24"/>
                <w:szCs w:val="24"/>
              </w:rPr>
              <w:t>)</w:t>
            </w:r>
          </w:p>
        </w:tc>
        <w:tc>
          <w:tcPr>
            <w:tcW w:w="2550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Tensile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strength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(MPa)</w:t>
            </w:r>
          </w:p>
        </w:tc>
        <w:tc>
          <w:tcPr>
            <w:tcW w:w="1254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(1/</w:t>
            </w:r>
            <w:r>
              <w:rPr>
                <w:rFonts w:ascii="Arial" w:hAnsi="Arial"/>
                <w:b/>
                <w:sz w:val="24"/>
              </w:rPr>
              <w:t>Ɛ</w:t>
            </w:r>
            <w:r>
              <w:rPr>
                <w:rFonts w:ascii="Arial" w:hAnsi="Arial"/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594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P/C</w:t>
            </w:r>
          </w:p>
        </w:tc>
      </w:tr>
      <w:tr>
        <w:trPr>
          <w:trHeight w:val="289" w:hRule="atLeast"/>
        </w:trPr>
        <w:tc>
          <w:tcPr>
            <w:tcW w:w="18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122"/>
              <w:rPr>
                <w:sz w:val="24"/>
              </w:rPr>
            </w:pPr>
            <w:r>
              <w:rPr>
                <w:sz w:val="24"/>
              </w:rPr>
              <w:t>8.88</w:t>
            </w:r>
          </w:p>
        </w:tc>
        <w:tc>
          <w:tcPr>
            <w:tcW w:w="15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0.3342</w:t>
            </w:r>
          </w:p>
        </w:tc>
        <w:tc>
          <w:tcPr>
            <w:tcW w:w="25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81"/>
              <w:rPr>
                <w:sz w:val="24"/>
              </w:rPr>
            </w:pPr>
            <w:r>
              <w:rPr>
                <w:sz w:val="24"/>
              </w:rPr>
              <w:t>0.252641552</w:t>
            </w:r>
          </w:p>
        </w:tc>
        <w:tc>
          <w:tcPr>
            <w:tcW w:w="12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1.0965064</w:t>
            </w:r>
          </w:p>
        </w:tc>
        <w:tc>
          <w:tcPr>
            <w:tcW w:w="15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120"/>
              <w:rPr>
                <w:sz w:val="24"/>
              </w:rPr>
            </w:pPr>
            <w:r>
              <w:rPr>
                <w:sz w:val="24"/>
              </w:rPr>
              <w:t>17.61787681</w:t>
            </w:r>
          </w:p>
        </w:tc>
      </w:tr>
      <w:tr>
        <w:trPr>
          <w:trHeight w:val="315" w:hRule="atLeast"/>
        </w:trPr>
        <w:tc>
          <w:tcPr>
            <w:tcW w:w="1835" w:type="dxa"/>
          </w:tcPr>
          <w:p>
            <w:pPr>
              <w:pStyle w:val="TableParagraph"/>
              <w:spacing w:before="14"/>
              <w:ind w:left="122"/>
              <w:rPr>
                <w:sz w:val="24"/>
              </w:rPr>
            </w:pPr>
            <w:r>
              <w:rPr>
                <w:sz w:val="24"/>
              </w:rPr>
              <w:t>17.76</w:t>
            </w:r>
          </w:p>
        </w:tc>
        <w:tc>
          <w:tcPr>
            <w:tcW w:w="1504" w:type="dxa"/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0.19779</w:t>
            </w:r>
          </w:p>
        </w:tc>
        <w:tc>
          <w:tcPr>
            <w:tcW w:w="2550" w:type="dxa"/>
          </w:tcPr>
          <w:p>
            <w:pPr>
              <w:pStyle w:val="TableParagraph"/>
              <w:spacing w:before="14"/>
              <w:ind w:left="81"/>
              <w:rPr>
                <w:sz w:val="24"/>
              </w:rPr>
            </w:pPr>
            <w:r>
              <w:rPr>
                <w:sz w:val="24"/>
              </w:rPr>
              <w:t>0.713914556</w:t>
            </w:r>
          </w:p>
        </w:tc>
        <w:tc>
          <w:tcPr>
            <w:tcW w:w="1254" w:type="dxa"/>
          </w:tcPr>
          <w:p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1.6214274</w:t>
            </w:r>
          </w:p>
        </w:tc>
        <w:tc>
          <w:tcPr>
            <w:tcW w:w="1594" w:type="dxa"/>
          </w:tcPr>
          <w:p>
            <w:pPr>
              <w:pStyle w:val="TableParagraph"/>
              <w:spacing w:before="14"/>
              <w:ind w:left="120"/>
              <w:rPr>
                <w:sz w:val="24"/>
              </w:rPr>
            </w:pPr>
            <w:r>
              <w:rPr>
                <w:sz w:val="24"/>
              </w:rPr>
              <w:t>30.18174511</w:t>
            </w:r>
          </w:p>
        </w:tc>
      </w:tr>
      <w:tr>
        <w:trPr>
          <w:trHeight w:val="315" w:hRule="atLeast"/>
        </w:trPr>
        <w:tc>
          <w:tcPr>
            <w:tcW w:w="1835" w:type="dxa"/>
          </w:tcPr>
          <w:p>
            <w:pPr>
              <w:pStyle w:val="TableParagraph"/>
              <w:spacing w:before="15"/>
              <w:ind w:left="122"/>
              <w:rPr>
                <w:sz w:val="24"/>
              </w:rPr>
            </w:pPr>
            <w:r>
              <w:rPr>
                <w:sz w:val="24"/>
              </w:rPr>
              <w:t>26.64</w:t>
            </w:r>
          </w:p>
        </w:tc>
        <w:tc>
          <w:tcPr>
            <w:tcW w:w="1504" w:type="dxa"/>
          </w:tcPr>
          <w:p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0.10618</w:t>
            </w:r>
          </w:p>
        </w:tc>
        <w:tc>
          <w:tcPr>
            <w:tcW w:w="2550" w:type="dxa"/>
          </w:tcPr>
          <w:p>
            <w:pPr>
              <w:pStyle w:val="TableParagraph"/>
              <w:spacing w:before="15"/>
              <w:ind w:left="81"/>
              <w:rPr>
                <w:sz w:val="24"/>
              </w:rPr>
            </w:pPr>
            <w:r>
              <w:rPr>
                <w:sz w:val="24"/>
              </w:rPr>
              <w:t>2.467786219</w:t>
            </w:r>
          </w:p>
        </w:tc>
        <w:tc>
          <w:tcPr>
            <w:tcW w:w="1254" w:type="dxa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2.2474516</w:t>
            </w:r>
          </w:p>
        </w:tc>
        <w:tc>
          <w:tcPr>
            <w:tcW w:w="1594" w:type="dxa"/>
          </w:tcPr>
          <w:p>
            <w:pPr>
              <w:pStyle w:val="TableParagraph"/>
              <w:spacing w:before="15"/>
              <w:ind w:left="120"/>
              <w:rPr>
                <w:sz w:val="24"/>
              </w:rPr>
            </w:pPr>
            <w:r>
              <w:rPr>
                <w:sz w:val="24"/>
              </w:rPr>
              <w:t>42.24674817</w:t>
            </w:r>
          </w:p>
        </w:tc>
      </w:tr>
      <w:tr>
        <w:trPr>
          <w:trHeight w:val="314" w:hRule="atLeast"/>
        </w:trPr>
        <w:tc>
          <w:tcPr>
            <w:tcW w:w="1835" w:type="dxa"/>
          </w:tcPr>
          <w:p>
            <w:pPr>
              <w:pStyle w:val="TableParagraph"/>
              <w:spacing w:before="14"/>
              <w:ind w:left="122"/>
              <w:rPr>
                <w:sz w:val="24"/>
              </w:rPr>
            </w:pPr>
            <w:r>
              <w:rPr>
                <w:sz w:val="24"/>
              </w:rPr>
              <w:t>35.52</w:t>
            </w:r>
          </w:p>
        </w:tc>
        <w:tc>
          <w:tcPr>
            <w:tcW w:w="1504" w:type="dxa"/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0.09011</w:t>
            </w:r>
          </w:p>
        </w:tc>
        <w:tc>
          <w:tcPr>
            <w:tcW w:w="2550" w:type="dxa"/>
          </w:tcPr>
          <w:p>
            <w:pPr>
              <w:pStyle w:val="TableParagraph"/>
              <w:spacing w:before="14"/>
              <w:ind w:left="81"/>
              <w:rPr>
                <w:sz w:val="24"/>
              </w:rPr>
            </w:pPr>
            <w:r>
              <w:rPr>
                <w:sz w:val="24"/>
              </w:rPr>
              <w:t>2.765093864</w:t>
            </w:r>
          </w:p>
        </w:tc>
        <w:tc>
          <w:tcPr>
            <w:tcW w:w="1254" w:type="dxa"/>
          </w:tcPr>
          <w:p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2.4080056</w:t>
            </w:r>
          </w:p>
        </w:tc>
        <w:tc>
          <w:tcPr>
            <w:tcW w:w="1594" w:type="dxa"/>
          </w:tcPr>
          <w:p>
            <w:pPr>
              <w:pStyle w:val="TableParagraph"/>
              <w:spacing w:before="14"/>
              <w:ind w:left="120"/>
              <w:rPr>
                <w:sz w:val="24"/>
              </w:rPr>
            </w:pPr>
            <w:r>
              <w:rPr>
                <w:sz w:val="24"/>
              </w:rPr>
              <w:t>55.74643741</w:t>
            </w:r>
          </w:p>
        </w:tc>
      </w:tr>
      <w:tr>
        <w:trPr>
          <w:trHeight w:val="314" w:hRule="atLeast"/>
        </w:trPr>
        <w:tc>
          <w:tcPr>
            <w:tcW w:w="1835" w:type="dxa"/>
          </w:tcPr>
          <w:p>
            <w:pPr>
              <w:pStyle w:val="TableParagraph"/>
              <w:spacing w:before="14"/>
              <w:ind w:left="122"/>
              <w:rPr>
                <w:sz w:val="24"/>
              </w:rPr>
            </w:pPr>
            <w:r>
              <w:rPr>
                <w:sz w:val="24"/>
              </w:rPr>
              <w:t>44.4</w:t>
            </w:r>
          </w:p>
        </w:tc>
        <w:tc>
          <w:tcPr>
            <w:tcW w:w="1504" w:type="dxa"/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0.08755</w:t>
            </w:r>
          </w:p>
        </w:tc>
        <w:tc>
          <w:tcPr>
            <w:tcW w:w="2550" w:type="dxa"/>
          </w:tcPr>
          <w:p>
            <w:pPr>
              <w:pStyle w:val="TableParagraph"/>
              <w:spacing w:before="14"/>
              <w:ind w:left="81"/>
              <w:rPr>
                <w:sz w:val="24"/>
              </w:rPr>
            </w:pPr>
            <w:r>
              <w:rPr>
                <w:sz w:val="24"/>
              </w:rPr>
              <w:t>3.4266132</w:t>
            </w:r>
          </w:p>
        </w:tc>
        <w:tc>
          <w:tcPr>
            <w:tcW w:w="1254" w:type="dxa"/>
          </w:tcPr>
          <w:p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2.4414752</w:t>
            </w:r>
          </w:p>
        </w:tc>
        <w:tc>
          <w:tcPr>
            <w:tcW w:w="1594" w:type="dxa"/>
          </w:tcPr>
          <w:p>
            <w:pPr>
              <w:pStyle w:val="TableParagraph"/>
              <w:spacing w:before="14"/>
              <w:ind w:left="120"/>
              <w:rPr>
                <w:sz w:val="24"/>
              </w:rPr>
            </w:pPr>
            <w:r>
              <w:rPr>
                <w:sz w:val="24"/>
              </w:rPr>
              <w:t>69.5771528</w:t>
            </w:r>
          </w:p>
        </w:tc>
      </w:tr>
      <w:tr>
        <w:trPr>
          <w:trHeight w:val="315" w:hRule="atLeast"/>
        </w:trPr>
        <w:tc>
          <w:tcPr>
            <w:tcW w:w="1835" w:type="dxa"/>
          </w:tcPr>
          <w:p>
            <w:pPr>
              <w:pStyle w:val="TableParagraph"/>
              <w:spacing w:before="14"/>
              <w:ind w:left="122"/>
              <w:rPr>
                <w:sz w:val="24"/>
              </w:rPr>
            </w:pPr>
            <w:r>
              <w:rPr>
                <w:sz w:val="24"/>
              </w:rPr>
              <w:t>53.28</w:t>
            </w:r>
          </w:p>
        </w:tc>
        <w:tc>
          <w:tcPr>
            <w:tcW w:w="1504" w:type="dxa"/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0.0807</w:t>
            </w:r>
          </w:p>
        </w:tc>
        <w:tc>
          <w:tcPr>
            <w:tcW w:w="2550" w:type="dxa"/>
          </w:tcPr>
          <w:p>
            <w:pPr>
              <w:pStyle w:val="TableParagraph"/>
              <w:spacing w:before="14"/>
              <w:ind w:left="81"/>
              <w:rPr>
                <w:sz w:val="24"/>
              </w:rPr>
            </w:pPr>
            <w:r>
              <w:rPr>
                <w:sz w:val="24"/>
              </w:rPr>
              <w:t>3.216811872</w:t>
            </w:r>
          </w:p>
        </w:tc>
        <w:tc>
          <w:tcPr>
            <w:tcW w:w="1254" w:type="dxa"/>
          </w:tcPr>
          <w:p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2.5183191</w:t>
            </w:r>
          </w:p>
        </w:tc>
        <w:tc>
          <w:tcPr>
            <w:tcW w:w="1594" w:type="dxa"/>
          </w:tcPr>
          <w:p>
            <w:pPr>
              <w:pStyle w:val="TableParagraph"/>
              <w:spacing w:before="14"/>
              <w:ind w:left="120"/>
              <w:rPr>
                <w:sz w:val="24"/>
              </w:rPr>
            </w:pPr>
            <w:r>
              <w:rPr>
                <w:sz w:val="24"/>
              </w:rPr>
              <w:t>83.13443584</w:t>
            </w:r>
          </w:p>
        </w:tc>
      </w:tr>
      <w:tr>
        <w:trPr>
          <w:trHeight w:val="315" w:hRule="atLeast"/>
        </w:trPr>
        <w:tc>
          <w:tcPr>
            <w:tcW w:w="1835" w:type="dxa"/>
          </w:tcPr>
          <w:p>
            <w:pPr>
              <w:pStyle w:val="TableParagraph"/>
              <w:spacing w:before="15"/>
              <w:ind w:left="122"/>
              <w:rPr>
                <w:sz w:val="24"/>
              </w:rPr>
            </w:pPr>
            <w:r>
              <w:rPr>
                <w:sz w:val="24"/>
              </w:rPr>
              <w:t>62.16</w:t>
            </w:r>
          </w:p>
        </w:tc>
        <w:tc>
          <w:tcPr>
            <w:tcW w:w="1504" w:type="dxa"/>
          </w:tcPr>
          <w:p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0.08401</w:t>
            </w:r>
          </w:p>
        </w:tc>
        <w:tc>
          <w:tcPr>
            <w:tcW w:w="2550" w:type="dxa"/>
          </w:tcPr>
          <w:p>
            <w:pPr>
              <w:pStyle w:val="TableParagraph"/>
              <w:spacing w:before="15"/>
              <w:ind w:left="81"/>
              <w:rPr>
                <w:sz w:val="24"/>
              </w:rPr>
            </w:pPr>
            <w:r>
              <w:rPr>
                <w:sz w:val="24"/>
              </w:rPr>
              <w:t>3.177727674</w:t>
            </w:r>
          </w:p>
        </w:tc>
        <w:tc>
          <w:tcPr>
            <w:tcW w:w="1254" w:type="dxa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2.4789367</w:t>
            </w:r>
          </w:p>
        </w:tc>
        <w:tc>
          <w:tcPr>
            <w:tcW w:w="1594" w:type="dxa"/>
          </w:tcPr>
          <w:p>
            <w:pPr>
              <w:pStyle w:val="TableParagraph"/>
              <w:spacing w:before="15"/>
              <w:ind w:left="120"/>
              <w:rPr>
                <w:sz w:val="24"/>
              </w:rPr>
            </w:pPr>
            <w:r>
              <w:rPr>
                <w:sz w:val="24"/>
              </w:rPr>
              <w:t>97.18854068</w:t>
            </w:r>
          </w:p>
        </w:tc>
      </w:tr>
      <w:tr>
        <w:trPr>
          <w:trHeight w:val="314" w:hRule="atLeast"/>
        </w:trPr>
        <w:tc>
          <w:tcPr>
            <w:tcW w:w="1835" w:type="dxa"/>
          </w:tcPr>
          <w:p>
            <w:pPr>
              <w:pStyle w:val="TableParagraph"/>
              <w:spacing w:before="14"/>
              <w:ind w:left="122"/>
              <w:rPr>
                <w:sz w:val="24"/>
              </w:rPr>
            </w:pPr>
            <w:r>
              <w:rPr>
                <w:sz w:val="24"/>
              </w:rPr>
              <w:t>71.04</w:t>
            </w:r>
          </w:p>
        </w:tc>
        <w:tc>
          <w:tcPr>
            <w:tcW w:w="1504" w:type="dxa"/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0.08403</w:t>
            </w:r>
          </w:p>
        </w:tc>
        <w:tc>
          <w:tcPr>
            <w:tcW w:w="2550" w:type="dxa"/>
          </w:tcPr>
          <w:p>
            <w:pPr>
              <w:pStyle w:val="TableParagraph"/>
              <w:spacing w:before="14"/>
              <w:ind w:left="81"/>
              <w:rPr>
                <w:sz w:val="24"/>
              </w:rPr>
            </w:pPr>
            <w:r>
              <w:rPr>
                <w:sz w:val="24"/>
              </w:rPr>
              <w:t>2.984285363</w:t>
            </w:r>
          </w:p>
        </w:tc>
        <w:tc>
          <w:tcPr>
            <w:tcW w:w="1254" w:type="dxa"/>
          </w:tcPr>
          <w:p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2.4798042</w:t>
            </w:r>
          </w:p>
        </w:tc>
        <w:tc>
          <w:tcPr>
            <w:tcW w:w="1594" w:type="dxa"/>
          </w:tcPr>
          <w:p>
            <w:pPr>
              <w:pStyle w:val="TableParagraph"/>
              <w:spacing w:before="14"/>
              <w:ind w:left="120"/>
              <w:rPr>
                <w:sz w:val="24"/>
              </w:rPr>
            </w:pPr>
            <w:r>
              <w:rPr>
                <w:sz w:val="24"/>
              </w:rPr>
              <w:t>111.075576</w:t>
            </w:r>
          </w:p>
        </w:tc>
      </w:tr>
      <w:tr>
        <w:trPr>
          <w:trHeight w:val="314" w:hRule="atLeast"/>
        </w:trPr>
        <w:tc>
          <w:tcPr>
            <w:tcW w:w="1835" w:type="dxa"/>
          </w:tcPr>
          <w:p>
            <w:pPr>
              <w:pStyle w:val="TableParagraph"/>
              <w:spacing w:before="14"/>
              <w:ind w:left="122"/>
              <w:rPr>
                <w:sz w:val="24"/>
              </w:rPr>
            </w:pPr>
            <w:r>
              <w:rPr>
                <w:sz w:val="24"/>
              </w:rPr>
              <w:t>79.92</w:t>
            </w:r>
          </w:p>
        </w:tc>
        <w:tc>
          <w:tcPr>
            <w:tcW w:w="1504" w:type="dxa"/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0.09189</w:t>
            </w:r>
          </w:p>
        </w:tc>
        <w:tc>
          <w:tcPr>
            <w:tcW w:w="2550" w:type="dxa"/>
          </w:tcPr>
          <w:p>
            <w:pPr>
              <w:pStyle w:val="TableParagraph"/>
              <w:spacing w:before="14"/>
              <w:ind w:left="81"/>
              <w:rPr>
                <w:sz w:val="24"/>
              </w:rPr>
            </w:pPr>
            <w:r>
              <w:rPr>
                <w:sz w:val="24"/>
              </w:rPr>
              <w:t>2.615389754</w:t>
            </w:r>
          </w:p>
        </w:tc>
        <w:tc>
          <w:tcPr>
            <w:tcW w:w="1254" w:type="dxa"/>
          </w:tcPr>
          <w:p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2.3924222</w:t>
            </w:r>
          </w:p>
        </w:tc>
        <w:tc>
          <w:tcPr>
            <w:tcW w:w="1594" w:type="dxa"/>
          </w:tcPr>
          <w:p>
            <w:pPr>
              <w:pStyle w:val="TableParagraph"/>
              <w:spacing w:before="14"/>
              <w:ind w:left="120"/>
              <w:rPr>
                <w:sz w:val="24"/>
              </w:rPr>
            </w:pPr>
            <w:r>
              <w:rPr>
                <w:sz w:val="24"/>
              </w:rPr>
              <w:t>125.579242</w:t>
            </w:r>
          </w:p>
        </w:tc>
      </w:tr>
      <w:tr>
        <w:trPr>
          <w:trHeight w:val="315" w:hRule="atLeast"/>
        </w:trPr>
        <w:tc>
          <w:tcPr>
            <w:tcW w:w="1835" w:type="dxa"/>
          </w:tcPr>
          <w:p>
            <w:pPr>
              <w:pStyle w:val="TableParagraph"/>
              <w:spacing w:before="14"/>
              <w:ind w:left="122"/>
              <w:rPr>
                <w:sz w:val="24"/>
              </w:rPr>
            </w:pPr>
            <w:r>
              <w:rPr>
                <w:sz w:val="24"/>
              </w:rPr>
              <w:t>88.8</w:t>
            </w:r>
          </w:p>
        </w:tc>
        <w:tc>
          <w:tcPr>
            <w:tcW w:w="1504" w:type="dxa"/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0.08322</w:t>
            </w:r>
          </w:p>
        </w:tc>
        <w:tc>
          <w:tcPr>
            <w:tcW w:w="2550" w:type="dxa"/>
          </w:tcPr>
          <w:p>
            <w:pPr>
              <w:pStyle w:val="TableParagraph"/>
              <w:spacing w:before="14"/>
              <w:ind w:left="81"/>
              <w:rPr>
                <w:sz w:val="24"/>
              </w:rPr>
            </w:pPr>
            <w:r>
              <w:rPr>
                <w:sz w:val="24"/>
              </w:rPr>
              <w:t>2.803014632</w:t>
            </w:r>
          </w:p>
        </w:tc>
        <w:tc>
          <w:tcPr>
            <w:tcW w:w="1254" w:type="dxa"/>
          </w:tcPr>
          <w:p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2.4872221</w:t>
            </w:r>
          </w:p>
        </w:tc>
        <w:tc>
          <w:tcPr>
            <w:tcW w:w="1594" w:type="dxa"/>
          </w:tcPr>
          <w:p>
            <w:pPr>
              <w:pStyle w:val="TableParagraph"/>
              <w:spacing w:before="14"/>
              <w:ind w:left="120"/>
              <w:rPr>
                <w:sz w:val="24"/>
              </w:rPr>
            </w:pPr>
            <w:r>
              <w:rPr>
                <w:sz w:val="24"/>
              </w:rPr>
              <w:t>138.7702989</w:t>
            </w:r>
          </w:p>
        </w:tc>
      </w:tr>
      <w:tr>
        <w:trPr>
          <w:trHeight w:val="315" w:hRule="atLeast"/>
        </w:trPr>
        <w:tc>
          <w:tcPr>
            <w:tcW w:w="1835" w:type="dxa"/>
          </w:tcPr>
          <w:p>
            <w:pPr>
              <w:pStyle w:val="TableParagraph"/>
              <w:spacing w:before="15"/>
              <w:ind w:left="122"/>
              <w:rPr>
                <w:sz w:val="24"/>
              </w:rPr>
            </w:pPr>
            <w:r>
              <w:rPr>
                <w:sz w:val="24"/>
              </w:rPr>
              <w:t>97.68</w:t>
            </w:r>
          </w:p>
        </w:tc>
        <w:tc>
          <w:tcPr>
            <w:tcW w:w="1504" w:type="dxa"/>
          </w:tcPr>
          <w:p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0.09311</w:t>
            </w:r>
          </w:p>
        </w:tc>
        <w:tc>
          <w:tcPr>
            <w:tcW w:w="2550" w:type="dxa"/>
          </w:tcPr>
          <w:p>
            <w:pPr>
              <w:pStyle w:val="TableParagraph"/>
              <w:spacing w:before="15"/>
              <w:ind w:left="81"/>
              <w:rPr>
                <w:sz w:val="24"/>
              </w:rPr>
            </w:pPr>
            <w:r>
              <w:rPr>
                <w:sz w:val="24"/>
              </w:rPr>
              <w:t>3.182788166</w:t>
            </w:r>
          </w:p>
        </w:tc>
        <w:tc>
          <w:tcPr>
            <w:tcW w:w="1254" w:type="dxa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2.3770012</w:t>
            </w:r>
          </w:p>
        </w:tc>
        <w:tc>
          <w:tcPr>
            <w:tcW w:w="1594" w:type="dxa"/>
          </w:tcPr>
          <w:p>
            <w:pPr>
              <w:pStyle w:val="TableParagraph"/>
              <w:spacing w:before="15"/>
              <w:ind w:left="120"/>
              <w:rPr>
                <w:sz w:val="24"/>
              </w:rPr>
            </w:pPr>
            <w:r>
              <w:rPr>
                <w:sz w:val="24"/>
              </w:rPr>
              <w:t>153.5963007</w:t>
            </w:r>
          </w:p>
        </w:tc>
      </w:tr>
      <w:tr>
        <w:trPr>
          <w:trHeight w:val="316" w:hRule="atLeast"/>
        </w:trPr>
        <w:tc>
          <w:tcPr>
            <w:tcW w:w="183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"/>
              <w:ind w:left="122"/>
              <w:rPr>
                <w:sz w:val="24"/>
              </w:rPr>
            </w:pPr>
            <w:r>
              <w:rPr>
                <w:sz w:val="24"/>
              </w:rPr>
              <w:t>106.56</w:t>
            </w:r>
          </w:p>
        </w:tc>
        <w:tc>
          <w:tcPr>
            <w:tcW w:w="150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0.08737</w:t>
            </w:r>
          </w:p>
        </w:tc>
        <w:tc>
          <w:tcPr>
            <w:tcW w:w="255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"/>
              <w:ind w:left="81"/>
              <w:rPr>
                <w:sz w:val="24"/>
              </w:rPr>
            </w:pPr>
            <w:r>
              <w:rPr>
                <w:sz w:val="24"/>
              </w:rPr>
              <w:t>4.087859977</w:t>
            </w:r>
          </w:p>
        </w:tc>
        <w:tc>
          <w:tcPr>
            <w:tcW w:w="125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2.4421732</w:t>
            </w:r>
          </w:p>
        </w:tc>
        <w:tc>
          <w:tcPr>
            <w:tcW w:w="159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"/>
              <w:ind w:left="120"/>
              <w:rPr>
                <w:sz w:val="24"/>
              </w:rPr>
            </w:pPr>
            <w:r>
              <w:rPr>
                <w:sz w:val="24"/>
              </w:rPr>
              <w:t>166.9629284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320" w:bottom="1260" w:left="1520" w:right="160"/>
        </w:sectPr>
      </w:pPr>
    </w:p>
    <w:p>
      <w:pPr>
        <w:spacing w:before="76"/>
        <w:ind w:left="465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A1.5: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Compaction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SGS-PM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8"/>
        <w:gridCol w:w="1504"/>
        <w:gridCol w:w="2550"/>
        <w:gridCol w:w="1360"/>
        <w:gridCol w:w="1489"/>
      </w:tblGrid>
      <w:tr>
        <w:trPr>
          <w:trHeight w:val="334" w:hRule="atLeast"/>
        </w:trPr>
        <w:tc>
          <w:tcPr>
            <w:tcW w:w="1828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Pressure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(MPa)</w:t>
            </w:r>
          </w:p>
        </w:tc>
        <w:tc>
          <w:tcPr>
            <w:tcW w:w="1504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5"/>
              <w:ind w:left="10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105"/>
                <w:sz w:val="24"/>
                <w:szCs w:val="24"/>
              </w:rPr>
              <w:t>Porosity</w:t>
            </w:r>
            <w:r>
              <w:rPr>
                <w:b/>
                <w:bCs/>
                <w:spacing w:val="-2"/>
                <w:w w:val="105"/>
                <w:sz w:val="24"/>
                <w:szCs w:val="24"/>
              </w:rPr>
              <w:t> </w:t>
            </w:r>
            <w:r>
              <w:rPr>
                <w:b/>
                <w:bCs/>
                <w:w w:val="105"/>
                <w:sz w:val="24"/>
                <w:szCs w:val="24"/>
              </w:rPr>
              <w:t>(Ԑ</w:t>
            </w:r>
            <w:r>
              <w:rPr>
                <w:b/>
                <w:bCs/>
                <w:spacing w:val="-11"/>
                <w:w w:val="105"/>
                <w:sz w:val="24"/>
                <w:szCs w:val="24"/>
              </w:rPr>
              <w:t> </w:t>
            </w:r>
            <w:r>
              <w:rPr>
                <w:b/>
                <w:bCs/>
                <w:w w:val="105"/>
                <w:sz w:val="24"/>
                <w:szCs w:val="24"/>
              </w:rPr>
              <w:t>)</w:t>
            </w:r>
          </w:p>
        </w:tc>
        <w:tc>
          <w:tcPr>
            <w:tcW w:w="2550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5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Tensile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strength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(MPa)</w:t>
            </w:r>
          </w:p>
        </w:tc>
        <w:tc>
          <w:tcPr>
            <w:tcW w:w="1360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ln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(1/</w:t>
            </w:r>
            <w:r>
              <w:rPr>
                <w:rFonts w:ascii="Arial" w:hAnsi="Arial"/>
                <w:b/>
                <w:sz w:val="24"/>
              </w:rPr>
              <w:t>Ɛ</w:t>
            </w:r>
            <w:r>
              <w:rPr>
                <w:rFonts w:ascii="Arial" w:hAnsi="Arial"/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489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P/C</w:t>
            </w:r>
          </w:p>
        </w:tc>
      </w:tr>
      <w:tr>
        <w:trPr>
          <w:trHeight w:val="291" w:hRule="atLeast"/>
        </w:trPr>
        <w:tc>
          <w:tcPr>
            <w:tcW w:w="18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115"/>
              <w:rPr>
                <w:sz w:val="24"/>
              </w:rPr>
            </w:pPr>
            <w:r>
              <w:rPr>
                <w:sz w:val="24"/>
              </w:rPr>
              <w:t>17.76</w:t>
            </w:r>
          </w:p>
        </w:tc>
        <w:tc>
          <w:tcPr>
            <w:tcW w:w="15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0.2513461</w:t>
            </w:r>
          </w:p>
        </w:tc>
        <w:tc>
          <w:tcPr>
            <w:tcW w:w="25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81"/>
              <w:rPr>
                <w:sz w:val="24"/>
              </w:rPr>
            </w:pPr>
            <w:r>
              <w:rPr>
                <w:sz w:val="24"/>
              </w:rPr>
              <w:t>0.322712621</w:t>
            </w:r>
          </w:p>
        </w:tc>
        <w:tc>
          <w:tcPr>
            <w:tcW w:w="13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1.38131356</w:t>
            </w:r>
          </w:p>
        </w:tc>
        <w:tc>
          <w:tcPr>
            <w:tcW w:w="14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35.0101104</w:t>
            </w:r>
          </w:p>
        </w:tc>
      </w:tr>
      <w:tr>
        <w:trPr>
          <w:trHeight w:val="315" w:hRule="atLeast"/>
        </w:trPr>
        <w:tc>
          <w:tcPr>
            <w:tcW w:w="1828" w:type="dxa"/>
          </w:tcPr>
          <w:p>
            <w:pPr>
              <w:pStyle w:val="TableParagraph"/>
              <w:spacing w:before="14"/>
              <w:ind w:left="115"/>
              <w:rPr>
                <w:sz w:val="24"/>
              </w:rPr>
            </w:pPr>
            <w:r>
              <w:rPr>
                <w:sz w:val="24"/>
              </w:rPr>
              <w:t>26.64</w:t>
            </w:r>
          </w:p>
        </w:tc>
        <w:tc>
          <w:tcPr>
            <w:tcW w:w="1504" w:type="dxa"/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0.1617648</w:t>
            </w:r>
          </w:p>
        </w:tc>
        <w:tc>
          <w:tcPr>
            <w:tcW w:w="2550" w:type="dxa"/>
          </w:tcPr>
          <w:p>
            <w:pPr>
              <w:pStyle w:val="TableParagraph"/>
              <w:spacing w:before="14"/>
              <w:ind w:left="81"/>
              <w:rPr>
                <w:sz w:val="24"/>
              </w:rPr>
            </w:pPr>
            <w:r>
              <w:rPr>
                <w:sz w:val="24"/>
              </w:rPr>
              <w:t>0.773425786</w:t>
            </w:r>
          </w:p>
        </w:tc>
        <w:tc>
          <w:tcPr>
            <w:tcW w:w="1360" w:type="dxa"/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1.82200412</w:t>
            </w:r>
          </w:p>
        </w:tc>
        <w:tc>
          <w:tcPr>
            <w:tcW w:w="1489" w:type="dxa"/>
          </w:tcPr>
          <w:p>
            <w:pPr>
              <w:pStyle w:val="TableParagraph"/>
              <w:spacing w:before="14"/>
              <w:ind w:left="105"/>
              <w:rPr>
                <w:sz w:val="24"/>
              </w:rPr>
            </w:pPr>
            <w:r>
              <w:rPr>
                <w:sz w:val="24"/>
              </w:rPr>
              <w:t>47.5746869</w:t>
            </w:r>
          </w:p>
        </w:tc>
      </w:tr>
      <w:tr>
        <w:trPr>
          <w:trHeight w:val="315" w:hRule="atLeast"/>
        </w:trPr>
        <w:tc>
          <w:tcPr>
            <w:tcW w:w="1828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35.52</w:t>
            </w:r>
          </w:p>
        </w:tc>
        <w:tc>
          <w:tcPr>
            <w:tcW w:w="1504" w:type="dxa"/>
          </w:tcPr>
          <w:p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0.1492546</w:t>
            </w:r>
          </w:p>
        </w:tc>
        <w:tc>
          <w:tcPr>
            <w:tcW w:w="2550" w:type="dxa"/>
          </w:tcPr>
          <w:p>
            <w:pPr>
              <w:pStyle w:val="TableParagraph"/>
              <w:spacing w:before="15"/>
              <w:ind w:left="81"/>
              <w:rPr>
                <w:sz w:val="24"/>
              </w:rPr>
            </w:pPr>
            <w:r>
              <w:rPr>
                <w:sz w:val="24"/>
              </w:rPr>
              <w:t>0.828730513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1.90694757</w:t>
            </w:r>
          </w:p>
        </w:tc>
        <w:tc>
          <w:tcPr>
            <w:tcW w:w="1489" w:type="dxa"/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62.7312668</w:t>
            </w:r>
          </w:p>
        </w:tc>
      </w:tr>
      <w:tr>
        <w:trPr>
          <w:trHeight w:val="314" w:hRule="atLeast"/>
        </w:trPr>
        <w:tc>
          <w:tcPr>
            <w:tcW w:w="1828" w:type="dxa"/>
          </w:tcPr>
          <w:p>
            <w:pPr>
              <w:pStyle w:val="TableParagraph"/>
              <w:spacing w:before="14"/>
              <w:ind w:left="115"/>
              <w:rPr>
                <w:sz w:val="24"/>
              </w:rPr>
            </w:pPr>
            <w:r>
              <w:rPr>
                <w:sz w:val="24"/>
              </w:rPr>
              <w:t>44.4</w:t>
            </w:r>
          </w:p>
        </w:tc>
        <w:tc>
          <w:tcPr>
            <w:tcW w:w="1504" w:type="dxa"/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0.1306985</w:t>
            </w:r>
          </w:p>
        </w:tc>
        <w:tc>
          <w:tcPr>
            <w:tcW w:w="2550" w:type="dxa"/>
          </w:tcPr>
          <w:p>
            <w:pPr>
              <w:pStyle w:val="TableParagraph"/>
              <w:spacing w:before="14"/>
              <w:ind w:left="81"/>
              <w:rPr>
                <w:sz w:val="24"/>
              </w:rPr>
            </w:pPr>
            <w:r>
              <w:rPr>
                <w:sz w:val="24"/>
              </w:rPr>
              <w:t>0.889953592</w:t>
            </w:r>
          </w:p>
        </w:tc>
        <w:tc>
          <w:tcPr>
            <w:tcW w:w="1360" w:type="dxa"/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2.03556631</w:t>
            </w:r>
          </w:p>
        </w:tc>
        <w:tc>
          <w:tcPr>
            <w:tcW w:w="1489" w:type="dxa"/>
          </w:tcPr>
          <w:p>
            <w:pPr>
              <w:pStyle w:val="TableParagraph"/>
              <w:spacing w:before="14"/>
              <w:ind w:left="105"/>
              <w:rPr>
                <w:sz w:val="24"/>
              </w:rPr>
            </w:pPr>
            <w:r>
              <w:rPr>
                <w:sz w:val="24"/>
              </w:rPr>
              <w:t>77.1261991</w:t>
            </w:r>
          </w:p>
        </w:tc>
      </w:tr>
      <w:tr>
        <w:trPr>
          <w:trHeight w:val="314" w:hRule="atLeast"/>
        </w:trPr>
        <w:tc>
          <w:tcPr>
            <w:tcW w:w="1828" w:type="dxa"/>
          </w:tcPr>
          <w:p>
            <w:pPr>
              <w:pStyle w:val="TableParagraph"/>
              <w:spacing w:before="14"/>
              <w:ind w:left="115"/>
              <w:rPr>
                <w:sz w:val="24"/>
              </w:rPr>
            </w:pPr>
            <w:r>
              <w:rPr>
                <w:sz w:val="24"/>
              </w:rPr>
              <w:t>53.28</w:t>
            </w:r>
          </w:p>
        </w:tc>
        <w:tc>
          <w:tcPr>
            <w:tcW w:w="1504" w:type="dxa"/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0.1186275</w:t>
            </w:r>
          </w:p>
        </w:tc>
        <w:tc>
          <w:tcPr>
            <w:tcW w:w="2550" w:type="dxa"/>
          </w:tcPr>
          <w:p>
            <w:pPr>
              <w:pStyle w:val="TableParagraph"/>
              <w:spacing w:before="14"/>
              <w:ind w:left="81"/>
              <w:rPr>
                <w:sz w:val="24"/>
              </w:rPr>
            </w:pPr>
            <w:r>
              <w:rPr>
                <w:sz w:val="24"/>
              </w:rPr>
              <w:t>0.941130366</w:t>
            </w:r>
          </w:p>
        </w:tc>
        <w:tc>
          <w:tcPr>
            <w:tcW w:w="1360" w:type="dxa"/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2.13250145</w:t>
            </w:r>
          </w:p>
        </w:tc>
        <w:tc>
          <w:tcPr>
            <w:tcW w:w="1489" w:type="dxa"/>
          </w:tcPr>
          <w:p>
            <w:pPr>
              <w:pStyle w:val="TableParagraph"/>
              <w:spacing w:before="14"/>
              <w:ind w:left="105"/>
              <w:rPr>
                <w:sz w:val="24"/>
              </w:rPr>
            </w:pPr>
            <w:r>
              <w:rPr>
                <w:sz w:val="24"/>
              </w:rPr>
              <w:t>91.6262252</w:t>
            </w:r>
          </w:p>
        </w:tc>
      </w:tr>
      <w:tr>
        <w:trPr>
          <w:trHeight w:val="315" w:hRule="atLeast"/>
        </w:trPr>
        <w:tc>
          <w:tcPr>
            <w:tcW w:w="1828" w:type="dxa"/>
          </w:tcPr>
          <w:p>
            <w:pPr>
              <w:pStyle w:val="TableParagraph"/>
              <w:spacing w:before="14"/>
              <w:ind w:left="115"/>
              <w:rPr>
                <w:sz w:val="24"/>
              </w:rPr>
            </w:pPr>
            <w:r>
              <w:rPr>
                <w:sz w:val="24"/>
              </w:rPr>
              <w:t>62.16</w:t>
            </w:r>
          </w:p>
        </w:tc>
        <w:tc>
          <w:tcPr>
            <w:tcW w:w="1504" w:type="dxa"/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0.1313902</w:t>
            </w:r>
          </w:p>
        </w:tc>
        <w:tc>
          <w:tcPr>
            <w:tcW w:w="2550" w:type="dxa"/>
          </w:tcPr>
          <w:p>
            <w:pPr>
              <w:pStyle w:val="TableParagraph"/>
              <w:spacing w:before="14"/>
              <w:ind w:left="81"/>
              <w:rPr>
                <w:sz w:val="24"/>
              </w:rPr>
            </w:pPr>
            <w:r>
              <w:rPr>
                <w:sz w:val="24"/>
              </w:rPr>
              <w:t>0.936212513</w:t>
            </w:r>
          </w:p>
        </w:tc>
        <w:tc>
          <w:tcPr>
            <w:tcW w:w="1360" w:type="dxa"/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2.03087946</w:t>
            </w:r>
          </w:p>
        </w:tc>
        <w:tc>
          <w:tcPr>
            <w:tcW w:w="1489" w:type="dxa"/>
          </w:tcPr>
          <w:p>
            <w:pPr>
              <w:pStyle w:val="TableParagraph"/>
              <w:spacing w:before="14"/>
              <w:ind w:left="105"/>
              <w:rPr>
                <w:sz w:val="24"/>
              </w:rPr>
            </w:pPr>
            <w:r>
              <w:rPr>
                <w:sz w:val="24"/>
              </w:rPr>
              <w:t>108.043926</w:t>
            </w:r>
          </w:p>
        </w:tc>
      </w:tr>
      <w:tr>
        <w:trPr>
          <w:trHeight w:val="315" w:hRule="atLeast"/>
        </w:trPr>
        <w:tc>
          <w:tcPr>
            <w:tcW w:w="1828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71.04</w:t>
            </w:r>
          </w:p>
        </w:tc>
        <w:tc>
          <w:tcPr>
            <w:tcW w:w="1504" w:type="dxa"/>
          </w:tcPr>
          <w:p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0.1166918</w:t>
            </w:r>
          </w:p>
        </w:tc>
        <w:tc>
          <w:tcPr>
            <w:tcW w:w="2550" w:type="dxa"/>
          </w:tcPr>
          <w:p>
            <w:pPr>
              <w:pStyle w:val="TableParagraph"/>
              <w:spacing w:before="15"/>
              <w:ind w:left="81"/>
              <w:rPr>
                <w:sz w:val="24"/>
              </w:rPr>
            </w:pPr>
            <w:r>
              <w:rPr>
                <w:sz w:val="24"/>
              </w:rPr>
              <w:t>0.956103513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2.14862223</w:t>
            </w:r>
          </w:p>
        </w:tc>
        <w:tc>
          <w:tcPr>
            <w:tcW w:w="1489" w:type="dxa"/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121.974071</w:t>
            </w:r>
          </w:p>
        </w:tc>
      </w:tr>
      <w:tr>
        <w:trPr>
          <w:trHeight w:val="314" w:hRule="atLeast"/>
        </w:trPr>
        <w:tc>
          <w:tcPr>
            <w:tcW w:w="1828" w:type="dxa"/>
          </w:tcPr>
          <w:p>
            <w:pPr>
              <w:pStyle w:val="TableParagraph"/>
              <w:spacing w:before="14"/>
              <w:ind w:left="115"/>
              <w:rPr>
                <w:sz w:val="24"/>
              </w:rPr>
            </w:pPr>
            <w:r>
              <w:rPr>
                <w:sz w:val="24"/>
              </w:rPr>
              <w:t>79.92</w:t>
            </w:r>
          </w:p>
        </w:tc>
        <w:tc>
          <w:tcPr>
            <w:tcW w:w="1504" w:type="dxa"/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0.1260747</w:t>
            </w:r>
          </w:p>
        </w:tc>
        <w:tc>
          <w:tcPr>
            <w:tcW w:w="2550" w:type="dxa"/>
          </w:tcPr>
          <w:p>
            <w:pPr>
              <w:pStyle w:val="TableParagraph"/>
              <w:spacing w:before="14"/>
              <w:ind w:left="81"/>
              <w:rPr>
                <w:sz w:val="24"/>
              </w:rPr>
            </w:pPr>
            <w:r>
              <w:rPr>
                <w:sz w:val="24"/>
              </w:rPr>
              <w:t>1.024737713</w:t>
            </w:r>
          </w:p>
        </w:tc>
        <w:tc>
          <w:tcPr>
            <w:tcW w:w="1360" w:type="dxa"/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2.08173390</w:t>
            </w:r>
          </w:p>
        </w:tc>
        <w:tc>
          <w:tcPr>
            <w:tcW w:w="1489" w:type="dxa"/>
          </w:tcPr>
          <w:p>
            <w:pPr>
              <w:pStyle w:val="TableParagraph"/>
              <w:spacing w:before="14"/>
              <w:ind w:left="105"/>
              <w:rPr>
                <w:sz w:val="24"/>
              </w:rPr>
            </w:pPr>
            <w:r>
              <w:rPr>
                <w:sz w:val="24"/>
              </w:rPr>
              <w:t>138.366741</w:t>
            </w:r>
          </w:p>
        </w:tc>
      </w:tr>
      <w:tr>
        <w:trPr>
          <w:trHeight w:val="314" w:hRule="atLeast"/>
        </w:trPr>
        <w:tc>
          <w:tcPr>
            <w:tcW w:w="1828" w:type="dxa"/>
          </w:tcPr>
          <w:p>
            <w:pPr>
              <w:pStyle w:val="TableParagraph"/>
              <w:spacing w:before="14"/>
              <w:ind w:left="115"/>
              <w:rPr>
                <w:sz w:val="24"/>
              </w:rPr>
            </w:pPr>
            <w:r>
              <w:rPr>
                <w:sz w:val="24"/>
              </w:rPr>
              <w:t>88.8</w:t>
            </w:r>
          </w:p>
        </w:tc>
        <w:tc>
          <w:tcPr>
            <w:tcW w:w="1504" w:type="dxa"/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0.1205869</w:t>
            </w:r>
          </w:p>
        </w:tc>
        <w:tc>
          <w:tcPr>
            <w:tcW w:w="2550" w:type="dxa"/>
          </w:tcPr>
          <w:p>
            <w:pPr>
              <w:pStyle w:val="TableParagraph"/>
              <w:spacing w:before="14"/>
              <w:ind w:left="81"/>
              <w:rPr>
                <w:sz w:val="24"/>
              </w:rPr>
            </w:pPr>
            <w:r>
              <w:rPr>
                <w:sz w:val="24"/>
              </w:rPr>
              <w:t>1.179276454</w:t>
            </w:r>
          </w:p>
        </w:tc>
        <w:tc>
          <w:tcPr>
            <w:tcW w:w="1360" w:type="dxa"/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2.1181926</w:t>
            </w:r>
          </w:p>
        </w:tc>
        <w:tc>
          <w:tcPr>
            <w:tcW w:w="1489" w:type="dxa"/>
          </w:tcPr>
          <w:p>
            <w:pPr>
              <w:pStyle w:val="TableParagraph"/>
              <w:spacing w:before="14"/>
              <w:ind w:left="105"/>
              <w:rPr>
                <w:sz w:val="24"/>
              </w:rPr>
            </w:pPr>
            <w:r>
              <w:rPr>
                <w:sz w:val="24"/>
              </w:rPr>
              <w:t>152.969834</w:t>
            </w:r>
          </w:p>
        </w:tc>
      </w:tr>
      <w:tr>
        <w:trPr>
          <w:trHeight w:val="315" w:hRule="atLeast"/>
        </w:trPr>
        <w:tc>
          <w:tcPr>
            <w:tcW w:w="1828" w:type="dxa"/>
          </w:tcPr>
          <w:p>
            <w:pPr>
              <w:pStyle w:val="TableParagraph"/>
              <w:spacing w:before="14"/>
              <w:ind w:left="115"/>
              <w:rPr>
                <w:sz w:val="24"/>
              </w:rPr>
            </w:pPr>
            <w:r>
              <w:rPr>
                <w:sz w:val="24"/>
              </w:rPr>
              <w:t>97.68</w:t>
            </w:r>
          </w:p>
        </w:tc>
        <w:tc>
          <w:tcPr>
            <w:tcW w:w="1504" w:type="dxa"/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0.116547</w:t>
            </w:r>
          </w:p>
        </w:tc>
        <w:tc>
          <w:tcPr>
            <w:tcW w:w="2550" w:type="dxa"/>
          </w:tcPr>
          <w:p>
            <w:pPr>
              <w:pStyle w:val="TableParagraph"/>
              <w:spacing w:before="14"/>
              <w:ind w:left="81"/>
              <w:rPr>
                <w:sz w:val="24"/>
              </w:rPr>
            </w:pPr>
            <w:r>
              <w:rPr>
                <w:sz w:val="24"/>
              </w:rPr>
              <w:t>1.27399027</w:t>
            </w:r>
          </w:p>
        </w:tc>
        <w:tc>
          <w:tcPr>
            <w:tcW w:w="1360" w:type="dxa"/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2.15010307</w:t>
            </w:r>
          </w:p>
        </w:tc>
        <w:tc>
          <w:tcPr>
            <w:tcW w:w="1489" w:type="dxa"/>
          </w:tcPr>
          <w:p>
            <w:pPr>
              <w:pStyle w:val="TableParagraph"/>
              <w:spacing w:before="14"/>
              <w:ind w:left="105"/>
              <w:rPr>
                <w:sz w:val="24"/>
              </w:rPr>
            </w:pPr>
            <w:r>
              <w:rPr>
                <w:sz w:val="24"/>
              </w:rPr>
              <w:t>167.696332</w:t>
            </w:r>
          </w:p>
        </w:tc>
      </w:tr>
      <w:tr>
        <w:trPr>
          <w:trHeight w:val="317" w:hRule="atLeast"/>
        </w:trPr>
        <w:tc>
          <w:tcPr>
            <w:tcW w:w="182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106.56</w:t>
            </w:r>
          </w:p>
        </w:tc>
        <w:tc>
          <w:tcPr>
            <w:tcW w:w="150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0.1148088</w:t>
            </w:r>
          </w:p>
        </w:tc>
        <w:tc>
          <w:tcPr>
            <w:tcW w:w="255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5"/>
              <w:ind w:left="81"/>
              <w:rPr>
                <w:sz w:val="24"/>
              </w:rPr>
            </w:pPr>
            <w:r>
              <w:rPr>
                <w:sz w:val="24"/>
              </w:rPr>
              <w:t>1.179196319</w:t>
            </w:r>
          </w:p>
        </w:tc>
        <w:tc>
          <w:tcPr>
            <w:tcW w:w="136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2.16495002</w:t>
            </w:r>
          </w:p>
        </w:tc>
        <w:tc>
          <w:tcPr>
            <w:tcW w:w="148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182.6828931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320" w:bottom="1260" w:left="152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ind w:left="1543"/>
      </w:pPr>
      <w:r>
        <w:rPr/>
        <w:pict>
          <v:group style="position:absolute;margin-left:174.839996pt;margin-top:6.593135pt;width:266.8pt;height:228.85pt;mso-position-horizontal-relative:page;mso-position-vertical-relative:paragraph;z-index:15902208" coordorigin="3497,132" coordsize="5336,4577">
            <v:shape style="position:absolute;left:3496;top:146;width:5321;height:4563" coordorigin="3497,146" coordsize="5321,4563" path="m3569,4639l3569,146m3497,4639l3569,4639m3497,3890l3569,3890m3497,3141l3569,3141m3497,2393l3569,2393m3497,1644l3569,1644m3497,895l3569,895m3497,146l3569,146m3569,4639l8818,4639m3569,4639l3569,4709m4882,4639l4882,4709m6194,4639l6194,4709m7505,4639l7505,4709m8818,4639l8818,4709e" filled="false" stroked="true" strokeweight="1.44pt" strokecolor="#000000">
              <v:path arrowok="t"/>
              <v:stroke dashstyle="solid"/>
            </v:shape>
            <v:shape style="position:absolute;left:4224;top:419;width:3281;height:3468" coordorigin="4224,420" coordsize="3281,3468" path="m4224,3888l4879,3146,5537,2450,6192,1737,6850,1113,7505,420e" filled="false" stroked="true" strokeweight="2.16pt" strokecolor="#497dba">
              <v:path arrowok="t"/>
              <v:stroke dashstyle="solid"/>
            </v:shape>
            <v:shape style="position:absolute;left:4147;top:3810;width:155;height:155" type="#_x0000_t75" stroked="false">
              <v:imagedata r:id="rId204" o:title=""/>
            </v:shape>
            <v:shape style="position:absolute;left:4803;top:3069;width:155;height:155" type="#_x0000_t75" stroked="false">
              <v:imagedata r:id="rId204" o:title=""/>
            </v:shape>
            <v:shape style="position:absolute;left:5459;top:2372;width:155;height:155" type="#_x0000_t75" stroked="false">
              <v:imagedata r:id="rId193" o:title=""/>
            </v:shape>
            <v:shape style="position:absolute;left:6115;top:1659;width:155;height:155" type="#_x0000_t75" stroked="false">
              <v:imagedata r:id="rId204" o:title=""/>
            </v:shape>
            <v:shape style="position:absolute;left:6771;top:1037;width:155;height:155" type="#_x0000_t75" stroked="false">
              <v:imagedata r:id="rId193" o:title=""/>
            </v:shape>
            <v:shape style="position:absolute;left:7427;top:343;width:155;height:155" type="#_x0000_t75" stroked="false">
              <v:imagedata r:id="rId190" o:title=""/>
            </v:shape>
            <v:line style="position:absolute" from="4224,3926" to="7505,365" stroked="true" strokeweight=".72pt" strokecolor="#000000">
              <v:stroke dashstyle="solid"/>
            </v:line>
            <v:shape style="position:absolute;left:6505;top:335;width:83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0.095x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0.6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543"/>
      </w:pPr>
      <w:r>
        <w:rPr/>
        <w:t>0.5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543"/>
      </w:pPr>
      <w:r>
        <w:rPr/>
        <w:pict>
          <v:shape style="position:absolute;margin-left:128.586639pt;margin-top:9.304763pt;width:15.3pt;height:63.35pt;mso-position-horizontal-relative:page;mso-position-vertical-relative:paragraph;z-index:1590272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Absorbance</w:t>
                  </w:r>
                </w:p>
              </w:txbxContent>
            </v:textbox>
            <w10:wrap type="none"/>
          </v:shape>
        </w:pict>
      </w:r>
      <w:r>
        <w:rPr/>
        <w:t>0.4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543"/>
      </w:pPr>
      <w:r>
        <w:rPr/>
        <w:t>0.3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543"/>
      </w:pPr>
      <w:r>
        <w:rPr/>
        <w:t>0.2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543"/>
      </w:pPr>
      <w:r>
        <w:rPr/>
        <w:t>0.1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724"/>
      </w:pPr>
      <w:r>
        <w:rPr/>
        <w:t>0</w:t>
      </w:r>
    </w:p>
    <w:p>
      <w:pPr>
        <w:pStyle w:val="BodyText"/>
        <w:tabs>
          <w:tab w:pos="1312" w:val="left" w:leader="none"/>
          <w:tab w:pos="2624" w:val="left" w:leader="none"/>
          <w:tab w:pos="3936" w:val="left" w:leader="none"/>
          <w:tab w:pos="5249" w:val="left" w:leader="none"/>
        </w:tabs>
        <w:spacing w:before="73"/>
        <w:ind w:right="876"/>
        <w:jc w:val="center"/>
      </w:pPr>
      <w:r>
        <w:rPr/>
        <w:t>0</w:t>
        <w:tab/>
        <w:t>2</w:t>
        <w:tab/>
        <w:t>4</w:t>
        <w:tab/>
        <w:t>6</w:t>
        <w:tab/>
        <w:t>8</w:t>
      </w:r>
    </w:p>
    <w:p>
      <w:pPr>
        <w:pStyle w:val="Heading3"/>
        <w:spacing w:before="150"/>
        <w:ind w:left="556" w:right="1436"/>
        <w:jc w:val="center"/>
      </w:pPr>
      <w:r>
        <w:rPr/>
        <w:t>Concentration</w:t>
      </w:r>
      <w:r>
        <w:rPr>
          <w:spacing w:val="-3"/>
        </w:rPr>
        <w:t> </w:t>
      </w:r>
      <w:r>
        <w:rPr/>
        <w:t>(µg/mL)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spacing w:before="90"/>
        <w:ind w:left="2462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A1.6: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Calibration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curve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ibuprofen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580" w:bottom="1260" w:left="1520" w:right="160"/>
        </w:sectPr>
      </w:pPr>
    </w:p>
    <w:p>
      <w:pPr>
        <w:pStyle w:val="Heading3"/>
        <w:ind w:left="465"/>
      </w:pPr>
      <w:r>
        <w:rPr/>
        <w:t>Table</w:t>
      </w:r>
      <w:r>
        <w:rPr>
          <w:spacing w:val="-1"/>
        </w:rPr>
        <w:t> </w:t>
      </w:r>
      <w:r>
        <w:rPr/>
        <w:t>A1.7:</w:t>
      </w:r>
      <w:r>
        <w:rPr>
          <w:spacing w:val="-1"/>
        </w:rPr>
        <w:t> </w:t>
      </w:r>
      <w:r>
        <w:rPr/>
        <w:t>Dissolution</w:t>
      </w:r>
      <w:r>
        <w:rPr>
          <w:spacing w:val="-3"/>
        </w:rPr>
        <w:t> </w:t>
      </w:r>
      <w:r>
        <w:rPr/>
        <w:t>data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SGS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9"/>
        <w:gridCol w:w="2044"/>
        <w:gridCol w:w="2457"/>
        <w:gridCol w:w="2706"/>
      </w:tblGrid>
      <w:tr>
        <w:trPr>
          <w:trHeight w:val="299" w:hRule="atLeast"/>
        </w:trPr>
        <w:tc>
          <w:tcPr>
            <w:tcW w:w="1529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4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57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line="271" w:lineRule="exact" w:before="8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SGS</w:t>
            </w:r>
          </w:p>
        </w:tc>
        <w:tc>
          <w:tcPr>
            <w:tcW w:w="2706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1529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1" w:lineRule="exact" w:before="10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(min)</w:t>
            </w:r>
          </w:p>
        </w:tc>
        <w:tc>
          <w:tcPr>
            <w:tcW w:w="2044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1" w:lineRule="exact" w:before="10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Absorbance</w:t>
            </w:r>
          </w:p>
        </w:tc>
        <w:tc>
          <w:tcPr>
            <w:tcW w:w="2457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1" w:lineRule="exact" w:before="10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Conc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(μg/mL)</w:t>
            </w:r>
          </w:p>
        </w:tc>
        <w:tc>
          <w:tcPr>
            <w:tcW w:w="2706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1" w:lineRule="exact" w:before="10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t>% drug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released</w:t>
            </w:r>
          </w:p>
        </w:tc>
      </w:tr>
      <w:tr>
        <w:trPr>
          <w:trHeight w:val="296" w:hRule="atLeast"/>
        </w:trPr>
        <w:tc>
          <w:tcPr>
            <w:tcW w:w="152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3" w:lineRule="exact" w:before="3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3" w:lineRule="exact" w:before="3"/>
              <w:ind w:left="254"/>
              <w:rPr>
                <w:sz w:val="24"/>
              </w:rPr>
            </w:pPr>
            <w:r>
              <w:rPr>
                <w:sz w:val="24"/>
              </w:rPr>
              <w:t>1.1534</w:t>
            </w:r>
          </w:p>
        </w:tc>
        <w:tc>
          <w:tcPr>
            <w:tcW w:w="245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3" w:lineRule="exact" w:before="3"/>
              <w:ind w:left="563"/>
              <w:rPr>
                <w:sz w:val="24"/>
              </w:rPr>
            </w:pPr>
            <w:r>
              <w:rPr>
                <w:sz w:val="24"/>
              </w:rPr>
              <w:t>121.4105263</w:t>
            </w:r>
          </w:p>
        </w:tc>
        <w:tc>
          <w:tcPr>
            <w:tcW w:w="270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3" w:lineRule="exact" w:before="3"/>
              <w:ind w:left="461"/>
              <w:rPr>
                <w:sz w:val="24"/>
              </w:rPr>
            </w:pPr>
            <w:r>
              <w:rPr>
                <w:sz w:val="24"/>
              </w:rPr>
              <w:t>55.18660287</w:t>
            </w:r>
          </w:p>
        </w:tc>
      </w:tr>
      <w:tr>
        <w:trPr>
          <w:trHeight w:val="300" w:hRule="atLeast"/>
        </w:trPr>
        <w:tc>
          <w:tcPr>
            <w:tcW w:w="1529" w:type="dxa"/>
          </w:tcPr>
          <w:p>
            <w:pPr>
              <w:pStyle w:val="TableParagraph"/>
              <w:spacing w:line="273" w:lineRule="exact" w:before="7"/>
              <w:ind w:left="12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4" w:type="dxa"/>
          </w:tcPr>
          <w:p>
            <w:pPr>
              <w:pStyle w:val="TableParagraph"/>
              <w:spacing w:line="273" w:lineRule="exact" w:before="7"/>
              <w:ind w:left="254"/>
              <w:rPr>
                <w:sz w:val="24"/>
              </w:rPr>
            </w:pPr>
            <w:r>
              <w:rPr>
                <w:sz w:val="24"/>
              </w:rPr>
              <w:t>1.2286</w:t>
            </w:r>
          </w:p>
        </w:tc>
        <w:tc>
          <w:tcPr>
            <w:tcW w:w="2457" w:type="dxa"/>
          </w:tcPr>
          <w:p>
            <w:pPr>
              <w:pStyle w:val="TableParagraph"/>
              <w:spacing w:line="273" w:lineRule="exact" w:before="7"/>
              <w:ind w:left="563"/>
              <w:rPr>
                <w:sz w:val="24"/>
              </w:rPr>
            </w:pPr>
            <w:r>
              <w:rPr>
                <w:sz w:val="24"/>
              </w:rPr>
              <w:t>129.3263158</w:t>
            </w:r>
          </w:p>
        </w:tc>
        <w:tc>
          <w:tcPr>
            <w:tcW w:w="2706" w:type="dxa"/>
          </w:tcPr>
          <w:p>
            <w:pPr>
              <w:pStyle w:val="TableParagraph"/>
              <w:spacing w:line="273" w:lineRule="exact" w:before="7"/>
              <w:ind w:left="461"/>
              <w:rPr>
                <w:sz w:val="24"/>
              </w:rPr>
            </w:pPr>
            <w:r>
              <w:rPr>
                <w:sz w:val="24"/>
              </w:rPr>
              <w:t>58.784689</w:t>
            </w:r>
          </w:p>
        </w:tc>
      </w:tr>
      <w:tr>
        <w:trPr>
          <w:trHeight w:val="300" w:hRule="atLeast"/>
        </w:trPr>
        <w:tc>
          <w:tcPr>
            <w:tcW w:w="1529" w:type="dxa"/>
          </w:tcPr>
          <w:p>
            <w:pPr>
              <w:pStyle w:val="TableParagraph"/>
              <w:spacing w:line="273" w:lineRule="exact" w:before="7"/>
              <w:ind w:left="12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044" w:type="dxa"/>
          </w:tcPr>
          <w:p>
            <w:pPr>
              <w:pStyle w:val="TableParagraph"/>
              <w:spacing w:line="273" w:lineRule="exact" w:before="7"/>
              <w:ind w:left="254"/>
              <w:rPr>
                <w:sz w:val="24"/>
              </w:rPr>
            </w:pPr>
            <w:r>
              <w:rPr>
                <w:sz w:val="24"/>
              </w:rPr>
              <w:t>1.3699</w:t>
            </w:r>
          </w:p>
        </w:tc>
        <w:tc>
          <w:tcPr>
            <w:tcW w:w="2457" w:type="dxa"/>
          </w:tcPr>
          <w:p>
            <w:pPr>
              <w:pStyle w:val="TableParagraph"/>
              <w:spacing w:line="273" w:lineRule="exact" w:before="7"/>
              <w:ind w:left="563"/>
              <w:rPr>
                <w:sz w:val="24"/>
              </w:rPr>
            </w:pPr>
            <w:r>
              <w:rPr>
                <w:sz w:val="24"/>
              </w:rPr>
              <w:t>144.2</w:t>
            </w:r>
          </w:p>
        </w:tc>
        <w:tc>
          <w:tcPr>
            <w:tcW w:w="2706" w:type="dxa"/>
          </w:tcPr>
          <w:p>
            <w:pPr>
              <w:pStyle w:val="TableParagraph"/>
              <w:spacing w:line="273" w:lineRule="exact" w:before="7"/>
              <w:ind w:left="461"/>
              <w:rPr>
                <w:sz w:val="24"/>
              </w:rPr>
            </w:pPr>
            <w:r>
              <w:rPr>
                <w:sz w:val="24"/>
              </w:rPr>
              <w:t>65.54545455</w:t>
            </w:r>
          </w:p>
        </w:tc>
      </w:tr>
      <w:tr>
        <w:trPr>
          <w:trHeight w:val="300" w:hRule="atLeast"/>
        </w:trPr>
        <w:tc>
          <w:tcPr>
            <w:tcW w:w="1529" w:type="dxa"/>
          </w:tcPr>
          <w:p>
            <w:pPr>
              <w:pStyle w:val="TableParagraph"/>
              <w:spacing w:line="273" w:lineRule="exact" w:before="7"/>
              <w:ind w:left="12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044" w:type="dxa"/>
          </w:tcPr>
          <w:p>
            <w:pPr>
              <w:pStyle w:val="TableParagraph"/>
              <w:spacing w:line="273" w:lineRule="exact" w:before="7"/>
              <w:ind w:left="254"/>
              <w:rPr>
                <w:sz w:val="24"/>
              </w:rPr>
            </w:pPr>
            <w:r>
              <w:rPr>
                <w:sz w:val="24"/>
              </w:rPr>
              <w:t>1.8466</w:t>
            </w:r>
          </w:p>
        </w:tc>
        <w:tc>
          <w:tcPr>
            <w:tcW w:w="2457" w:type="dxa"/>
          </w:tcPr>
          <w:p>
            <w:pPr>
              <w:pStyle w:val="TableParagraph"/>
              <w:spacing w:line="273" w:lineRule="exact" w:before="7"/>
              <w:ind w:left="563"/>
              <w:rPr>
                <w:sz w:val="24"/>
              </w:rPr>
            </w:pPr>
            <w:r>
              <w:rPr>
                <w:sz w:val="24"/>
              </w:rPr>
              <w:t>194.3789474</w:t>
            </w:r>
          </w:p>
        </w:tc>
        <w:tc>
          <w:tcPr>
            <w:tcW w:w="2706" w:type="dxa"/>
          </w:tcPr>
          <w:p>
            <w:pPr>
              <w:pStyle w:val="TableParagraph"/>
              <w:spacing w:line="273" w:lineRule="exact" w:before="7"/>
              <w:ind w:left="461"/>
              <w:rPr>
                <w:sz w:val="24"/>
              </w:rPr>
            </w:pPr>
            <w:r>
              <w:rPr>
                <w:sz w:val="24"/>
              </w:rPr>
              <w:t>88.35406699</w:t>
            </w:r>
          </w:p>
        </w:tc>
      </w:tr>
      <w:tr>
        <w:trPr>
          <w:trHeight w:val="300" w:hRule="atLeast"/>
        </w:trPr>
        <w:tc>
          <w:tcPr>
            <w:tcW w:w="1529" w:type="dxa"/>
          </w:tcPr>
          <w:p>
            <w:pPr>
              <w:pStyle w:val="TableParagraph"/>
              <w:spacing w:line="273" w:lineRule="exact" w:before="7"/>
              <w:ind w:left="12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044" w:type="dxa"/>
          </w:tcPr>
          <w:p>
            <w:pPr>
              <w:pStyle w:val="TableParagraph"/>
              <w:spacing w:line="273" w:lineRule="exact" w:before="7"/>
              <w:ind w:left="254"/>
              <w:rPr>
                <w:sz w:val="24"/>
              </w:rPr>
            </w:pPr>
            <w:r>
              <w:rPr>
                <w:sz w:val="24"/>
              </w:rPr>
              <w:t>1.8472</w:t>
            </w:r>
          </w:p>
        </w:tc>
        <w:tc>
          <w:tcPr>
            <w:tcW w:w="2457" w:type="dxa"/>
          </w:tcPr>
          <w:p>
            <w:pPr>
              <w:pStyle w:val="TableParagraph"/>
              <w:spacing w:line="273" w:lineRule="exact" w:before="7"/>
              <w:ind w:left="563"/>
              <w:rPr>
                <w:sz w:val="24"/>
              </w:rPr>
            </w:pPr>
            <w:r>
              <w:rPr>
                <w:sz w:val="24"/>
              </w:rPr>
              <w:t>194.4421053</w:t>
            </w:r>
          </w:p>
        </w:tc>
        <w:tc>
          <w:tcPr>
            <w:tcW w:w="2706" w:type="dxa"/>
          </w:tcPr>
          <w:p>
            <w:pPr>
              <w:pStyle w:val="TableParagraph"/>
              <w:spacing w:line="273" w:lineRule="exact" w:before="7"/>
              <w:ind w:left="461"/>
              <w:rPr>
                <w:sz w:val="24"/>
              </w:rPr>
            </w:pPr>
            <w:r>
              <w:rPr>
                <w:sz w:val="24"/>
              </w:rPr>
              <w:t>88.38277512</w:t>
            </w:r>
          </w:p>
        </w:tc>
      </w:tr>
      <w:tr>
        <w:trPr>
          <w:trHeight w:val="304" w:hRule="atLeast"/>
        </w:trPr>
        <w:tc>
          <w:tcPr>
            <w:tcW w:w="152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"/>
              <w:ind w:left="12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04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"/>
              <w:ind w:left="254"/>
              <w:rPr>
                <w:sz w:val="24"/>
              </w:rPr>
            </w:pPr>
            <w:r>
              <w:rPr>
                <w:sz w:val="24"/>
              </w:rPr>
              <w:t>1.8476</w:t>
            </w:r>
          </w:p>
        </w:tc>
        <w:tc>
          <w:tcPr>
            <w:tcW w:w="245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"/>
              <w:ind w:left="563"/>
              <w:rPr>
                <w:sz w:val="24"/>
              </w:rPr>
            </w:pPr>
            <w:r>
              <w:rPr>
                <w:sz w:val="24"/>
              </w:rPr>
              <w:t>194.4842105</w:t>
            </w:r>
          </w:p>
        </w:tc>
        <w:tc>
          <w:tcPr>
            <w:tcW w:w="270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"/>
              <w:ind w:left="461"/>
              <w:rPr>
                <w:sz w:val="24"/>
              </w:rPr>
            </w:pPr>
            <w:r>
              <w:rPr>
                <w:sz w:val="24"/>
              </w:rPr>
              <w:t>88.40191388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5"/>
        </w:rPr>
      </w:pPr>
    </w:p>
    <w:p>
      <w:pPr>
        <w:spacing w:before="1"/>
        <w:ind w:left="465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A1.8: Dissolution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data 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SLC</w:t>
      </w:r>
    </w:p>
    <w:p>
      <w:pPr>
        <w:pStyle w:val="BodyText"/>
        <w:spacing w:before="8"/>
        <w:rPr>
          <w:b/>
          <w:sz w:val="10"/>
        </w:rPr>
      </w:pPr>
    </w:p>
    <w:tbl>
      <w:tblPr>
        <w:tblW w:w="0" w:type="auto"/>
        <w:jc w:val="left"/>
        <w:tblInd w:w="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9"/>
        <w:gridCol w:w="2044"/>
        <w:gridCol w:w="2457"/>
        <w:gridCol w:w="2706"/>
      </w:tblGrid>
      <w:tr>
        <w:trPr>
          <w:trHeight w:val="301" w:hRule="atLeast"/>
        </w:trPr>
        <w:tc>
          <w:tcPr>
            <w:tcW w:w="1529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4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57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line="271" w:lineRule="exact" w:before="10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SLC</w:t>
            </w:r>
          </w:p>
        </w:tc>
        <w:tc>
          <w:tcPr>
            <w:tcW w:w="2706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8" w:hRule="atLeast"/>
        </w:trPr>
        <w:tc>
          <w:tcPr>
            <w:tcW w:w="1529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1" w:lineRule="exact" w:before="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(min)</w:t>
            </w:r>
          </w:p>
        </w:tc>
        <w:tc>
          <w:tcPr>
            <w:tcW w:w="2044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1" w:lineRule="exact" w:before="8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Absorbance</w:t>
            </w:r>
          </w:p>
        </w:tc>
        <w:tc>
          <w:tcPr>
            <w:tcW w:w="2457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1" w:lineRule="exact" w:before="8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Conc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(μg/mL)</w:t>
            </w:r>
          </w:p>
        </w:tc>
        <w:tc>
          <w:tcPr>
            <w:tcW w:w="2706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1" w:lineRule="exact" w:before="8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t>% drug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released</w:t>
            </w:r>
          </w:p>
        </w:tc>
      </w:tr>
      <w:tr>
        <w:trPr>
          <w:trHeight w:val="298" w:hRule="atLeast"/>
        </w:trPr>
        <w:tc>
          <w:tcPr>
            <w:tcW w:w="152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3" w:lineRule="exact" w:before="5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3" w:lineRule="exact" w:before="5"/>
              <w:ind w:left="254"/>
              <w:rPr>
                <w:sz w:val="24"/>
              </w:rPr>
            </w:pPr>
            <w:r>
              <w:rPr>
                <w:sz w:val="24"/>
              </w:rPr>
              <w:t>1.3266</w:t>
            </w:r>
          </w:p>
        </w:tc>
        <w:tc>
          <w:tcPr>
            <w:tcW w:w="245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3" w:lineRule="exact" w:before="5"/>
              <w:ind w:left="563"/>
              <w:rPr>
                <w:sz w:val="24"/>
              </w:rPr>
            </w:pPr>
            <w:r>
              <w:rPr>
                <w:sz w:val="24"/>
              </w:rPr>
              <w:t>132.0105263</w:t>
            </w:r>
          </w:p>
        </w:tc>
        <w:tc>
          <w:tcPr>
            <w:tcW w:w="270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3" w:lineRule="exact" w:before="5"/>
              <w:ind w:left="461"/>
              <w:rPr>
                <w:sz w:val="24"/>
              </w:rPr>
            </w:pPr>
            <w:r>
              <w:rPr>
                <w:sz w:val="24"/>
              </w:rPr>
              <w:t>60.00478469</w:t>
            </w:r>
          </w:p>
        </w:tc>
      </w:tr>
      <w:tr>
        <w:trPr>
          <w:trHeight w:val="300" w:hRule="atLeast"/>
        </w:trPr>
        <w:tc>
          <w:tcPr>
            <w:tcW w:w="1529" w:type="dxa"/>
          </w:tcPr>
          <w:p>
            <w:pPr>
              <w:pStyle w:val="TableParagraph"/>
              <w:spacing w:line="273" w:lineRule="exact" w:before="7"/>
              <w:ind w:left="12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4" w:type="dxa"/>
          </w:tcPr>
          <w:p>
            <w:pPr>
              <w:pStyle w:val="TableParagraph"/>
              <w:spacing w:line="273" w:lineRule="exact" w:before="7"/>
              <w:ind w:left="254"/>
              <w:rPr>
                <w:sz w:val="24"/>
              </w:rPr>
            </w:pPr>
            <w:r>
              <w:rPr>
                <w:sz w:val="24"/>
              </w:rPr>
              <w:t>1.4235</w:t>
            </w:r>
          </w:p>
        </w:tc>
        <w:tc>
          <w:tcPr>
            <w:tcW w:w="2457" w:type="dxa"/>
          </w:tcPr>
          <w:p>
            <w:pPr>
              <w:pStyle w:val="TableParagraph"/>
              <w:spacing w:line="273" w:lineRule="exact" w:before="7"/>
              <w:ind w:left="563"/>
              <w:rPr>
                <w:sz w:val="24"/>
              </w:rPr>
            </w:pPr>
            <w:r>
              <w:rPr>
                <w:sz w:val="24"/>
              </w:rPr>
              <w:t>142.5894737</w:t>
            </w:r>
          </w:p>
        </w:tc>
        <w:tc>
          <w:tcPr>
            <w:tcW w:w="2706" w:type="dxa"/>
          </w:tcPr>
          <w:p>
            <w:pPr>
              <w:pStyle w:val="TableParagraph"/>
              <w:spacing w:line="273" w:lineRule="exact" w:before="7"/>
              <w:ind w:left="461"/>
              <w:rPr>
                <w:sz w:val="24"/>
              </w:rPr>
            </w:pPr>
            <w:r>
              <w:rPr>
                <w:sz w:val="24"/>
              </w:rPr>
              <w:t>64.81339713</w:t>
            </w:r>
          </w:p>
        </w:tc>
      </w:tr>
      <w:tr>
        <w:trPr>
          <w:trHeight w:val="300" w:hRule="atLeast"/>
        </w:trPr>
        <w:tc>
          <w:tcPr>
            <w:tcW w:w="1529" w:type="dxa"/>
          </w:tcPr>
          <w:p>
            <w:pPr>
              <w:pStyle w:val="TableParagraph"/>
              <w:spacing w:line="273" w:lineRule="exact" w:before="7"/>
              <w:ind w:left="12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044" w:type="dxa"/>
          </w:tcPr>
          <w:p>
            <w:pPr>
              <w:pStyle w:val="TableParagraph"/>
              <w:spacing w:line="273" w:lineRule="exact" w:before="7"/>
              <w:ind w:left="254"/>
              <w:rPr>
                <w:sz w:val="24"/>
              </w:rPr>
            </w:pPr>
            <w:r>
              <w:rPr>
                <w:sz w:val="24"/>
              </w:rPr>
              <w:t>1.6044</w:t>
            </w:r>
          </w:p>
        </w:tc>
        <w:tc>
          <w:tcPr>
            <w:tcW w:w="2457" w:type="dxa"/>
          </w:tcPr>
          <w:p>
            <w:pPr>
              <w:pStyle w:val="TableParagraph"/>
              <w:spacing w:line="273" w:lineRule="exact" w:before="7"/>
              <w:ind w:left="563"/>
              <w:rPr>
                <w:sz w:val="24"/>
              </w:rPr>
            </w:pPr>
            <w:r>
              <w:rPr>
                <w:sz w:val="24"/>
              </w:rPr>
              <w:t>163.0526316</w:t>
            </w:r>
          </w:p>
        </w:tc>
        <w:tc>
          <w:tcPr>
            <w:tcW w:w="2706" w:type="dxa"/>
          </w:tcPr>
          <w:p>
            <w:pPr>
              <w:pStyle w:val="TableParagraph"/>
              <w:spacing w:line="273" w:lineRule="exact" w:before="7"/>
              <w:ind w:left="461"/>
              <w:rPr>
                <w:sz w:val="24"/>
              </w:rPr>
            </w:pPr>
            <w:r>
              <w:rPr>
                <w:sz w:val="24"/>
              </w:rPr>
              <w:t>74.11483254</w:t>
            </w:r>
          </w:p>
        </w:tc>
      </w:tr>
      <w:tr>
        <w:trPr>
          <w:trHeight w:val="300" w:hRule="atLeast"/>
        </w:trPr>
        <w:tc>
          <w:tcPr>
            <w:tcW w:w="1529" w:type="dxa"/>
          </w:tcPr>
          <w:p>
            <w:pPr>
              <w:pStyle w:val="TableParagraph"/>
              <w:spacing w:line="273" w:lineRule="exact" w:before="7"/>
              <w:ind w:left="12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044" w:type="dxa"/>
          </w:tcPr>
          <w:p>
            <w:pPr>
              <w:pStyle w:val="TableParagraph"/>
              <w:spacing w:line="273" w:lineRule="exact" w:before="7"/>
              <w:ind w:left="254"/>
              <w:rPr>
                <w:sz w:val="24"/>
              </w:rPr>
            </w:pPr>
            <w:r>
              <w:rPr>
                <w:sz w:val="24"/>
              </w:rPr>
              <w:t>1.906</w:t>
            </w:r>
          </w:p>
        </w:tc>
        <w:tc>
          <w:tcPr>
            <w:tcW w:w="2457" w:type="dxa"/>
          </w:tcPr>
          <w:p>
            <w:pPr>
              <w:pStyle w:val="TableParagraph"/>
              <w:spacing w:line="273" w:lineRule="exact" w:before="7"/>
              <w:ind w:left="563"/>
              <w:rPr>
                <w:sz w:val="24"/>
              </w:rPr>
            </w:pPr>
            <w:r>
              <w:rPr>
                <w:sz w:val="24"/>
              </w:rPr>
              <w:t>199.7894737</w:t>
            </w:r>
          </w:p>
        </w:tc>
        <w:tc>
          <w:tcPr>
            <w:tcW w:w="2706" w:type="dxa"/>
          </w:tcPr>
          <w:p>
            <w:pPr>
              <w:pStyle w:val="TableParagraph"/>
              <w:spacing w:line="273" w:lineRule="exact" w:before="7"/>
              <w:ind w:left="461"/>
              <w:rPr>
                <w:sz w:val="24"/>
              </w:rPr>
            </w:pPr>
            <w:r>
              <w:rPr>
                <w:sz w:val="24"/>
              </w:rPr>
              <w:t>90.81339713</w:t>
            </w:r>
          </w:p>
        </w:tc>
      </w:tr>
      <w:tr>
        <w:trPr>
          <w:trHeight w:val="300" w:hRule="atLeast"/>
        </w:trPr>
        <w:tc>
          <w:tcPr>
            <w:tcW w:w="1529" w:type="dxa"/>
          </w:tcPr>
          <w:p>
            <w:pPr>
              <w:pStyle w:val="TableParagraph"/>
              <w:spacing w:line="273" w:lineRule="exact" w:before="7"/>
              <w:ind w:left="12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044" w:type="dxa"/>
          </w:tcPr>
          <w:p>
            <w:pPr>
              <w:pStyle w:val="TableParagraph"/>
              <w:spacing w:line="273" w:lineRule="exact" w:before="7"/>
              <w:ind w:left="254"/>
              <w:rPr>
                <w:sz w:val="24"/>
              </w:rPr>
            </w:pPr>
            <w:r>
              <w:rPr>
                <w:sz w:val="24"/>
              </w:rPr>
              <w:t>1.905</w:t>
            </w:r>
          </w:p>
        </w:tc>
        <w:tc>
          <w:tcPr>
            <w:tcW w:w="2457" w:type="dxa"/>
          </w:tcPr>
          <w:p>
            <w:pPr>
              <w:pStyle w:val="TableParagraph"/>
              <w:spacing w:line="273" w:lineRule="exact" w:before="7"/>
              <w:ind w:left="563"/>
              <w:rPr>
                <w:sz w:val="24"/>
              </w:rPr>
            </w:pPr>
            <w:r>
              <w:rPr>
                <w:sz w:val="24"/>
              </w:rPr>
              <w:t>198.7368421</w:t>
            </w:r>
          </w:p>
        </w:tc>
        <w:tc>
          <w:tcPr>
            <w:tcW w:w="2706" w:type="dxa"/>
          </w:tcPr>
          <w:p>
            <w:pPr>
              <w:pStyle w:val="TableParagraph"/>
              <w:spacing w:line="273" w:lineRule="exact" w:before="7"/>
              <w:ind w:left="461"/>
              <w:rPr>
                <w:sz w:val="24"/>
              </w:rPr>
            </w:pPr>
            <w:r>
              <w:rPr>
                <w:sz w:val="24"/>
              </w:rPr>
              <w:t>90.33492823</w:t>
            </w:r>
          </w:p>
        </w:tc>
      </w:tr>
      <w:tr>
        <w:trPr>
          <w:trHeight w:val="302" w:hRule="atLeast"/>
        </w:trPr>
        <w:tc>
          <w:tcPr>
            <w:tcW w:w="152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5" w:lineRule="exact" w:before="7"/>
              <w:ind w:left="12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04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5" w:lineRule="exact" w:before="7"/>
              <w:ind w:left="254"/>
              <w:rPr>
                <w:sz w:val="24"/>
              </w:rPr>
            </w:pPr>
            <w:r>
              <w:rPr>
                <w:sz w:val="24"/>
              </w:rPr>
              <w:t>1.906</w:t>
            </w:r>
          </w:p>
        </w:tc>
        <w:tc>
          <w:tcPr>
            <w:tcW w:w="245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5" w:lineRule="exact" w:before="7"/>
              <w:ind w:left="563"/>
              <w:rPr>
                <w:sz w:val="24"/>
              </w:rPr>
            </w:pPr>
            <w:r>
              <w:rPr>
                <w:sz w:val="24"/>
              </w:rPr>
              <w:t>201.2842105</w:t>
            </w:r>
          </w:p>
        </w:tc>
        <w:tc>
          <w:tcPr>
            <w:tcW w:w="270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5" w:lineRule="exact" w:before="7"/>
              <w:ind w:left="461"/>
              <w:rPr>
                <w:sz w:val="24"/>
              </w:rPr>
            </w:pPr>
            <w:r>
              <w:rPr>
                <w:sz w:val="24"/>
              </w:rPr>
              <w:t>91.49282297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7"/>
        </w:rPr>
      </w:pPr>
    </w:p>
    <w:p>
      <w:pPr>
        <w:pStyle w:val="Heading3"/>
        <w:spacing w:before="0"/>
        <w:ind w:left="465"/>
      </w:pPr>
      <w:r>
        <w:rPr/>
        <w:t>Table</w:t>
      </w:r>
      <w:r>
        <w:rPr>
          <w:spacing w:val="-2"/>
        </w:rPr>
        <w:t> </w:t>
      </w:r>
      <w:r>
        <w:rPr/>
        <w:t>A1.</w:t>
      </w:r>
      <w:r>
        <w:rPr>
          <w:spacing w:val="-1"/>
        </w:rPr>
        <w:t> </w:t>
      </w:r>
      <w:r>
        <w:rPr/>
        <w:t>9:</w:t>
      </w:r>
      <w:r>
        <w:rPr>
          <w:spacing w:val="-1"/>
        </w:rPr>
        <w:t> </w:t>
      </w:r>
      <w:r>
        <w:rPr/>
        <w:t>Dissolution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PSV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9"/>
        <w:gridCol w:w="2044"/>
        <w:gridCol w:w="2457"/>
        <w:gridCol w:w="2706"/>
      </w:tblGrid>
      <w:tr>
        <w:trPr>
          <w:trHeight w:val="301" w:hRule="atLeast"/>
        </w:trPr>
        <w:tc>
          <w:tcPr>
            <w:tcW w:w="1529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4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57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line="271" w:lineRule="exact" w:before="10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PSV</w:t>
            </w:r>
          </w:p>
        </w:tc>
        <w:tc>
          <w:tcPr>
            <w:tcW w:w="2706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8" w:hRule="atLeast"/>
        </w:trPr>
        <w:tc>
          <w:tcPr>
            <w:tcW w:w="1529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1" w:lineRule="exact" w:before="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(min)</w:t>
            </w:r>
          </w:p>
        </w:tc>
        <w:tc>
          <w:tcPr>
            <w:tcW w:w="2044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1" w:lineRule="exact" w:before="8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Absorbance</w:t>
            </w:r>
          </w:p>
        </w:tc>
        <w:tc>
          <w:tcPr>
            <w:tcW w:w="2457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1" w:lineRule="exact" w:before="8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Conc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(μg/mL)</w:t>
            </w:r>
          </w:p>
        </w:tc>
        <w:tc>
          <w:tcPr>
            <w:tcW w:w="2706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1" w:lineRule="exact" w:before="8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t>% drug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released</w:t>
            </w:r>
          </w:p>
        </w:tc>
      </w:tr>
      <w:tr>
        <w:trPr>
          <w:trHeight w:val="298" w:hRule="atLeast"/>
        </w:trPr>
        <w:tc>
          <w:tcPr>
            <w:tcW w:w="152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3" w:lineRule="exact" w:before="5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3" w:lineRule="exact" w:before="5"/>
              <w:ind w:left="254"/>
              <w:rPr>
                <w:sz w:val="24"/>
              </w:rPr>
            </w:pPr>
            <w:r>
              <w:rPr>
                <w:sz w:val="24"/>
              </w:rPr>
              <w:t>0.6381</w:t>
            </w:r>
          </w:p>
        </w:tc>
        <w:tc>
          <w:tcPr>
            <w:tcW w:w="245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3" w:lineRule="exact" w:before="5"/>
              <w:ind w:left="563"/>
              <w:rPr>
                <w:sz w:val="24"/>
              </w:rPr>
            </w:pPr>
            <w:r>
              <w:rPr>
                <w:sz w:val="24"/>
              </w:rPr>
              <w:t>67.16842105</w:t>
            </w:r>
          </w:p>
        </w:tc>
        <w:tc>
          <w:tcPr>
            <w:tcW w:w="270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3" w:lineRule="exact" w:before="5"/>
              <w:ind w:left="461"/>
              <w:rPr>
                <w:sz w:val="24"/>
              </w:rPr>
            </w:pPr>
            <w:r>
              <w:rPr>
                <w:sz w:val="24"/>
              </w:rPr>
              <w:t>30.53110048</w:t>
            </w:r>
          </w:p>
        </w:tc>
      </w:tr>
      <w:tr>
        <w:trPr>
          <w:trHeight w:val="300" w:hRule="atLeast"/>
        </w:trPr>
        <w:tc>
          <w:tcPr>
            <w:tcW w:w="1529" w:type="dxa"/>
          </w:tcPr>
          <w:p>
            <w:pPr>
              <w:pStyle w:val="TableParagraph"/>
              <w:spacing w:line="273" w:lineRule="exact" w:before="7"/>
              <w:ind w:left="12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4" w:type="dxa"/>
          </w:tcPr>
          <w:p>
            <w:pPr>
              <w:pStyle w:val="TableParagraph"/>
              <w:spacing w:line="273" w:lineRule="exact" w:before="7"/>
              <w:ind w:left="254"/>
              <w:rPr>
                <w:sz w:val="24"/>
              </w:rPr>
            </w:pPr>
            <w:r>
              <w:rPr>
                <w:sz w:val="24"/>
              </w:rPr>
              <w:t>0.8979</w:t>
            </w:r>
          </w:p>
        </w:tc>
        <w:tc>
          <w:tcPr>
            <w:tcW w:w="2457" w:type="dxa"/>
          </w:tcPr>
          <w:p>
            <w:pPr>
              <w:pStyle w:val="TableParagraph"/>
              <w:spacing w:line="273" w:lineRule="exact" w:before="7"/>
              <w:ind w:left="563"/>
              <w:rPr>
                <w:sz w:val="24"/>
              </w:rPr>
            </w:pPr>
            <w:r>
              <w:rPr>
                <w:sz w:val="24"/>
              </w:rPr>
              <w:t>94.51578947</w:t>
            </w:r>
          </w:p>
        </w:tc>
        <w:tc>
          <w:tcPr>
            <w:tcW w:w="2706" w:type="dxa"/>
          </w:tcPr>
          <w:p>
            <w:pPr>
              <w:pStyle w:val="TableParagraph"/>
              <w:spacing w:line="273" w:lineRule="exact" w:before="7"/>
              <w:ind w:left="461"/>
              <w:rPr>
                <w:sz w:val="24"/>
              </w:rPr>
            </w:pPr>
            <w:r>
              <w:rPr>
                <w:sz w:val="24"/>
              </w:rPr>
              <w:t>42.96172249</w:t>
            </w:r>
          </w:p>
        </w:tc>
      </w:tr>
      <w:tr>
        <w:trPr>
          <w:trHeight w:val="300" w:hRule="atLeast"/>
        </w:trPr>
        <w:tc>
          <w:tcPr>
            <w:tcW w:w="1529" w:type="dxa"/>
          </w:tcPr>
          <w:p>
            <w:pPr>
              <w:pStyle w:val="TableParagraph"/>
              <w:spacing w:line="273" w:lineRule="exact" w:before="7"/>
              <w:ind w:left="12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044" w:type="dxa"/>
          </w:tcPr>
          <w:p>
            <w:pPr>
              <w:pStyle w:val="TableParagraph"/>
              <w:spacing w:line="273" w:lineRule="exact" w:before="7"/>
              <w:ind w:left="254"/>
              <w:rPr>
                <w:sz w:val="24"/>
              </w:rPr>
            </w:pPr>
            <w:r>
              <w:rPr>
                <w:sz w:val="24"/>
              </w:rPr>
              <w:t>1.0886</w:t>
            </w:r>
          </w:p>
        </w:tc>
        <w:tc>
          <w:tcPr>
            <w:tcW w:w="2457" w:type="dxa"/>
          </w:tcPr>
          <w:p>
            <w:pPr>
              <w:pStyle w:val="TableParagraph"/>
              <w:spacing w:line="273" w:lineRule="exact" w:before="7"/>
              <w:ind w:left="563"/>
              <w:rPr>
                <w:sz w:val="24"/>
              </w:rPr>
            </w:pPr>
            <w:r>
              <w:rPr>
                <w:sz w:val="24"/>
              </w:rPr>
              <w:t>114.5894737</w:t>
            </w:r>
          </w:p>
        </w:tc>
        <w:tc>
          <w:tcPr>
            <w:tcW w:w="2706" w:type="dxa"/>
          </w:tcPr>
          <w:p>
            <w:pPr>
              <w:pStyle w:val="TableParagraph"/>
              <w:spacing w:line="273" w:lineRule="exact" w:before="7"/>
              <w:ind w:left="461"/>
              <w:rPr>
                <w:sz w:val="24"/>
              </w:rPr>
            </w:pPr>
            <w:r>
              <w:rPr>
                <w:sz w:val="24"/>
              </w:rPr>
              <w:t>52.0861244</w:t>
            </w:r>
          </w:p>
        </w:tc>
      </w:tr>
      <w:tr>
        <w:trPr>
          <w:trHeight w:val="300" w:hRule="atLeast"/>
        </w:trPr>
        <w:tc>
          <w:tcPr>
            <w:tcW w:w="1529" w:type="dxa"/>
          </w:tcPr>
          <w:p>
            <w:pPr>
              <w:pStyle w:val="TableParagraph"/>
              <w:spacing w:line="273" w:lineRule="exact" w:before="7"/>
              <w:ind w:left="12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044" w:type="dxa"/>
          </w:tcPr>
          <w:p>
            <w:pPr>
              <w:pStyle w:val="TableParagraph"/>
              <w:spacing w:line="273" w:lineRule="exact" w:before="7"/>
              <w:ind w:left="254"/>
              <w:rPr>
                <w:sz w:val="24"/>
              </w:rPr>
            </w:pPr>
            <w:r>
              <w:rPr>
                <w:sz w:val="24"/>
              </w:rPr>
              <w:t>1.2744</w:t>
            </w:r>
          </w:p>
        </w:tc>
        <w:tc>
          <w:tcPr>
            <w:tcW w:w="2457" w:type="dxa"/>
          </w:tcPr>
          <w:p>
            <w:pPr>
              <w:pStyle w:val="TableParagraph"/>
              <w:spacing w:line="273" w:lineRule="exact" w:before="7"/>
              <w:ind w:left="563"/>
              <w:rPr>
                <w:sz w:val="24"/>
              </w:rPr>
            </w:pPr>
            <w:r>
              <w:rPr>
                <w:sz w:val="24"/>
              </w:rPr>
              <w:t>134.1473684</w:t>
            </w:r>
          </w:p>
        </w:tc>
        <w:tc>
          <w:tcPr>
            <w:tcW w:w="2706" w:type="dxa"/>
          </w:tcPr>
          <w:p>
            <w:pPr>
              <w:pStyle w:val="TableParagraph"/>
              <w:spacing w:line="273" w:lineRule="exact" w:before="7"/>
              <w:ind w:left="461"/>
              <w:rPr>
                <w:sz w:val="24"/>
              </w:rPr>
            </w:pPr>
            <w:r>
              <w:rPr>
                <w:sz w:val="24"/>
              </w:rPr>
              <w:t>60.97607656</w:t>
            </w:r>
          </w:p>
        </w:tc>
      </w:tr>
      <w:tr>
        <w:trPr>
          <w:trHeight w:val="300" w:hRule="atLeast"/>
        </w:trPr>
        <w:tc>
          <w:tcPr>
            <w:tcW w:w="1529" w:type="dxa"/>
          </w:tcPr>
          <w:p>
            <w:pPr>
              <w:pStyle w:val="TableParagraph"/>
              <w:spacing w:line="273" w:lineRule="exact" w:before="7"/>
              <w:ind w:left="12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044" w:type="dxa"/>
          </w:tcPr>
          <w:p>
            <w:pPr>
              <w:pStyle w:val="TableParagraph"/>
              <w:spacing w:line="273" w:lineRule="exact" w:before="7"/>
              <w:ind w:left="254"/>
              <w:rPr>
                <w:sz w:val="24"/>
              </w:rPr>
            </w:pPr>
            <w:r>
              <w:rPr>
                <w:sz w:val="24"/>
              </w:rPr>
              <w:t>1.5346</w:t>
            </w:r>
          </w:p>
        </w:tc>
        <w:tc>
          <w:tcPr>
            <w:tcW w:w="2457" w:type="dxa"/>
          </w:tcPr>
          <w:p>
            <w:pPr>
              <w:pStyle w:val="TableParagraph"/>
              <w:spacing w:line="273" w:lineRule="exact" w:before="7"/>
              <w:ind w:left="563"/>
              <w:rPr>
                <w:sz w:val="24"/>
              </w:rPr>
            </w:pPr>
            <w:r>
              <w:rPr>
                <w:sz w:val="24"/>
              </w:rPr>
              <w:t>161.5368421</w:t>
            </w:r>
          </w:p>
        </w:tc>
        <w:tc>
          <w:tcPr>
            <w:tcW w:w="2706" w:type="dxa"/>
          </w:tcPr>
          <w:p>
            <w:pPr>
              <w:pStyle w:val="TableParagraph"/>
              <w:spacing w:line="273" w:lineRule="exact" w:before="7"/>
              <w:ind w:left="461"/>
              <w:rPr>
                <w:sz w:val="24"/>
              </w:rPr>
            </w:pPr>
            <w:r>
              <w:rPr>
                <w:sz w:val="24"/>
              </w:rPr>
              <w:t>73.42583732</w:t>
            </w:r>
          </w:p>
        </w:tc>
      </w:tr>
      <w:tr>
        <w:trPr>
          <w:trHeight w:val="302" w:hRule="atLeast"/>
        </w:trPr>
        <w:tc>
          <w:tcPr>
            <w:tcW w:w="152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5" w:lineRule="exact" w:before="7"/>
              <w:ind w:left="12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04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5" w:lineRule="exact" w:before="7"/>
              <w:ind w:left="254"/>
              <w:rPr>
                <w:sz w:val="24"/>
              </w:rPr>
            </w:pPr>
            <w:r>
              <w:rPr>
                <w:sz w:val="24"/>
              </w:rPr>
              <w:t>1.79</w:t>
            </w:r>
          </w:p>
        </w:tc>
        <w:tc>
          <w:tcPr>
            <w:tcW w:w="245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5" w:lineRule="exact" w:before="7"/>
              <w:ind w:left="563"/>
              <w:rPr>
                <w:sz w:val="24"/>
              </w:rPr>
            </w:pPr>
            <w:r>
              <w:rPr>
                <w:sz w:val="24"/>
              </w:rPr>
              <w:t>188.4210526</w:t>
            </w:r>
          </w:p>
        </w:tc>
        <w:tc>
          <w:tcPr>
            <w:tcW w:w="270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5" w:lineRule="exact" w:before="7"/>
              <w:ind w:left="461"/>
              <w:rPr>
                <w:sz w:val="24"/>
              </w:rPr>
            </w:pPr>
            <w:r>
              <w:rPr>
                <w:sz w:val="24"/>
              </w:rPr>
              <w:t>85.64593301</w:t>
            </w:r>
          </w:p>
        </w:tc>
      </w:tr>
    </w:tbl>
    <w:sectPr>
      <w:pgSz w:w="11910" w:h="16840"/>
      <w:pgMar w:header="0" w:footer="987" w:top="1320" w:bottom="1260" w:left="152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7.910004pt;margin-top:777.546631pt;width:28.05pt;height:15.3pt;mso-position-horizontal-relative:page;mso-position-vertical-relative:page;z-index:-209121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99.829987pt;margin-top:777.546631pt;width:24pt;height:15.3pt;mso-position-horizontal-relative:page;mso-position-vertical-relative:page;z-index:-209116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6"/>
      <w:numFmt w:val="decimal"/>
      <w:lvlText w:val="%1"/>
      <w:lvlJc w:val="left"/>
      <w:pPr>
        <w:ind w:left="118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"/>
      <w:lvlJc w:val="left"/>
      <w:pPr>
        <w:ind w:left="1185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7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5"/>
      <w:numFmt w:val="decimal"/>
      <w:lvlText w:val="%1"/>
      <w:lvlJc w:val="left"/>
      <w:pPr>
        <w:ind w:left="4344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344" w:hanging="7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5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8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"/>
      <w:lvlJc w:val="left"/>
      <w:pPr>
        <w:ind w:left="172" w:hanging="173"/>
      </w:pPr>
      <w:rPr>
        <w:rFonts w:hint="default" w:ascii="Wingdings" w:hAnsi="Wingdings" w:eastAsia="Wingdings" w:cs="Wingdings"/>
        <w:color w:val="008000"/>
        <w:w w:val="136"/>
        <w:sz w:val="9"/>
        <w:szCs w:val="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7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3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5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1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7" w:hanging="173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1185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85" w:hanging="72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4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5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6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2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1185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7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4529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529" w:hanging="7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6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3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0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4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1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5" w:hanging="72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341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415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%1."/>
      <w:lvlJc w:val="left"/>
      <w:pPr>
        <w:ind w:left="118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905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6" w:hanging="36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"/>
      <w:lvlJc w:val="left"/>
      <w:pPr>
        <w:ind w:left="1185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7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"/>
      <w:lvlJc w:val="left"/>
      <w:pPr>
        <w:ind w:left="1185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7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"/>
      <w:lvlJc w:val="left"/>
      <w:pPr>
        <w:ind w:left="1185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7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3753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753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i/>
        <w:i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9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%1."/>
      <w:lvlJc w:val="left"/>
      <w:pPr>
        <w:ind w:left="118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4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9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3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8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7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2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7" w:hanging="48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left="118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4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9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3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8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7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2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7" w:hanging="488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185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118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7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2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7" w:hanging="48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(%1)"/>
      <w:lvlJc w:val="left"/>
      <w:pPr>
        <w:ind w:left="750" w:hanging="28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6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3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9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6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3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9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6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3" w:hanging="286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4116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116" w:hanging="7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5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9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465" w:hanging="6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65" w:hanging="6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3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9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6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3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9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6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3" w:hanging="6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125" w:hanging="6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25" w:hanging="6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5" w:hanging="8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6" w:hanging="8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5" w:hanging="8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3" w:hanging="8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2" w:hanging="8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0" w:hanging="8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9" w:hanging="83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785" w:hanging="839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85" w:hanging="839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785" w:hanging="8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3" w:hanging="8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8" w:hanging="8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3" w:hanging="8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7" w:hanging="8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2" w:hanging="8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7" w:hanging="83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125" w:hanging="6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25" w:hanging="6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5" w:hanging="8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6" w:hanging="8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5" w:hanging="8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3" w:hanging="8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2" w:hanging="8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0" w:hanging="8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9" w:hanging="83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125" w:hanging="6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25" w:hanging="6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5" w:hanging="8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5" w:hanging="8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91" w:hanging="8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7" w:hanging="8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3" w:hanging="8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9" w:hanging="8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4" w:hanging="83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25" w:hanging="6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25" w:hanging="6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5" w:hanging="8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6" w:hanging="8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5" w:hanging="8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3" w:hanging="8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2" w:hanging="8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0" w:hanging="8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9" w:hanging="83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25" w:hanging="6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25" w:hanging="6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5" w:hanging="8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6" w:hanging="8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5" w:hanging="8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3" w:hanging="8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2" w:hanging="8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0" w:hanging="8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9" w:hanging="839"/>
      </w:pPr>
      <w:rPr>
        <w:rFonts w:hint="default"/>
        <w:lang w:val="en-US" w:eastAsia="en-US" w:bidi="ar-SA"/>
      </w:rPr>
    </w:lvl>
  </w:abstract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37"/>
      <w:ind w:left="465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57"/>
      <w:ind w:left="1346" w:hanging="6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7"/>
      <w:ind w:left="1785" w:hanging="839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616"/>
      <w:jc w:val="center"/>
      <w:outlineLvl w:val="1"/>
    </w:pPr>
    <w:rPr>
      <w:rFonts w:ascii="Arial MT" w:hAnsi="Arial MT" w:eastAsia="Arial MT" w:cs="Arial MT"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80"/>
      <w:outlineLvl w:val="2"/>
    </w:pPr>
    <w:rPr>
      <w:rFonts w:ascii="Arial MT" w:hAnsi="Arial MT" w:eastAsia="Arial MT" w:cs="Arial MT"/>
      <w:sz w:val="25"/>
      <w:szCs w:val="25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76"/>
      <w:ind w:left="1185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85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hyperlink" Target="http://www.researchgate.net/figure/51832364_fig7_Chemical-structure-of-Gelatin)" TargetMode="External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png"/><Relationship Id="rId129" Type="http://schemas.openxmlformats.org/officeDocument/2006/relationships/image" Target="media/image122.png"/><Relationship Id="rId130" Type="http://schemas.openxmlformats.org/officeDocument/2006/relationships/image" Target="media/image123.pn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png"/><Relationship Id="rId134" Type="http://schemas.openxmlformats.org/officeDocument/2006/relationships/image" Target="media/image127.png"/><Relationship Id="rId135" Type="http://schemas.openxmlformats.org/officeDocument/2006/relationships/image" Target="media/image128.png"/><Relationship Id="rId136" Type="http://schemas.openxmlformats.org/officeDocument/2006/relationships/image" Target="media/image129.png"/><Relationship Id="rId137" Type="http://schemas.openxmlformats.org/officeDocument/2006/relationships/image" Target="media/image130.png"/><Relationship Id="rId138" Type="http://schemas.openxmlformats.org/officeDocument/2006/relationships/image" Target="media/image131.png"/><Relationship Id="rId139" Type="http://schemas.openxmlformats.org/officeDocument/2006/relationships/image" Target="media/image132.png"/><Relationship Id="rId140" Type="http://schemas.openxmlformats.org/officeDocument/2006/relationships/image" Target="media/image133.png"/><Relationship Id="rId141" Type="http://schemas.openxmlformats.org/officeDocument/2006/relationships/image" Target="media/image134.png"/><Relationship Id="rId142" Type="http://schemas.openxmlformats.org/officeDocument/2006/relationships/image" Target="media/image135.png"/><Relationship Id="rId143" Type="http://schemas.openxmlformats.org/officeDocument/2006/relationships/image" Target="media/image136.png"/><Relationship Id="rId144" Type="http://schemas.openxmlformats.org/officeDocument/2006/relationships/image" Target="media/image137.png"/><Relationship Id="rId145" Type="http://schemas.openxmlformats.org/officeDocument/2006/relationships/image" Target="media/image138.png"/><Relationship Id="rId146" Type="http://schemas.openxmlformats.org/officeDocument/2006/relationships/image" Target="media/image139.png"/><Relationship Id="rId147" Type="http://schemas.openxmlformats.org/officeDocument/2006/relationships/image" Target="media/image140.png"/><Relationship Id="rId148" Type="http://schemas.openxmlformats.org/officeDocument/2006/relationships/image" Target="media/image141.png"/><Relationship Id="rId149" Type="http://schemas.openxmlformats.org/officeDocument/2006/relationships/image" Target="media/image142.png"/><Relationship Id="rId150" Type="http://schemas.openxmlformats.org/officeDocument/2006/relationships/image" Target="media/image143.png"/><Relationship Id="rId151" Type="http://schemas.openxmlformats.org/officeDocument/2006/relationships/image" Target="media/image144.png"/><Relationship Id="rId152" Type="http://schemas.openxmlformats.org/officeDocument/2006/relationships/image" Target="media/image145.png"/><Relationship Id="rId153" Type="http://schemas.openxmlformats.org/officeDocument/2006/relationships/image" Target="media/image146.png"/><Relationship Id="rId154" Type="http://schemas.openxmlformats.org/officeDocument/2006/relationships/image" Target="media/image147.png"/><Relationship Id="rId155" Type="http://schemas.openxmlformats.org/officeDocument/2006/relationships/image" Target="media/image148.png"/><Relationship Id="rId156" Type="http://schemas.openxmlformats.org/officeDocument/2006/relationships/image" Target="media/image149.png"/><Relationship Id="rId157" Type="http://schemas.openxmlformats.org/officeDocument/2006/relationships/image" Target="media/image150.png"/><Relationship Id="rId158" Type="http://schemas.openxmlformats.org/officeDocument/2006/relationships/image" Target="media/image151.png"/><Relationship Id="rId159" Type="http://schemas.openxmlformats.org/officeDocument/2006/relationships/image" Target="media/image152.png"/><Relationship Id="rId160" Type="http://schemas.openxmlformats.org/officeDocument/2006/relationships/image" Target="media/image153.png"/><Relationship Id="rId161" Type="http://schemas.openxmlformats.org/officeDocument/2006/relationships/image" Target="media/image154.png"/><Relationship Id="rId162" Type="http://schemas.openxmlformats.org/officeDocument/2006/relationships/image" Target="media/image155.png"/><Relationship Id="rId163" Type="http://schemas.openxmlformats.org/officeDocument/2006/relationships/image" Target="media/image156.png"/><Relationship Id="rId164" Type="http://schemas.openxmlformats.org/officeDocument/2006/relationships/image" Target="media/image157.png"/><Relationship Id="rId165" Type="http://schemas.openxmlformats.org/officeDocument/2006/relationships/image" Target="media/image158.jpeg"/><Relationship Id="rId166" Type="http://schemas.openxmlformats.org/officeDocument/2006/relationships/image" Target="media/image159.png"/><Relationship Id="rId167" Type="http://schemas.openxmlformats.org/officeDocument/2006/relationships/image" Target="media/image160.png"/><Relationship Id="rId168" Type="http://schemas.openxmlformats.org/officeDocument/2006/relationships/image" Target="media/image161.jpeg"/><Relationship Id="rId169" Type="http://schemas.openxmlformats.org/officeDocument/2006/relationships/image" Target="media/image162.jpeg"/><Relationship Id="rId170" Type="http://schemas.openxmlformats.org/officeDocument/2006/relationships/image" Target="media/image163.jpeg"/><Relationship Id="rId171" Type="http://schemas.openxmlformats.org/officeDocument/2006/relationships/image" Target="media/image164.png"/><Relationship Id="rId172" Type="http://schemas.openxmlformats.org/officeDocument/2006/relationships/image" Target="media/image165.png"/><Relationship Id="rId173" Type="http://schemas.openxmlformats.org/officeDocument/2006/relationships/image" Target="media/image166.png"/><Relationship Id="rId174" Type="http://schemas.openxmlformats.org/officeDocument/2006/relationships/image" Target="media/image167.png"/><Relationship Id="rId175" Type="http://schemas.openxmlformats.org/officeDocument/2006/relationships/image" Target="media/image168.png"/><Relationship Id="rId176" Type="http://schemas.openxmlformats.org/officeDocument/2006/relationships/image" Target="media/image169.png"/><Relationship Id="rId177" Type="http://schemas.openxmlformats.org/officeDocument/2006/relationships/image" Target="media/image170.png"/><Relationship Id="rId178" Type="http://schemas.openxmlformats.org/officeDocument/2006/relationships/image" Target="media/image171.png"/><Relationship Id="rId179" Type="http://schemas.openxmlformats.org/officeDocument/2006/relationships/image" Target="media/image172.png"/><Relationship Id="rId180" Type="http://schemas.openxmlformats.org/officeDocument/2006/relationships/image" Target="media/image173.png"/><Relationship Id="rId181" Type="http://schemas.openxmlformats.org/officeDocument/2006/relationships/image" Target="media/image174.png"/><Relationship Id="rId182" Type="http://schemas.openxmlformats.org/officeDocument/2006/relationships/image" Target="media/image175.png"/><Relationship Id="rId183" Type="http://schemas.openxmlformats.org/officeDocument/2006/relationships/image" Target="media/image176.png"/><Relationship Id="rId184" Type="http://schemas.openxmlformats.org/officeDocument/2006/relationships/image" Target="media/image177.png"/><Relationship Id="rId185" Type="http://schemas.openxmlformats.org/officeDocument/2006/relationships/image" Target="media/image178.png"/><Relationship Id="rId186" Type="http://schemas.openxmlformats.org/officeDocument/2006/relationships/image" Target="media/image179.png"/><Relationship Id="rId187" Type="http://schemas.openxmlformats.org/officeDocument/2006/relationships/image" Target="media/image180.png"/><Relationship Id="rId188" Type="http://schemas.openxmlformats.org/officeDocument/2006/relationships/image" Target="media/image181.png"/><Relationship Id="rId189" Type="http://schemas.openxmlformats.org/officeDocument/2006/relationships/image" Target="media/image182.png"/><Relationship Id="rId190" Type="http://schemas.openxmlformats.org/officeDocument/2006/relationships/image" Target="media/image183.png"/><Relationship Id="rId191" Type="http://schemas.openxmlformats.org/officeDocument/2006/relationships/image" Target="media/image184.png"/><Relationship Id="rId192" Type="http://schemas.openxmlformats.org/officeDocument/2006/relationships/image" Target="media/image185.png"/><Relationship Id="rId193" Type="http://schemas.openxmlformats.org/officeDocument/2006/relationships/image" Target="media/image186.png"/><Relationship Id="rId194" Type="http://schemas.openxmlformats.org/officeDocument/2006/relationships/image" Target="media/image187.png"/><Relationship Id="rId195" Type="http://schemas.openxmlformats.org/officeDocument/2006/relationships/image" Target="media/image188.png"/><Relationship Id="rId196" Type="http://schemas.openxmlformats.org/officeDocument/2006/relationships/image" Target="media/image189.png"/><Relationship Id="rId197" Type="http://schemas.openxmlformats.org/officeDocument/2006/relationships/image" Target="media/image190.png"/><Relationship Id="rId198" Type="http://schemas.openxmlformats.org/officeDocument/2006/relationships/image" Target="media/image191.png"/><Relationship Id="rId199" Type="http://schemas.openxmlformats.org/officeDocument/2006/relationships/image" Target="media/image192.png"/><Relationship Id="rId200" Type="http://schemas.openxmlformats.org/officeDocument/2006/relationships/image" Target="media/image193.png"/><Relationship Id="rId201" Type="http://schemas.openxmlformats.org/officeDocument/2006/relationships/image" Target="media/image194.png"/><Relationship Id="rId202" Type="http://schemas.openxmlformats.org/officeDocument/2006/relationships/image" Target="media/image195.png"/><Relationship Id="rId203" Type="http://schemas.openxmlformats.org/officeDocument/2006/relationships/image" Target="media/image196.png"/><Relationship Id="rId204" Type="http://schemas.openxmlformats.org/officeDocument/2006/relationships/image" Target="media/image197.png"/><Relationship Id="rId205" Type="http://schemas.openxmlformats.org/officeDocument/2006/relationships/image" Target="media/image198.png"/><Relationship Id="rId206" Type="http://schemas.openxmlformats.org/officeDocument/2006/relationships/image" Target="media/image199.png"/><Relationship Id="rId207" Type="http://schemas.openxmlformats.org/officeDocument/2006/relationships/image" Target="media/image200.png"/><Relationship Id="rId208" Type="http://schemas.openxmlformats.org/officeDocument/2006/relationships/image" Target="media/image201.png"/><Relationship Id="rId209" Type="http://schemas.openxmlformats.org/officeDocument/2006/relationships/image" Target="media/image202.png"/><Relationship Id="rId210" Type="http://schemas.openxmlformats.org/officeDocument/2006/relationships/image" Target="media/image203.png"/><Relationship Id="rId211" Type="http://schemas.openxmlformats.org/officeDocument/2006/relationships/image" Target="media/image204.png"/><Relationship Id="rId212" Type="http://schemas.openxmlformats.org/officeDocument/2006/relationships/image" Target="media/image205.png"/><Relationship Id="rId213" Type="http://schemas.openxmlformats.org/officeDocument/2006/relationships/image" Target="media/image206.png"/><Relationship Id="rId214" Type="http://schemas.openxmlformats.org/officeDocument/2006/relationships/image" Target="media/image207.png"/><Relationship Id="rId215" Type="http://schemas.openxmlformats.org/officeDocument/2006/relationships/image" Target="media/image208.png"/><Relationship Id="rId216" Type="http://schemas.openxmlformats.org/officeDocument/2006/relationships/hyperlink" Target="http://www.pharmaingredients.basf.com/Statements/TechnicalInformations/" TargetMode="External"/><Relationship Id="rId217" Type="http://schemas.openxmlformats.org/officeDocument/2006/relationships/hyperlink" Target="https://scholar.google.com/scholar?hl=en&amp;as_sdt=0%2C5&amp;q=Block%2BLH%2C%2BMoreton%2BRC%2C%2BApte%2BSP%2C%2BWendt%2BRH%2C%2BMunson%2BEJ%2C%2BCreekmore%2BJR%2C%2BPersaud%2BIV%2C%2BSheehan%2BC%2C%2BWang%2BCh.%2B2009.%2BCo-processed%2Bexcipients.%2BPharma%2BForum%2B35%3A1026-1028" TargetMode="External"/><Relationship Id="rId218" Type="http://schemas.openxmlformats.org/officeDocument/2006/relationships/hyperlink" Target="http://www.researchgate.net/figure/51832364_fig7_Chemical-structure-of-" TargetMode="External"/><Relationship Id="rId219" Type="http://schemas.openxmlformats.org/officeDocument/2006/relationships/hyperlink" Target="http://www.colorcon.com/literature/marketing/ex/starcap" TargetMode="External"/><Relationship Id="rId220" Type="http://schemas.openxmlformats.org/officeDocument/2006/relationships/hyperlink" Target="http://www.pbgelatins.com/" TargetMode="External"/><Relationship Id="rId221" Type="http://schemas.openxmlformats.org/officeDocument/2006/relationships/hyperlink" Target="http://www.gelatin.com/" TargetMode="External"/><Relationship Id="rId2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YONNI APEJI</dc:creator>
  <dcterms:created xsi:type="dcterms:W3CDTF">2023-11-05T13:46:10Z</dcterms:created>
  <dcterms:modified xsi:type="dcterms:W3CDTF">2023-11-05T13:46:10Z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2023-11-05T00:00:00Z</vt:filetime>
  </property>
</Properties>
</file>