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67"/>
        <w:ind w:left="1364" w:right="1372" w:hanging="4"/>
        <w:jc w:val="center"/>
        <w:rPr>
          <w:b/>
          <w:sz w:val="34"/>
        </w:rPr>
      </w:pPr>
      <w:r>
        <w:rPr>
          <w:b/>
          <w:sz w:val="34"/>
        </w:rPr>
        <w:t>CORPORATE GOVERNANCE AND TAX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AGGRESSIVENESS IN NON-FINANCIAL QUOTED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FIRMS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IN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NIGERIA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28"/>
        </w:rPr>
      </w:pPr>
      <w:r>
        <w:rPr/>
        <w:pict>
          <v:group style="position:absolute;margin-left:99.338997pt;margin-top:18.099863pt;width:404.2pt;height:414.6pt;mso-position-horizontal-relative:page;mso-position-vertical-relative:paragraph;z-index:-15728640;mso-wrap-distance-left:0;mso-wrap-distance-right:0" coordorigin="1987,362" coordsize="8084,8292">
            <v:shape style="position:absolute;left:1986;top:362;width:8084;height:8292" type="#_x0000_t75" stroked="false">
              <v:imagedata r:id="rId5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985;top:3164;width:4523;height:769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18" w:firstLine="0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OTUEDON,</w:t>
                    </w:r>
                    <w:r>
                      <w:rPr>
                        <w:b/>
                        <w:spacing w:val="-7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Ajueyitse</w:t>
                    </w:r>
                    <w:r>
                      <w:rPr>
                        <w:b/>
                        <w:spacing w:val="-3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Martins</w:t>
                    </w:r>
                  </w:p>
                  <w:p>
                    <w:pPr>
                      <w:spacing w:before="0"/>
                      <w:ind w:left="0" w:right="15" w:firstLine="0"/>
                      <w:jc w:val="center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PG/16/019014/BMS</w:t>
                    </w:r>
                  </w:p>
                </w:txbxContent>
              </v:textbox>
              <w10:wrap type="none"/>
            </v:shape>
            <v:shape style="position:absolute;left:3353;top:5903;width:5789;height:378" type="#_x0000_t202" filled="false" stroked="false">
              <v:textbox inset="0,0,0,0">
                <w:txbxContent>
                  <w:p>
                    <w:pPr>
                      <w:spacing w:line="377" w:lineRule="exact" w:before="0"/>
                      <w:ind w:left="0" w:right="0" w:firstLine="0"/>
                      <w:jc w:val="left"/>
                      <w:rPr>
                        <w:b/>
                        <w:sz w:val="34"/>
                      </w:rPr>
                    </w:pPr>
                    <w:r>
                      <w:rPr>
                        <w:b/>
                        <w:sz w:val="34"/>
                      </w:rPr>
                      <w:t>IGBINEDION</w:t>
                    </w:r>
                    <w:r>
                      <w:rPr>
                        <w:b/>
                        <w:spacing w:val="-7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UNIVERSITY,</w:t>
                    </w:r>
                    <w:r>
                      <w:rPr>
                        <w:b/>
                        <w:spacing w:val="-4"/>
                        <w:sz w:val="34"/>
                      </w:rPr>
                      <w:t> </w:t>
                    </w:r>
                    <w:r>
                      <w:rPr>
                        <w:b/>
                        <w:sz w:val="34"/>
                      </w:rPr>
                      <w:t>OKADA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/>
        <w:ind w:left="0"/>
        <w:jc w:val="left"/>
        <w:rPr>
          <w:b/>
          <w:sz w:val="27"/>
        </w:rPr>
      </w:pPr>
    </w:p>
    <w:p>
      <w:pPr>
        <w:spacing w:before="87"/>
        <w:ind w:left="2166" w:right="2175" w:firstLine="0"/>
        <w:jc w:val="center"/>
        <w:rPr>
          <w:b/>
          <w:sz w:val="34"/>
        </w:rPr>
      </w:pPr>
      <w:r>
        <w:rPr>
          <w:b/>
          <w:sz w:val="34"/>
        </w:rPr>
        <w:t>MAY,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2021</w:t>
      </w:r>
    </w:p>
    <w:p>
      <w:pPr>
        <w:spacing w:after="0"/>
        <w:jc w:val="center"/>
        <w:rPr>
          <w:sz w:val="34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pStyle w:val="BodyText"/>
        <w:spacing w:before="8"/>
        <w:ind w:left="0"/>
        <w:jc w:val="left"/>
        <w:rPr>
          <w:b/>
          <w:sz w:val="12"/>
        </w:rPr>
      </w:pPr>
    </w:p>
    <w:p>
      <w:pPr>
        <w:spacing w:before="86"/>
        <w:ind w:left="1364" w:right="1372" w:hanging="4"/>
        <w:jc w:val="center"/>
        <w:rPr>
          <w:b/>
          <w:sz w:val="34"/>
        </w:rPr>
      </w:pPr>
      <w:r>
        <w:rPr/>
        <w:drawing>
          <wp:anchor distT="0" distB="0" distL="0" distR="0" allowOverlap="1" layoutInCell="1" locked="0" behindDoc="1" simplePos="0" relativeHeight="453991936">
            <wp:simplePos x="0" y="0"/>
            <wp:positionH relativeFrom="page">
              <wp:posOffset>1261605</wp:posOffset>
            </wp:positionH>
            <wp:positionV relativeFrom="paragraph">
              <wp:posOffset>1442225</wp:posOffset>
            </wp:positionV>
            <wp:extent cx="5133225" cy="5265293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0" w:id="1"/>
      <w:bookmarkEnd w:id="1"/>
      <w:r>
        <w:rPr/>
      </w:r>
      <w:r>
        <w:rPr>
          <w:b/>
          <w:sz w:val="34"/>
        </w:rPr>
        <w:t>CORPORATE GOVERNANCE AND TAX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AGGRESSIVENESS IN NON-FINANCIAL QUOTED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FIRMS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IN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NIGERIA</w:t>
      </w: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spacing w:before="1"/>
        <w:ind w:left="0"/>
        <w:jc w:val="left"/>
        <w:rPr>
          <w:b/>
          <w:sz w:val="44"/>
        </w:rPr>
      </w:pPr>
    </w:p>
    <w:p>
      <w:pPr>
        <w:spacing w:before="0"/>
        <w:ind w:left="2164" w:right="2175" w:firstLine="0"/>
        <w:jc w:val="center"/>
        <w:rPr>
          <w:b/>
          <w:sz w:val="34"/>
        </w:rPr>
      </w:pPr>
      <w:r>
        <w:rPr>
          <w:b/>
          <w:sz w:val="34"/>
        </w:rPr>
        <w:t>OTUEDON, Ajueyitse Martins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PG/16/019014/BMS</w:t>
      </w: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ind w:left="0"/>
        <w:jc w:val="left"/>
        <w:rPr>
          <w:b/>
          <w:sz w:val="38"/>
        </w:rPr>
      </w:pPr>
    </w:p>
    <w:p>
      <w:pPr>
        <w:pStyle w:val="BodyText"/>
        <w:ind w:left="0"/>
        <w:jc w:val="left"/>
        <w:rPr>
          <w:b/>
          <w:sz w:val="38"/>
        </w:rPr>
      </w:pPr>
    </w:p>
    <w:p>
      <w:pPr>
        <w:spacing w:before="254"/>
        <w:ind w:left="862" w:right="879" w:firstLine="2"/>
        <w:jc w:val="center"/>
        <w:rPr>
          <w:b/>
          <w:sz w:val="32"/>
        </w:rPr>
      </w:pPr>
      <w:r>
        <w:rPr>
          <w:b/>
          <w:sz w:val="32"/>
        </w:rPr>
        <w:t>BEING A THESIS SUBMITTED TO THE DEPARTMENT OF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ACCOUNTING,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SCHOOL</w:t>
      </w:r>
      <w:r>
        <w:rPr>
          <w:b/>
          <w:spacing w:val="-2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4"/>
          <w:sz w:val="32"/>
        </w:rPr>
        <w:t> </w:t>
      </w:r>
      <w:r>
        <w:rPr>
          <w:b/>
          <w:sz w:val="32"/>
        </w:rPr>
        <w:t>POST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GRADUATE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STUDIES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IN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PARTIAL FULFILMENT OF THE REQUIREMENTS FOR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THE AWARD OF DOCTOR OF PHILOSOPHY (Ph.D IN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ACCOUNTING) OF IGBINEDION UNIVERSITY, OKADA,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EDO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STATE, NIGERIA.</w:t>
      </w: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pStyle w:val="BodyText"/>
        <w:ind w:left="0"/>
        <w:jc w:val="left"/>
        <w:rPr>
          <w:b/>
          <w:sz w:val="34"/>
        </w:rPr>
      </w:pPr>
    </w:p>
    <w:p>
      <w:pPr>
        <w:spacing w:before="207"/>
        <w:ind w:left="2168" w:right="2175" w:firstLine="0"/>
        <w:jc w:val="center"/>
        <w:rPr>
          <w:b/>
          <w:sz w:val="34"/>
        </w:rPr>
      </w:pPr>
      <w:r>
        <w:rPr>
          <w:b/>
          <w:sz w:val="34"/>
        </w:rPr>
        <w:t>MAY 2021</w:t>
      </w:r>
    </w:p>
    <w:p>
      <w:pPr>
        <w:spacing w:after="0"/>
        <w:jc w:val="center"/>
        <w:rPr>
          <w:sz w:val="34"/>
        </w:rPr>
        <w:sectPr>
          <w:footerReference w:type="default" r:id="rId6"/>
          <w:pgSz w:w="11910" w:h="16840"/>
          <w:pgMar w:footer="1482" w:header="0" w:top="1580" w:bottom="1680" w:left="880" w:right="300"/>
          <w:pgNumType w:start="1"/>
        </w:sectPr>
      </w:pPr>
    </w:p>
    <w:p>
      <w:pPr>
        <w:pStyle w:val="Heading1"/>
        <w:ind w:left="2168" w:right="2175"/>
        <w:jc w:val="center"/>
      </w:pPr>
      <w:bookmarkStart w:name="_bookmark1" w:id="2"/>
      <w:bookmarkEnd w:id="2"/>
      <w:r>
        <w:rPr>
          <w:b w:val="0"/>
        </w:rPr>
      </w:r>
      <w:r>
        <w:rPr/>
        <w:t>DECLARATION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480" w:lineRule="auto" w:before="179"/>
        <w:ind w:right="831"/>
      </w:pPr>
      <w:r>
        <w:rPr/>
        <w:drawing>
          <wp:anchor distT="0" distB="0" distL="0" distR="0" allowOverlap="1" layoutInCell="1" locked="0" behindDoc="1" simplePos="0" relativeHeight="453992448">
            <wp:simplePos x="0" y="0"/>
            <wp:positionH relativeFrom="page">
              <wp:posOffset>1261605</wp:posOffset>
            </wp:positionH>
            <wp:positionV relativeFrom="paragraph">
              <wp:posOffset>1413041</wp:posOffset>
            </wp:positionV>
            <wp:extent cx="5133225" cy="526529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I,</w:t>
      </w:r>
      <w:r>
        <w:rPr>
          <w:spacing w:val="1"/>
        </w:rPr>
        <w:t> </w:t>
      </w:r>
      <w:r>
        <w:rPr/>
        <w:t>Otuedon</w:t>
      </w:r>
      <w:r>
        <w:rPr>
          <w:spacing w:val="1"/>
        </w:rPr>
        <w:t> </w:t>
      </w:r>
      <w:r>
        <w:rPr/>
        <w:t>Ajueyitse</w:t>
      </w:r>
      <w:r>
        <w:rPr>
          <w:spacing w:val="1"/>
        </w:rPr>
        <w:t> </w:t>
      </w:r>
      <w:r>
        <w:rPr/>
        <w:t>Martins,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(Ph.D)</w:t>
      </w:r>
      <w:r>
        <w:rPr>
          <w:spacing w:val="1"/>
        </w:rPr>
        <w:t> </w:t>
      </w:r>
      <w:r>
        <w:rPr/>
        <w:t>candidate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Department,</w:t>
      </w:r>
      <w:r>
        <w:rPr>
          <w:spacing w:val="1"/>
        </w:rPr>
        <w:t> </w:t>
      </w:r>
      <w:r>
        <w:rPr/>
        <w:t>Mallam</w:t>
      </w:r>
      <w:r>
        <w:rPr>
          <w:spacing w:val="1"/>
        </w:rPr>
        <w:t> </w:t>
      </w:r>
      <w:r>
        <w:rPr/>
        <w:t>Sanusi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Igbinedion</w:t>
      </w:r>
      <w:r>
        <w:rPr>
          <w:spacing w:val="1"/>
        </w:rPr>
        <w:t> </w:t>
      </w:r>
      <w:r>
        <w:rPr/>
        <w:t>University, Okada, Nigeria, do hereby declare that this thesis is entirely my original work</w:t>
      </w:r>
      <w:r>
        <w:rPr>
          <w:spacing w:val="1"/>
        </w:rPr>
        <w:t> </w:t>
      </w:r>
      <w:r>
        <w:rPr/>
        <w:t>except as acknowledged in the text and, has not been submitted, either in whole or in part, or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award of</w:t>
      </w:r>
      <w:r>
        <w:rPr>
          <w:spacing w:val="-2"/>
        </w:rPr>
        <w:t> </w:t>
      </w:r>
      <w:r>
        <w:rPr/>
        <w:t>any degree</w:t>
      </w:r>
      <w:r>
        <w:rPr>
          <w:spacing w:val="-1"/>
        </w:rPr>
        <w:t> </w:t>
      </w:r>
      <w:r>
        <w:rPr/>
        <w:t>at this or any other</w:t>
      </w:r>
      <w:r>
        <w:rPr>
          <w:spacing w:val="-2"/>
        </w:rPr>
        <w:t> </w:t>
      </w:r>
      <w:r>
        <w:rPr/>
        <w:t>institution of learning.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tabs>
          <w:tab w:pos="4562" w:val="left" w:leader="none"/>
        </w:tabs>
        <w:spacing w:line="412" w:lineRule="auto" w:before="210"/>
        <w:ind w:right="5648"/>
        <w:jc w:val="left"/>
      </w:pPr>
      <w:r>
        <w:rPr/>
        <w:t>Signature:</w:t>
      </w:r>
      <w:r>
        <w:rPr>
          <w:u w:val="single"/>
        </w:rPr>
        <w:tab/>
      </w:r>
      <w:r>
        <w:rPr/>
        <w:t> OTUEDON, Ajueyitse</w:t>
      </w:r>
      <w:r>
        <w:rPr>
          <w:spacing w:val="1"/>
        </w:rPr>
        <w:t> </w:t>
      </w:r>
      <w:r>
        <w:rPr/>
        <w:t>Martins</w:t>
      </w:r>
      <w:r>
        <w:rPr>
          <w:spacing w:val="1"/>
        </w:rPr>
        <w:t> </w:t>
      </w:r>
      <w:r>
        <w:rPr/>
        <w:t>Matriculation</w:t>
      </w:r>
      <w:r>
        <w:rPr>
          <w:spacing w:val="-8"/>
        </w:rPr>
        <w:t> </w:t>
      </w:r>
      <w:r>
        <w:rPr/>
        <w:t>Number:</w:t>
      </w:r>
      <w:r>
        <w:rPr>
          <w:spacing w:val="-7"/>
        </w:rPr>
        <w:t> </w:t>
      </w:r>
      <w:r>
        <w:rPr/>
        <w:t>PG/16/019014/BMS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5"/>
        </w:rPr>
      </w:pPr>
    </w:p>
    <w:p>
      <w:pPr>
        <w:pStyle w:val="BodyText"/>
        <w:tabs>
          <w:tab w:pos="4577" w:val="left" w:leader="none"/>
        </w:tabs>
        <w:spacing w:line="415" w:lineRule="auto" w:before="1"/>
        <w:ind w:right="6005"/>
        <w:jc w:val="left"/>
      </w:pPr>
      <w:r>
        <w:rPr/>
        <w:t>Date:</w:t>
      </w:r>
      <w:r>
        <w:rPr>
          <w:u w:val="single"/>
        </w:rPr>
        <w:tab/>
      </w:r>
      <w:r>
        <w:rPr/>
        <w:t> DEPARTMENT OF ACCOUNTING</w:t>
      </w:r>
      <w:r>
        <w:rPr>
          <w:spacing w:val="1"/>
        </w:rPr>
        <w:t> </w:t>
      </w:r>
      <w:r>
        <w:rPr/>
        <w:t>IGBINEDION</w:t>
      </w:r>
      <w:r>
        <w:rPr>
          <w:spacing w:val="-6"/>
        </w:rPr>
        <w:t> </w:t>
      </w:r>
      <w:r>
        <w:rPr/>
        <w:t>UNIVERSITY,</w:t>
      </w:r>
      <w:r>
        <w:rPr>
          <w:spacing w:val="-5"/>
        </w:rPr>
        <w:t> </w:t>
      </w:r>
      <w:r>
        <w:rPr/>
        <w:t>OKADA</w:t>
      </w:r>
    </w:p>
    <w:p>
      <w:pPr>
        <w:spacing w:after="0" w:line="415" w:lineRule="auto"/>
        <w:jc w:val="left"/>
        <w:sectPr>
          <w:pgSz w:w="11910" w:h="16840"/>
          <w:pgMar w:header="0" w:footer="1482" w:top="1120" w:bottom="1680" w:left="880" w:right="300"/>
        </w:sectPr>
      </w:pPr>
    </w:p>
    <w:p>
      <w:pPr>
        <w:pStyle w:val="Heading1"/>
        <w:ind w:left="2168" w:right="2175"/>
        <w:jc w:val="center"/>
      </w:pPr>
      <w:bookmarkStart w:name="_bookmark2" w:id="3"/>
      <w:bookmarkEnd w:id="3"/>
      <w:r>
        <w:rPr>
          <w:b w:val="0"/>
        </w:rPr>
      </w:r>
      <w:r>
        <w:rPr/>
        <w:t>DEDICATION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480" w:lineRule="auto" w:before="179"/>
        <w:ind w:right="831"/>
      </w:pPr>
      <w:r>
        <w:rPr/>
        <w:drawing>
          <wp:anchor distT="0" distB="0" distL="0" distR="0" allowOverlap="1" layoutInCell="1" locked="0" behindDoc="1" simplePos="0" relativeHeight="453992960">
            <wp:simplePos x="0" y="0"/>
            <wp:positionH relativeFrom="page">
              <wp:posOffset>1261605</wp:posOffset>
            </wp:positionH>
            <wp:positionV relativeFrom="paragraph">
              <wp:posOffset>1413041</wp:posOffset>
            </wp:positionV>
            <wp:extent cx="5133225" cy="5265293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dedicate this thesis to God Almighty Who guided me on the road to academic achievement.</w:t>
      </w:r>
      <w:r>
        <w:rPr>
          <w:spacing w:val="1"/>
        </w:rPr>
        <w:t> </w:t>
      </w:r>
      <w:r>
        <w:rPr/>
        <w:t>God</w:t>
      </w:r>
      <w:r>
        <w:rPr>
          <w:spacing w:val="-9"/>
        </w:rPr>
        <w:t> </w:t>
      </w:r>
      <w:r>
        <w:rPr/>
        <w:t>preserved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loaded</w:t>
      </w:r>
      <w:r>
        <w:rPr>
          <w:spacing w:val="-9"/>
        </w:rPr>
        <w:t> </w:t>
      </w:r>
      <w:r>
        <w:rPr/>
        <w:t>me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round</w:t>
      </w:r>
      <w:r>
        <w:rPr>
          <w:spacing w:val="-8"/>
        </w:rPr>
        <w:t> </w:t>
      </w:r>
      <w:r>
        <w:rPr/>
        <w:t>benefits.</w:t>
      </w:r>
      <w:r>
        <w:rPr>
          <w:spacing w:val="-8"/>
        </w:rPr>
        <w:t> </w:t>
      </w:r>
      <w:r>
        <w:rPr/>
        <w:t>All</w:t>
      </w:r>
      <w:r>
        <w:rPr>
          <w:spacing w:val="-8"/>
        </w:rPr>
        <w:t> </w:t>
      </w:r>
      <w:r>
        <w:rPr/>
        <w:t>praises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glory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Him.</w:t>
      </w:r>
      <w:r>
        <w:rPr>
          <w:spacing w:val="-6"/>
        </w:rPr>
        <w:t> </w:t>
      </w:r>
      <w:r>
        <w:rPr/>
        <w:t>In</w:t>
      </w:r>
      <w:r>
        <w:rPr>
          <w:spacing w:val="-8"/>
        </w:rPr>
        <w:t> </w:t>
      </w:r>
      <w:r>
        <w:rPr/>
        <w:t>addition,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my darling wife, children and my parents.</w:t>
      </w:r>
    </w:p>
    <w:p>
      <w:pPr>
        <w:spacing w:after="0" w:line="480" w:lineRule="auto"/>
        <w:sectPr>
          <w:pgSz w:w="11910" w:h="16840"/>
          <w:pgMar w:header="0" w:footer="1482" w:top="1120" w:bottom="1680" w:left="880" w:right="300"/>
        </w:sectPr>
      </w:pPr>
    </w:p>
    <w:p>
      <w:pPr>
        <w:pStyle w:val="Heading1"/>
        <w:ind w:left="2165" w:right="2175"/>
        <w:jc w:val="center"/>
      </w:pPr>
      <w:bookmarkStart w:name="_bookmark3" w:id="4"/>
      <w:bookmarkEnd w:id="4"/>
      <w:r>
        <w:rPr>
          <w:b w:val="0"/>
        </w:rPr>
      </w:r>
      <w:r>
        <w:rPr/>
        <w:t>CERTIFICATION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480" w:lineRule="auto" w:before="179"/>
        <w:ind w:right="830"/>
      </w:pPr>
      <w:r>
        <w:rPr/>
        <w:drawing>
          <wp:anchor distT="0" distB="0" distL="0" distR="0" allowOverlap="1" layoutInCell="1" locked="0" behindDoc="1" simplePos="0" relativeHeight="453993472">
            <wp:simplePos x="0" y="0"/>
            <wp:positionH relativeFrom="page">
              <wp:posOffset>1261605</wp:posOffset>
            </wp:positionH>
            <wp:positionV relativeFrom="paragraph">
              <wp:posOffset>1413041</wp:posOffset>
            </wp:positionV>
            <wp:extent cx="5133225" cy="5265293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We</w:t>
      </w:r>
      <w:r>
        <w:rPr>
          <w:spacing w:val="1"/>
        </w:rPr>
        <w:t> </w:t>
      </w:r>
      <w:r>
        <w:rPr/>
        <w:t>certify</w:t>
      </w:r>
      <w:r>
        <w:rPr>
          <w:spacing w:val="1"/>
        </w:rPr>
        <w:t> </w:t>
      </w:r>
      <w:r>
        <w:rPr/>
        <w:t>that 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written by Otuedion, Ajueyite Martins PG/16/019014/BMS is</w:t>
      </w:r>
      <w:r>
        <w:rPr>
          <w:spacing w:val="1"/>
        </w:rPr>
        <w:t> </w:t>
      </w:r>
      <w:r>
        <w:rPr/>
        <w:t>adequate in scope and quality in partial fulfilment of the requirement for the award of Doctor</w:t>
      </w:r>
      <w:r>
        <w:rPr>
          <w:spacing w:val="1"/>
        </w:rPr>
        <w:t> </w:t>
      </w:r>
      <w:r>
        <w:rPr/>
        <w:t>of</w:t>
      </w:r>
      <w:r>
        <w:rPr>
          <w:spacing w:val="-9"/>
        </w:rPr>
        <w:t> </w:t>
      </w:r>
      <w:r>
        <w:rPr/>
        <w:t>Philosophy</w:t>
      </w:r>
      <w:r>
        <w:rPr>
          <w:spacing w:val="-8"/>
        </w:rPr>
        <w:t> </w:t>
      </w:r>
      <w:r>
        <w:rPr/>
        <w:t>(Ph.D)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Department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Accounting,</w:t>
      </w:r>
      <w:r>
        <w:rPr>
          <w:spacing w:val="-9"/>
        </w:rPr>
        <w:t> </w:t>
      </w:r>
      <w:r>
        <w:rPr/>
        <w:t>Mallam</w:t>
      </w:r>
      <w:r>
        <w:rPr>
          <w:spacing w:val="-8"/>
        </w:rPr>
        <w:t> </w:t>
      </w:r>
      <w:r>
        <w:rPr/>
        <w:t>Sanusi</w:t>
      </w:r>
      <w:r>
        <w:rPr>
          <w:spacing w:val="-8"/>
        </w:rPr>
        <w:t> </w:t>
      </w:r>
      <w:r>
        <w:rPr/>
        <w:t>Lamido</w:t>
      </w:r>
      <w:r>
        <w:rPr>
          <w:spacing w:val="-8"/>
        </w:rPr>
        <w:t> </w:t>
      </w:r>
      <w:r>
        <w:rPr/>
        <w:t>Sanusi</w:t>
      </w:r>
      <w:r>
        <w:rPr>
          <w:spacing w:val="-8"/>
        </w:rPr>
        <w:t> </w:t>
      </w:r>
      <w:r>
        <w:rPr/>
        <w:t>College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Igbinedion</w:t>
      </w:r>
      <w:r>
        <w:rPr>
          <w:spacing w:val="1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Okada, Edo State,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30"/>
        </w:rPr>
      </w:pPr>
    </w:p>
    <w:p>
      <w:pPr>
        <w:pStyle w:val="Heading1"/>
        <w:tabs>
          <w:tab w:pos="5940" w:val="left" w:leader="none"/>
          <w:tab w:pos="7675" w:val="left" w:leader="none"/>
          <w:tab w:pos="9055" w:val="left" w:leader="none"/>
        </w:tabs>
        <w:spacing w:before="1"/>
        <w:ind w:left="0" w:right="24"/>
        <w:jc w:val="center"/>
      </w:pPr>
      <w:r>
        <w:rPr/>
        <w:t>Dr.</w:t>
      </w:r>
      <w:r>
        <w:rPr>
          <w:spacing w:val="-1"/>
        </w:rPr>
        <w:t> </w:t>
      </w:r>
      <w:r>
        <w:rPr/>
        <w:t>(Mrs.)</w:t>
      </w:r>
      <w:r>
        <w:rPr>
          <w:spacing w:val="-1"/>
        </w:rPr>
        <w:t> </w:t>
      </w:r>
      <w:r>
        <w:rPr/>
        <w:t>Mary</w:t>
      </w:r>
      <w:r>
        <w:rPr>
          <w:spacing w:val="-1"/>
        </w:rPr>
        <w:t> </w:t>
      </w:r>
      <w:r>
        <w:rPr/>
        <w:t>Josiah</w:t>
      </w:r>
      <w:r>
        <w:rPr>
          <w:spacing w:val="-1"/>
        </w:rPr>
        <w:t> </w:t>
      </w:r>
      <w:r>
        <w:rPr/>
        <w:t>(CNA,</w:t>
      </w:r>
      <w:r>
        <w:rPr>
          <w:spacing w:val="-1"/>
        </w:rPr>
        <w:t> </w:t>
      </w:r>
      <w:r>
        <w:rPr/>
        <w:t>ACA,</w:t>
      </w:r>
      <w:r>
        <w:rPr>
          <w:spacing w:val="-1"/>
        </w:rPr>
        <w:t> </w:t>
      </w:r>
      <w:r>
        <w:rPr/>
        <w:t>ACTI)</w:t>
        <w:tab/>
      </w:r>
      <w:r>
        <w:rPr>
          <w:u w:val="single"/>
        </w:rPr>
        <w:t> </w:t>
        <w:tab/>
      </w:r>
      <w:r>
        <w:rPr/>
        <w:t> </w:t>
      </w:r>
      <w:r>
        <w:rPr>
          <w:spacing w:val="5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7302" w:val="left" w:leader="none"/>
          <w:tab w:pos="8863" w:val="left" w:leader="none"/>
        </w:tabs>
        <w:jc w:val="left"/>
      </w:pPr>
      <w:r>
        <w:rPr/>
        <w:t>Head</w:t>
      </w:r>
      <w:r>
        <w:rPr>
          <w:spacing w:val="-2"/>
        </w:rPr>
        <w:t> </w:t>
      </w:r>
      <w:r>
        <w:rPr/>
        <w:t>of Department</w:t>
        <w:tab/>
        <w:t>Sign</w:t>
        <w:tab/>
        <w:t>Date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tabs>
          <w:tab w:pos="7622" w:val="left" w:leader="none"/>
          <w:tab w:pos="9003" w:val="left" w:leader="none"/>
        </w:tabs>
        <w:spacing w:before="193"/>
        <w:ind w:left="0" w:right="77" w:firstLine="0"/>
        <w:jc w:val="center"/>
        <w:rPr>
          <w:b/>
          <w:sz w:val="20"/>
        </w:rPr>
      </w:pPr>
      <w:r>
        <w:rPr>
          <w:b/>
          <w:sz w:val="23"/>
        </w:rPr>
        <w:t>Dr.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Atu</w:t>
      </w:r>
      <w:r>
        <w:rPr>
          <w:b/>
          <w:spacing w:val="-3"/>
          <w:sz w:val="23"/>
        </w:rPr>
        <w:t> </w:t>
      </w:r>
      <w:r>
        <w:rPr>
          <w:b/>
          <w:sz w:val="23"/>
        </w:rPr>
        <w:t>Omimi-Ejoor</w:t>
      </w:r>
      <w:r>
        <w:rPr>
          <w:b/>
          <w:spacing w:val="-4"/>
          <w:sz w:val="23"/>
        </w:rPr>
        <w:t> </w:t>
      </w:r>
      <w:r>
        <w:rPr>
          <w:b/>
          <w:sz w:val="23"/>
        </w:rPr>
        <w:t>Osaretin</w:t>
      </w:r>
      <w:r>
        <w:rPr>
          <w:b/>
          <w:spacing w:val="-2"/>
          <w:sz w:val="23"/>
        </w:rPr>
        <w:t> </w:t>
      </w:r>
      <w:r>
        <w:rPr>
          <w:b/>
          <w:sz w:val="23"/>
        </w:rPr>
        <w:t>Kingsley</w:t>
      </w:r>
      <w:r>
        <w:rPr>
          <w:b/>
          <w:spacing w:val="2"/>
          <w:sz w:val="23"/>
        </w:rPr>
        <w:t> </w:t>
      </w:r>
      <w:r>
        <w:rPr>
          <w:b/>
          <w:sz w:val="20"/>
        </w:rPr>
        <w:t>(FCA,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FCTI,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FCMA)</w:t>
      </w:r>
      <w:r>
        <w:rPr>
          <w:b/>
          <w:spacing w:val="3"/>
          <w:sz w:val="20"/>
        </w:rPr>
        <w:t> </w:t>
      </w:r>
      <w:r>
        <w:rPr>
          <w:b/>
          <w:w w:val="99"/>
          <w:sz w:val="20"/>
          <w:u w:val="single"/>
        </w:rPr>
        <w:t> </w:t>
      </w:r>
      <w:r>
        <w:rPr>
          <w:b/>
          <w:sz w:val="20"/>
          <w:u w:val="single"/>
        </w:rPr>
        <w:tab/>
      </w:r>
      <w:r>
        <w:rPr>
          <w:b/>
          <w:sz w:val="20"/>
        </w:rPr>
        <w:t>  </w:t>
      </w:r>
      <w:r>
        <w:rPr>
          <w:b/>
          <w:spacing w:val="-15"/>
          <w:sz w:val="20"/>
        </w:rPr>
        <w:t> </w:t>
      </w:r>
      <w:r>
        <w:rPr>
          <w:b/>
          <w:w w:val="99"/>
          <w:sz w:val="20"/>
          <w:u w:val="single"/>
        </w:rPr>
        <w:t> </w:t>
      </w:r>
      <w:r>
        <w:rPr>
          <w:b/>
          <w:sz w:val="20"/>
          <w:u w:val="single"/>
        </w:rPr>
        <w:tab/>
      </w:r>
    </w:p>
    <w:p>
      <w:pPr>
        <w:pStyle w:val="BodyText"/>
        <w:tabs>
          <w:tab w:pos="7302" w:val="left" w:leader="none"/>
          <w:tab w:pos="8863" w:val="left" w:leader="none"/>
        </w:tabs>
        <w:spacing w:before="2"/>
        <w:jc w:val="left"/>
      </w:pPr>
      <w:r>
        <w:rPr/>
        <w:t>(Supervisor)</w:t>
        <w:tab/>
        <w:t>Sign</w:t>
        <w:tab/>
        <w:t>Date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tabs>
          <w:tab w:pos="5940" w:val="left" w:leader="none"/>
          <w:tab w:pos="7675" w:val="left" w:leader="none"/>
          <w:tab w:pos="9055" w:val="left" w:leader="none"/>
        </w:tabs>
        <w:spacing w:before="185"/>
        <w:ind w:left="0" w:right="24"/>
        <w:jc w:val="center"/>
      </w:pPr>
      <w:r>
        <w:rPr/>
        <w:t>Dr.</w:t>
      </w:r>
      <w:r>
        <w:rPr>
          <w:spacing w:val="-1"/>
        </w:rPr>
        <w:t> </w:t>
      </w:r>
      <w:r>
        <w:rPr/>
        <w:t>(Mrs.)</w:t>
      </w:r>
      <w:r>
        <w:rPr>
          <w:spacing w:val="-1"/>
        </w:rPr>
        <w:t> </w:t>
      </w:r>
      <w:r>
        <w:rPr/>
        <w:t>Mary</w:t>
      </w:r>
      <w:r>
        <w:rPr>
          <w:spacing w:val="-1"/>
        </w:rPr>
        <w:t> </w:t>
      </w:r>
      <w:r>
        <w:rPr/>
        <w:t>Josiah</w:t>
      </w:r>
      <w:r>
        <w:rPr>
          <w:spacing w:val="-1"/>
        </w:rPr>
        <w:t> </w:t>
      </w:r>
      <w:r>
        <w:rPr/>
        <w:t>(CNA,</w:t>
      </w:r>
      <w:r>
        <w:rPr>
          <w:spacing w:val="-1"/>
        </w:rPr>
        <w:t> </w:t>
      </w:r>
      <w:r>
        <w:rPr/>
        <w:t>ACA,</w:t>
      </w:r>
      <w:r>
        <w:rPr>
          <w:spacing w:val="-1"/>
        </w:rPr>
        <w:t> </w:t>
      </w:r>
      <w:r>
        <w:rPr/>
        <w:t>ACTI)</w:t>
        <w:tab/>
      </w:r>
      <w:r>
        <w:rPr>
          <w:u w:val="single"/>
        </w:rPr>
        <w:t> </w:t>
        <w:tab/>
      </w:r>
      <w:r>
        <w:rPr/>
        <w:t> </w:t>
      </w:r>
      <w:r>
        <w:rPr>
          <w:spacing w:val="5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7302" w:val="left" w:leader="none"/>
          <w:tab w:pos="8863" w:val="left" w:leader="none"/>
        </w:tabs>
        <w:jc w:val="left"/>
      </w:pPr>
      <w:r>
        <w:rPr/>
        <w:t>(Co-supervisor)</w:t>
        <w:tab/>
        <w:t>Sign</w:t>
        <w:tab/>
        <w:t>Date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tabs>
          <w:tab w:pos="6762" w:val="left" w:leader="none"/>
          <w:tab w:pos="8497" w:val="left" w:leader="none"/>
          <w:tab w:pos="9877" w:val="left" w:leader="none"/>
        </w:tabs>
        <w:spacing w:before="184"/>
        <w:ind w:left="822"/>
        <w:jc w:val="left"/>
      </w:pPr>
      <w:r>
        <w:rPr/>
        <w:t>Prof.</w:t>
      </w:r>
      <w:r>
        <w:rPr>
          <w:spacing w:val="-1"/>
        </w:rPr>
        <w:t> </w:t>
      </w:r>
      <w:r>
        <w:rPr/>
        <w:t>(Mrs.)</w:t>
      </w:r>
      <w:r>
        <w:rPr>
          <w:spacing w:val="-2"/>
        </w:rPr>
        <w:t> </w:t>
      </w:r>
      <w:r>
        <w:rPr/>
        <w:t>T.</w:t>
      </w:r>
      <w:r>
        <w:rPr>
          <w:spacing w:val="-1"/>
        </w:rPr>
        <w:t> </w:t>
      </w:r>
      <w:r>
        <w:rPr/>
        <w:t>G.</w:t>
      </w:r>
      <w:r>
        <w:rPr>
          <w:spacing w:val="-1"/>
        </w:rPr>
        <w:t> </w:t>
      </w:r>
      <w:r>
        <w:rPr/>
        <w:t>Okorie</w:t>
        <w:tab/>
      </w:r>
      <w:r>
        <w:rPr>
          <w:u w:val="single"/>
        </w:rPr>
        <w:t> </w:t>
        <w:tab/>
      </w:r>
      <w:r>
        <w:rPr/>
        <w:t> </w:t>
      </w:r>
      <w:r>
        <w:rPr>
          <w:spacing w:val="5"/>
        </w:rPr>
        <w:t> </w:t>
      </w:r>
      <w:r>
        <w:rPr>
          <w:u w:val="single"/>
        </w:rPr>
        <w:t> </w:t>
        <w:tab/>
      </w:r>
    </w:p>
    <w:p>
      <w:pPr>
        <w:pStyle w:val="BodyText"/>
        <w:tabs>
          <w:tab w:pos="7302" w:val="left" w:leader="none"/>
          <w:tab w:pos="8863" w:val="left" w:leader="none"/>
        </w:tabs>
        <w:jc w:val="left"/>
      </w:pPr>
      <w:r>
        <w:rPr/>
        <w:t>(Dean,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Postgraduate</w:t>
      </w:r>
      <w:r>
        <w:rPr>
          <w:spacing w:val="-1"/>
        </w:rPr>
        <w:t> </w:t>
      </w:r>
      <w:r>
        <w:rPr/>
        <w:t>Studies &amp;</w:t>
      </w:r>
      <w:r>
        <w:rPr>
          <w:spacing w:val="-1"/>
        </w:rPr>
        <w:t> </w:t>
      </w:r>
      <w:r>
        <w:rPr/>
        <w:t>Research)</w:t>
        <w:tab/>
        <w:t>Sign</w:t>
        <w:tab/>
        <w:t>Date</w:t>
      </w:r>
    </w:p>
    <w:p>
      <w:pPr>
        <w:spacing w:after="0"/>
        <w:jc w:val="left"/>
        <w:sectPr>
          <w:pgSz w:w="11910" w:h="16840"/>
          <w:pgMar w:header="0" w:footer="1482" w:top="1120" w:bottom="1680" w:left="880" w:right="300"/>
        </w:sectPr>
      </w:pPr>
    </w:p>
    <w:p>
      <w:pPr>
        <w:pStyle w:val="Heading1"/>
        <w:ind w:left="2168" w:right="2175"/>
        <w:jc w:val="center"/>
      </w:pPr>
      <w:bookmarkStart w:name="_bookmark4" w:id="5"/>
      <w:bookmarkEnd w:id="5"/>
      <w:r>
        <w:rPr>
          <w:b w:val="0"/>
        </w:rPr>
      </w:r>
      <w:r>
        <w:rPr/>
        <w:t>ACKNOWLEDGMENTS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line="480" w:lineRule="auto" w:before="179"/>
        <w:ind w:right="833"/>
      </w:pPr>
      <w:r>
        <w:rPr/>
        <w:t>I must at this juncture give honour, adoration and praise to the Almighty God for turning my</w:t>
      </w:r>
      <w:r>
        <w:rPr>
          <w:spacing w:val="1"/>
        </w:rPr>
        <w:t> </w:t>
      </w:r>
      <w:r>
        <w:rPr/>
        <w:t>dream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reality,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providing me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wherewithal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complete my</w:t>
      </w:r>
      <w:r>
        <w:rPr>
          <w:spacing w:val="-1"/>
        </w:rPr>
        <w:t> </w:t>
      </w:r>
      <w:r>
        <w:rPr/>
        <w:t>doctoral</w:t>
      </w:r>
      <w:r>
        <w:rPr>
          <w:spacing w:val="-1"/>
        </w:rPr>
        <w:t> </w:t>
      </w:r>
      <w:r>
        <w:rPr/>
        <w:t>programme.</w:t>
      </w:r>
    </w:p>
    <w:p>
      <w:pPr>
        <w:pStyle w:val="BodyText"/>
        <w:spacing w:line="480" w:lineRule="auto" w:before="200"/>
        <w:ind w:right="830"/>
      </w:pPr>
      <w:r>
        <w:rPr/>
        <w:drawing>
          <wp:anchor distT="0" distB="0" distL="0" distR="0" allowOverlap="1" layoutInCell="1" locked="0" behindDoc="1" simplePos="0" relativeHeight="453993984">
            <wp:simplePos x="0" y="0"/>
            <wp:positionH relativeFrom="page">
              <wp:posOffset>1261605</wp:posOffset>
            </wp:positionH>
            <wp:positionV relativeFrom="paragraph">
              <wp:posOffset>598844</wp:posOffset>
            </wp:positionV>
            <wp:extent cx="5133225" cy="5265293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owe a debt of gratitude to my supervisors, especially my chief supervisor, Dr. Atu, Osaretin</w:t>
      </w:r>
      <w:r>
        <w:rPr>
          <w:spacing w:val="1"/>
        </w:rPr>
        <w:t> </w:t>
      </w:r>
      <w:r>
        <w:rPr/>
        <w:t>Kingsley,</w:t>
      </w:r>
      <w:r>
        <w:rPr>
          <w:spacing w:val="-9"/>
        </w:rPr>
        <w:t> </w:t>
      </w:r>
      <w:r>
        <w:rPr/>
        <w:t>Dr.</w:t>
      </w:r>
      <w:r>
        <w:rPr>
          <w:spacing w:val="-9"/>
        </w:rPr>
        <w:t> </w:t>
      </w:r>
      <w:r>
        <w:rPr/>
        <w:t>(Mrs.)</w:t>
      </w:r>
      <w:r>
        <w:rPr>
          <w:spacing w:val="-10"/>
        </w:rPr>
        <w:t> </w:t>
      </w:r>
      <w:r>
        <w:rPr/>
        <w:t>Mary</w:t>
      </w:r>
      <w:r>
        <w:rPr>
          <w:spacing w:val="-9"/>
        </w:rPr>
        <w:t> </w:t>
      </w:r>
      <w:r>
        <w:rPr/>
        <w:t>Josiah,</w:t>
      </w:r>
      <w:r>
        <w:rPr>
          <w:spacing w:val="-10"/>
        </w:rPr>
        <w:t> </w:t>
      </w:r>
      <w:r>
        <w:rPr/>
        <w:t>my</w:t>
      </w:r>
      <w:r>
        <w:rPr>
          <w:spacing w:val="-11"/>
        </w:rPr>
        <w:t> </w:t>
      </w:r>
      <w:r>
        <w:rPr/>
        <w:t>co-supervisor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also</w:t>
      </w:r>
      <w:r>
        <w:rPr>
          <w:spacing w:val="-9"/>
        </w:rPr>
        <w:t> </w:t>
      </w:r>
      <w:r>
        <w:rPr/>
        <w:t>Head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Department,</w:t>
      </w:r>
      <w:r>
        <w:rPr>
          <w:spacing w:val="-8"/>
        </w:rPr>
        <w:t> </w:t>
      </w:r>
      <w:r>
        <w:rPr/>
        <w:t>Accounting,</w:t>
      </w:r>
      <w:r>
        <w:rPr>
          <w:spacing w:val="-58"/>
        </w:rPr>
        <w:t> </w:t>
      </w:r>
      <w:r>
        <w:rPr/>
        <w:t>and Prof. Raph Adeghe, the Dean of the College of Business and Management Studies. They</w:t>
      </w:r>
      <w:r>
        <w:rPr>
          <w:spacing w:val="1"/>
        </w:rPr>
        <w:t> </w:t>
      </w:r>
      <w:r>
        <w:rPr/>
        <w:t>have been supportive. I would like to thank them for their patience, pieces of advice and</w:t>
      </w:r>
      <w:r>
        <w:rPr>
          <w:spacing w:val="1"/>
        </w:rPr>
        <w:t> </w:t>
      </w:r>
      <w:r>
        <w:rPr/>
        <w:t>encouragement.</w:t>
      </w:r>
    </w:p>
    <w:p>
      <w:pPr>
        <w:pStyle w:val="BodyText"/>
        <w:spacing w:line="480" w:lineRule="auto" w:before="200"/>
        <w:ind w:right="829"/>
      </w:pPr>
      <w:r>
        <w:rPr/>
        <w:t>Thanks to all my lecturers: Prof. Alade, S. Omoye, Late Prof. A. E. Okoye, Prof. Famous</w:t>
      </w:r>
      <w:r>
        <w:rPr>
          <w:spacing w:val="1"/>
        </w:rPr>
        <w:t> </w:t>
      </w:r>
      <w:r>
        <w:rPr/>
        <w:t>Izedonmi,</w:t>
      </w:r>
      <w:r>
        <w:rPr>
          <w:spacing w:val="-13"/>
        </w:rPr>
        <w:t> </w:t>
      </w:r>
      <w:r>
        <w:rPr/>
        <w:t>Dr.</w:t>
      </w:r>
      <w:r>
        <w:rPr>
          <w:spacing w:val="-13"/>
        </w:rPr>
        <w:t> </w:t>
      </w:r>
      <w:r>
        <w:rPr/>
        <w:t>Stephen</w:t>
      </w:r>
      <w:r>
        <w:rPr>
          <w:spacing w:val="-13"/>
        </w:rPr>
        <w:t> </w:t>
      </w:r>
      <w:r>
        <w:rPr/>
        <w:t>E.</w:t>
      </w:r>
      <w:r>
        <w:rPr>
          <w:spacing w:val="-11"/>
        </w:rPr>
        <w:t> </w:t>
      </w:r>
      <w:r>
        <w:rPr/>
        <w:t>Ughulu,</w:t>
      </w:r>
      <w:r>
        <w:rPr>
          <w:spacing w:val="-13"/>
        </w:rPr>
        <w:t> </w:t>
      </w:r>
      <w:r>
        <w:rPr/>
        <w:t>Dr.</w:t>
      </w:r>
      <w:r>
        <w:rPr>
          <w:spacing w:val="-13"/>
        </w:rPr>
        <w:t> </w:t>
      </w:r>
      <w:r>
        <w:rPr/>
        <w:t>Sunny</w:t>
      </w:r>
      <w:r>
        <w:rPr>
          <w:spacing w:val="-13"/>
        </w:rPr>
        <w:t> </w:t>
      </w:r>
      <w:r>
        <w:rPr/>
        <w:t>Aguwamba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Associate</w:t>
      </w:r>
      <w:r>
        <w:rPr>
          <w:spacing w:val="-14"/>
        </w:rPr>
        <w:t> </w:t>
      </w:r>
      <w:r>
        <w:rPr/>
        <w:t>Prof.</w:t>
      </w:r>
      <w:r>
        <w:rPr>
          <w:spacing w:val="-10"/>
        </w:rPr>
        <w:t> </w:t>
      </w:r>
      <w:r>
        <w:rPr/>
        <w:t>Damian</w:t>
      </w:r>
      <w:r>
        <w:rPr>
          <w:spacing w:val="-13"/>
        </w:rPr>
        <w:t> </w:t>
      </w:r>
      <w:r>
        <w:rPr/>
        <w:t>Mbaegbu</w:t>
      </w:r>
      <w:r>
        <w:rPr>
          <w:spacing w:val="-57"/>
        </w:rPr>
        <w:t> </w:t>
      </w:r>
      <w:r>
        <w:rPr/>
        <w:t>who</w:t>
      </w:r>
      <w:r>
        <w:rPr>
          <w:spacing w:val="-2"/>
        </w:rPr>
        <w:t> </w:t>
      </w:r>
      <w:r>
        <w:rPr/>
        <w:t>taught</w:t>
      </w:r>
      <w:r>
        <w:rPr>
          <w:spacing w:val="-1"/>
        </w:rPr>
        <w:t> </w:t>
      </w:r>
      <w:r>
        <w:rPr/>
        <w:t>me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programme.</w:t>
      </w:r>
      <w:r>
        <w:rPr>
          <w:spacing w:val="-2"/>
        </w:rPr>
        <w:t> </w:t>
      </w:r>
      <w:r>
        <w:rPr/>
        <w:t>I</w:t>
      </w:r>
      <w:r>
        <w:rPr>
          <w:spacing w:val="-5"/>
        </w:rPr>
        <w:t> </w:t>
      </w:r>
      <w:r>
        <w:rPr/>
        <w:t>am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grateful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Dr.</w:t>
      </w:r>
      <w:r>
        <w:rPr>
          <w:spacing w:val="-1"/>
        </w:rPr>
        <w:t> </w:t>
      </w:r>
      <w:r>
        <w:rPr/>
        <w:t>Sunny</w:t>
      </w:r>
      <w:r>
        <w:rPr>
          <w:spacing w:val="-1"/>
        </w:rPr>
        <w:t> </w:t>
      </w:r>
      <w:r>
        <w:rPr/>
        <w:t>Agbo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Dr.</w:t>
      </w:r>
      <w:r>
        <w:rPr>
          <w:spacing w:val="-1"/>
        </w:rPr>
        <w:t> </w:t>
      </w:r>
      <w:r>
        <w:rPr/>
        <w:t>Clement Ozele.</w:t>
      </w:r>
    </w:p>
    <w:p>
      <w:pPr>
        <w:pStyle w:val="BodyText"/>
        <w:spacing w:line="480" w:lineRule="auto" w:before="202"/>
        <w:ind w:right="831"/>
      </w:pPr>
      <w:r>
        <w:rPr>
          <w:spacing w:val="-1"/>
        </w:rPr>
        <w:t>I</w:t>
      </w:r>
      <w:r>
        <w:rPr>
          <w:spacing w:val="-16"/>
        </w:rPr>
        <w:t> </w:t>
      </w:r>
      <w:r>
        <w:rPr>
          <w:spacing w:val="-1"/>
        </w:rPr>
        <w:t>am</w:t>
      </w:r>
      <w:r>
        <w:rPr>
          <w:spacing w:val="-14"/>
        </w:rPr>
        <w:t> </w:t>
      </w:r>
      <w:r>
        <w:rPr>
          <w:spacing w:val="-1"/>
        </w:rPr>
        <w:t>sincerely</w:t>
      </w:r>
      <w:r>
        <w:rPr>
          <w:spacing w:val="-13"/>
        </w:rPr>
        <w:t> </w:t>
      </w:r>
      <w:r>
        <w:rPr>
          <w:spacing w:val="-1"/>
        </w:rPr>
        <w:t>grateful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my</w:t>
      </w:r>
      <w:r>
        <w:rPr>
          <w:spacing w:val="-13"/>
        </w:rPr>
        <w:t> </w:t>
      </w:r>
      <w:r>
        <w:rPr/>
        <w:t>fellow</w:t>
      </w:r>
      <w:r>
        <w:rPr>
          <w:spacing w:val="-15"/>
        </w:rPr>
        <w:t> </w:t>
      </w:r>
      <w:r>
        <w:rPr/>
        <w:t>Ph.D</w:t>
      </w:r>
      <w:r>
        <w:rPr>
          <w:spacing w:val="-15"/>
        </w:rPr>
        <w:t> </w:t>
      </w:r>
      <w:r>
        <w:rPr/>
        <w:t>students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Department</w:t>
      </w:r>
      <w:r>
        <w:rPr>
          <w:spacing w:val="-14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College,</w:t>
      </w:r>
      <w:r>
        <w:rPr>
          <w:spacing w:val="-15"/>
        </w:rPr>
        <w:t> </w:t>
      </w:r>
      <w:r>
        <w:rPr/>
        <w:t>especially</w:t>
      </w:r>
      <w:r>
        <w:rPr>
          <w:spacing w:val="-58"/>
        </w:rPr>
        <w:t> </w:t>
      </w:r>
      <w:r>
        <w:rPr/>
        <w:t>Philip</w:t>
      </w:r>
      <w:r>
        <w:rPr>
          <w:spacing w:val="-6"/>
        </w:rPr>
        <w:t> </w:t>
      </w:r>
      <w:r>
        <w:rPr/>
        <w:t>Osemudiamen,</w:t>
      </w:r>
      <w:r>
        <w:rPr>
          <w:spacing w:val="-7"/>
        </w:rPr>
        <w:t> </w:t>
      </w:r>
      <w:r>
        <w:rPr/>
        <w:t>Christopher</w:t>
      </w:r>
      <w:r>
        <w:rPr>
          <w:spacing w:val="-7"/>
        </w:rPr>
        <w:t> </w:t>
      </w:r>
      <w:r>
        <w:rPr/>
        <w:t>Awili,</w:t>
      </w:r>
      <w:r>
        <w:rPr>
          <w:spacing w:val="-3"/>
        </w:rPr>
        <w:t> </w:t>
      </w:r>
      <w:r>
        <w:rPr/>
        <w:t>Imade</w:t>
      </w:r>
      <w:r>
        <w:rPr>
          <w:spacing w:val="-7"/>
        </w:rPr>
        <w:t> </w:t>
      </w:r>
      <w:r>
        <w:rPr/>
        <w:t>Peter,</w:t>
      </w:r>
      <w:r>
        <w:rPr>
          <w:spacing w:val="-6"/>
        </w:rPr>
        <w:t> </w:t>
      </w:r>
      <w:r>
        <w:rPr/>
        <w:t>Anthony</w:t>
      </w:r>
      <w:r>
        <w:rPr>
          <w:spacing w:val="-4"/>
        </w:rPr>
        <w:t> </w:t>
      </w:r>
      <w:r>
        <w:rPr/>
        <w:t>Akpoma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many</w:t>
      </w:r>
      <w:r>
        <w:rPr>
          <w:spacing w:val="-7"/>
        </w:rPr>
        <w:t> </w:t>
      </w:r>
      <w:r>
        <w:rPr/>
        <w:t>others</w:t>
      </w:r>
      <w:r>
        <w:rPr>
          <w:spacing w:val="-5"/>
        </w:rPr>
        <w:t> </w:t>
      </w:r>
      <w:r>
        <w:rPr/>
        <w:t>who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not mentioned here.</w:t>
      </w:r>
    </w:p>
    <w:p>
      <w:pPr>
        <w:pStyle w:val="BodyText"/>
        <w:spacing w:line="480" w:lineRule="auto" w:before="199"/>
        <w:ind w:right="831"/>
      </w:pPr>
      <w:r>
        <w:rPr/>
        <w:t>I owe a debt of gratitude to my brother and sisters (Temisem Otuedon, Ogbemi Otuedon and</w:t>
      </w:r>
      <w:r>
        <w:rPr>
          <w:spacing w:val="1"/>
        </w:rPr>
        <w:t> </w:t>
      </w:r>
      <w:r>
        <w:rPr/>
        <w:t>Mrs. Ete Otuedon Jackdomi) and my bosom friends (Bawo Edema, Kissnyton Ereden and</w:t>
      </w:r>
      <w:r>
        <w:rPr>
          <w:spacing w:val="1"/>
        </w:rPr>
        <w:t> </w:t>
      </w:r>
      <w:r>
        <w:rPr/>
        <w:t>Oritsuwa</w:t>
      </w:r>
      <w:r>
        <w:rPr>
          <w:spacing w:val="-2"/>
        </w:rPr>
        <w:t> </w:t>
      </w:r>
      <w:r>
        <w:rPr/>
        <w:t>Victor Ebrohimi) for</w:t>
      </w:r>
      <w:r>
        <w:rPr>
          <w:spacing w:val="-1"/>
        </w:rPr>
        <w:t> </w:t>
      </w:r>
      <w:r>
        <w:rPr/>
        <w:t>their encouragement and support</w:t>
      </w:r>
      <w:r>
        <w:rPr>
          <w:spacing w:val="-1"/>
        </w:rPr>
        <w:t> </w:t>
      </w:r>
      <w:r>
        <w:rPr/>
        <w:t>always.</w:t>
      </w:r>
    </w:p>
    <w:p>
      <w:pPr>
        <w:pStyle w:val="BodyText"/>
        <w:spacing w:line="480" w:lineRule="auto" w:before="200"/>
        <w:ind w:right="831"/>
      </w:pPr>
      <w:r>
        <w:rPr/>
        <w:t>My sincere appreciation goes to the Management of Igbinedion University, Okada, especially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Vice</w:t>
      </w:r>
      <w:r>
        <w:rPr>
          <w:spacing w:val="-9"/>
        </w:rPr>
        <w:t> </w:t>
      </w:r>
      <w:r>
        <w:rPr/>
        <w:t>Chancellor,</w:t>
      </w:r>
      <w:r>
        <w:rPr>
          <w:spacing w:val="-8"/>
        </w:rPr>
        <w:t> </w:t>
      </w:r>
      <w:r>
        <w:rPr/>
        <w:t>Prof.</w:t>
      </w:r>
      <w:r>
        <w:rPr>
          <w:spacing w:val="-7"/>
        </w:rPr>
        <w:t> </w:t>
      </w:r>
      <w:r>
        <w:rPr/>
        <w:t>Lawrence</w:t>
      </w:r>
      <w:r>
        <w:rPr>
          <w:spacing w:val="-6"/>
        </w:rPr>
        <w:t> </w:t>
      </w:r>
      <w:r>
        <w:rPr/>
        <w:t>Ikechukwu</w:t>
      </w:r>
      <w:r>
        <w:rPr>
          <w:spacing w:val="-8"/>
        </w:rPr>
        <w:t> </w:t>
      </w:r>
      <w:r>
        <w:rPr/>
        <w:t>Ezemonye,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Registrar,</w:t>
      </w:r>
      <w:r>
        <w:rPr>
          <w:spacing w:val="-8"/>
        </w:rPr>
        <w:t> </w:t>
      </w:r>
      <w:r>
        <w:rPr/>
        <w:t>Friday</w:t>
      </w:r>
      <w:r>
        <w:rPr>
          <w:spacing w:val="-7"/>
        </w:rPr>
        <w:t> </w:t>
      </w:r>
      <w:r>
        <w:rPr/>
        <w:t>Benji</w:t>
      </w:r>
      <w:r>
        <w:rPr>
          <w:spacing w:val="-7"/>
        </w:rPr>
        <w:t> </w:t>
      </w:r>
      <w:r>
        <w:rPr/>
        <w:t>Bakare</w:t>
      </w:r>
      <w:r>
        <w:rPr>
          <w:spacing w:val="-57"/>
        </w:rPr>
        <w:t> </w:t>
      </w:r>
      <w:r>
        <w:rPr/>
        <w:t>Esq.</w:t>
      </w:r>
      <w:r>
        <w:rPr>
          <w:spacing w:val="-1"/>
        </w:rPr>
        <w:t> </w:t>
      </w:r>
      <w:r>
        <w:rPr/>
        <w:t>and Prof. Tonye</w:t>
      </w:r>
      <w:r>
        <w:rPr>
          <w:spacing w:val="-1"/>
        </w:rPr>
        <w:t> </w:t>
      </w:r>
      <w:r>
        <w:rPr/>
        <w:t>G.</w:t>
      </w:r>
      <w:r>
        <w:rPr>
          <w:spacing w:val="1"/>
        </w:rPr>
        <w:t> </w:t>
      </w:r>
      <w:r>
        <w:rPr/>
        <w:t>Okorie, the</w:t>
      </w:r>
      <w:r>
        <w:rPr>
          <w:spacing w:val="-1"/>
        </w:rPr>
        <w:t> </w:t>
      </w:r>
      <w:r>
        <w:rPr/>
        <w:t>Dean of</w:t>
      </w:r>
      <w:r>
        <w:rPr>
          <w:spacing w:val="-1"/>
        </w:rPr>
        <w:t> </w:t>
      </w:r>
      <w:r>
        <w:rPr/>
        <w:t>Postgraduate Studies.</w:t>
      </w:r>
    </w:p>
    <w:p>
      <w:pPr>
        <w:spacing w:after="0" w:line="480" w:lineRule="auto"/>
        <w:sectPr>
          <w:pgSz w:w="11910" w:h="16840"/>
          <w:pgMar w:header="0" w:footer="148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t>I sincerely appreciate my mum, Mrs. Victoria Debi Otuedon and my dad, Mr. Osibakoro</w:t>
      </w:r>
      <w:r>
        <w:rPr>
          <w:spacing w:val="1"/>
        </w:rPr>
        <w:t> </w:t>
      </w:r>
      <w:r>
        <w:rPr/>
        <w:t>Otuedon, for their immeasurable assistance and prayers throughout my programme. May God</w:t>
      </w:r>
      <w:r>
        <w:rPr>
          <w:spacing w:val="1"/>
        </w:rPr>
        <w:t> </w:t>
      </w:r>
      <w:r>
        <w:rPr/>
        <w:t>bless</w:t>
      </w:r>
      <w:r>
        <w:rPr>
          <w:spacing w:val="-1"/>
        </w:rPr>
        <w:t> </w:t>
      </w:r>
      <w:r>
        <w:rPr/>
        <w:t>them immensely.</w:t>
      </w:r>
    </w:p>
    <w:p>
      <w:pPr>
        <w:pStyle w:val="BodyText"/>
        <w:spacing w:line="480" w:lineRule="auto" w:before="202"/>
        <w:ind w:right="835"/>
      </w:pPr>
      <w:r>
        <w:rPr/>
        <w:drawing>
          <wp:anchor distT="0" distB="0" distL="0" distR="0" allowOverlap="1" layoutInCell="1" locked="0" behindDoc="1" simplePos="0" relativeHeight="453994496">
            <wp:simplePos x="0" y="0"/>
            <wp:positionH relativeFrom="page">
              <wp:posOffset>1261605</wp:posOffset>
            </wp:positionH>
            <wp:positionV relativeFrom="paragraph">
              <wp:posOffset>726606</wp:posOffset>
            </wp:positionV>
            <wp:extent cx="5133225" cy="5265293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My lovely wife, Mrs. Toju Otuedon, who has always been my companion, friend and a source</w:t>
      </w:r>
      <w:r>
        <w:rPr>
          <w:spacing w:val="-57"/>
        </w:rPr>
        <w:t> </w:t>
      </w:r>
      <w:r>
        <w:rPr/>
        <w:t>of encouragement, I am very grateful. My warm regards to my lovely children: Toritse and</w:t>
      </w:r>
      <w:r>
        <w:rPr>
          <w:spacing w:val="1"/>
        </w:rPr>
        <w:t> </w:t>
      </w:r>
      <w:r>
        <w:rPr/>
        <w:t>Gbogwa.</w:t>
      </w:r>
    </w:p>
    <w:p>
      <w:pPr>
        <w:pStyle w:val="BodyText"/>
        <w:spacing w:line="480" w:lineRule="auto" w:before="200"/>
        <w:ind w:right="830"/>
      </w:pPr>
      <w:r>
        <w:rPr/>
        <w:t>To those whose names were not mentioned in the acknowledgements segment, may God</w:t>
      </w:r>
      <w:r>
        <w:rPr>
          <w:spacing w:val="1"/>
        </w:rPr>
        <w:t> </w:t>
      </w:r>
      <w:r>
        <w:rPr/>
        <w:t>Almighty</w:t>
      </w:r>
      <w:r>
        <w:rPr>
          <w:spacing w:val="-1"/>
        </w:rPr>
        <w:t> </w:t>
      </w:r>
      <w:r>
        <w:rPr/>
        <w:t>bless you all in</w:t>
      </w:r>
      <w:r>
        <w:rPr>
          <w:spacing w:val="-3"/>
        </w:rPr>
        <w:t> </w:t>
      </w:r>
      <w:r>
        <w:rPr/>
        <w:t>Jesus</w:t>
      </w:r>
      <w:r>
        <w:rPr>
          <w:spacing w:val="2"/>
        </w:rPr>
        <w:t> </w:t>
      </w:r>
      <w:r>
        <w:rPr/>
        <w:t>Name,</w:t>
      </w:r>
      <w:r>
        <w:rPr>
          <w:spacing w:val="-1"/>
        </w:rPr>
        <w:t> </w:t>
      </w:r>
      <w:r>
        <w:rPr/>
        <w:t>Amen.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2"/>
        <w:ind w:left="0"/>
        <w:jc w:val="left"/>
        <w:rPr>
          <w:sz w:val="22"/>
        </w:rPr>
      </w:pPr>
    </w:p>
    <w:p>
      <w:pPr>
        <w:pStyle w:val="BodyText"/>
        <w:spacing w:line="412" w:lineRule="auto" w:before="1"/>
        <w:ind w:right="7215"/>
        <w:jc w:val="left"/>
      </w:pPr>
      <w:r>
        <w:rPr/>
        <w:t>Otuedon, Ajueyitse Martins</w:t>
      </w:r>
      <w:r>
        <w:rPr>
          <w:spacing w:val="-57"/>
        </w:rPr>
        <w:t> </w:t>
      </w:r>
      <w:r>
        <w:rPr/>
        <w:t>MAY,</w:t>
      </w:r>
      <w:r>
        <w:rPr>
          <w:spacing w:val="-1"/>
        </w:rPr>
        <w:t> </w:t>
      </w:r>
      <w:r>
        <w:rPr/>
        <w:t>2021</w:t>
      </w:r>
    </w:p>
    <w:p>
      <w:pPr>
        <w:spacing w:after="0" w:line="412" w:lineRule="auto"/>
        <w:jc w:val="left"/>
        <w:sectPr>
          <w:pgSz w:w="11910" w:h="16840"/>
          <w:pgMar w:header="0" w:footer="1482" w:top="1120" w:bottom="1680" w:left="880" w:right="300"/>
        </w:sectPr>
      </w:pPr>
    </w:p>
    <w:p>
      <w:pPr>
        <w:pStyle w:val="Heading1"/>
        <w:ind w:left="2166" w:right="2175"/>
        <w:jc w:val="center"/>
      </w:pPr>
      <w:bookmarkStart w:name="_bookmark5" w:id="6"/>
      <w:bookmarkEnd w:id="6"/>
      <w:r>
        <w:rPr>
          <w:b w:val="0"/>
        </w:rPr>
      </w: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pStyle w:val="BodyText"/>
        <w:spacing w:before="179"/>
        <w:jc w:val="left"/>
      </w:pPr>
      <w:r>
        <w:rPr/>
        <w:t>Cover</w:t>
      </w:r>
      <w:r>
        <w:rPr>
          <w:spacing w:val="-1"/>
        </w:rPr>
        <w:t> </w:t>
      </w:r>
      <w:r>
        <w:rPr/>
        <w:t>Page</w:t>
      </w:r>
    </w:p>
    <w:p>
      <w:pPr>
        <w:spacing w:after="0"/>
        <w:jc w:val="left"/>
        <w:sectPr>
          <w:pgSz w:w="11910" w:h="16840"/>
          <w:pgMar w:header="0" w:footer="1482" w:top="1120" w:bottom="1872" w:left="880" w:right="30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883" w:val="right" w:leader="dot"/>
            </w:tabs>
            <w:spacing w:before="200"/>
            <w:ind w:left="822" w:firstLine="0"/>
          </w:pPr>
          <w:hyperlink w:history="true" w:anchor="_bookmark0">
            <w:r>
              <w:rPr/>
              <w:t>TITLE</w:t>
            </w:r>
            <w:r>
              <w:rPr>
                <w:spacing w:val="-1"/>
              </w:rPr>
              <w:t> </w:t>
            </w:r>
            <w:r>
              <w:rPr/>
              <w:t>PAGE</w:t>
              <w:tab/>
              <w:t>i</w:t>
            </w:r>
          </w:hyperlink>
        </w:p>
        <w:p>
          <w:pPr>
            <w:pStyle w:val="TOC2"/>
            <w:tabs>
              <w:tab w:pos="9883" w:val="right" w:leader="dot"/>
            </w:tabs>
            <w:spacing w:before="242"/>
            <w:ind w:left="822" w:firstLine="0"/>
          </w:pPr>
          <w:hyperlink w:history="true" w:anchor="_bookmark1">
            <w:r>
              <w:rPr/>
              <w:t>DECLARATION</w:t>
              <w:tab/>
              <w:t>ii</w:t>
            </w:r>
          </w:hyperlink>
        </w:p>
        <w:p>
          <w:pPr>
            <w:pStyle w:val="TOC2"/>
            <w:tabs>
              <w:tab w:pos="9885" w:val="right" w:leader="dot"/>
            </w:tabs>
            <w:ind w:left="822" w:firstLine="0"/>
          </w:pPr>
          <w:hyperlink w:history="true" w:anchor="_bookmark2">
            <w:r>
              <w:rPr/>
              <w:t>DEDICATION</w:t>
              <w:tab/>
              <w:t>iii</w:t>
            </w:r>
          </w:hyperlink>
        </w:p>
        <w:p>
          <w:pPr>
            <w:pStyle w:val="TOC2"/>
            <w:tabs>
              <w:tab w:pos="9883" w:val="right" w:leader="dot"/>
            </w:tabs>
            <w:spacing w:before="242"/>
            <w:ind w:left="822" w:firstLine="0"/>
          </w:pPr>
          <w:r>
            <w:rPr/>
            <w:drawing>
              <wp:anchor distT="0" distB="0" distL="0" distR="0" allowOverlap="1" layoutInCell="1" locked="0" behindDoc="1" simplePos="0" relativeHeight="453995008">
                <wp:simplePos x="0" y="0"/>
                <wp:positionH relativeFrom="page">
                  <wp:posOffset>1261605</wp:posOffset>
                </wp:positionH>
                <wp:positionV relativeFrom="paragraph">
                  <wp:posOffset>165266</wp:posOffset>
                </wp:positionV>
                <wp:extent cx="5133225" cy="5265293"/>
                <wp:effectExtent l="0" t="0" r="0" b="0"/>
                <wp:wrapNone/>
                <wp:docPr id="13" name="image3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3.pn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25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9883" w:val="right" w:leader="dot"/>
            </w:tabs>
            <w:ind w:left="822" w:firstLine="0"/>
          </w:pPr>
          <w:hyperlink w:history="true" w:anchor="_bookmark4">
            <w:r>
              <w:rPr/>
              <w:t>ACKNOWLEDGMENTS</w:t>
              <w:tab/>
              <w:t>v</w:t>
            </w:r>
          </w:hyperlink>
        </w:p>
        <w:p>
          <w:pPr>
            <w:pStyle w:val="TOC2"/>
            <w:tabs>
              <w:tab w:pos="9882" w:val="right" w:leader="dot"/>
            </w:tabs>
            <w:spacing w:before="243"/>
            <w:ind w:left="822" w:firstLine="0"/>
          </w:pPr>
          <w:hyperlink w:history="true" w:anchor="_bookmark5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</w:t>
            </w:r>
          </w:hyperlink>
        </w:p>
        <w:p>
          <w:pPr>
            <w:pStyle w:val="TOC2"/>
            <w:tabs>
              <w:tab w:pos="9882" w:val="right" w:leader="dot"/>
            </w:tabs>
            <w:spacing w:before="243"/>
            <w:ind w:left="822" w:firstLine="0"/>
          </w:pPr>
          <w:hyperlink w:history="true" w:anchor="_bookmark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</w:t>
              <w:tab/>
              <w:t>xi</w:t>
            </w:r>
          </w:hyperlink>
        </w:p>
        <w:p>
          <w:pPr>
            <w:pStyle w:val="TOC2"/>
            <w:tabs>
              <w:tab w:pos="9882" w:val="right" w:leader="dot"/>
            </w:tabs>
            <w:ind w:left="822" w:firstLine="0"/>
          </w:pPr>
          <w:hyperlink w:history="true" w:anchor="_bookmark7">
            <w:r>
              <w:rPr/>
              <w:t>ABSTRACT</w:t>
              <w:tab/>
              <w:t>xii</w:t>
            </w:r>
          </w:hyperlink>
        </w:p>
        <w:p>
          <w:pPr>
            <w:pStyle w:val="TOC2"/>
            <w:tabs>
              <w:tab w:pos="9882" w:val="right" w:leader="dot"/>
            </w:tabs>
            <w:spacing w:before="242"/>
            <w:ind w:left="822" w:firstLine="0"/>
          </w:pPr>
          <w:hyperlink w:history="true" w:anchor="_bookmark7">
            <w:r>
              <w:rPr/>
              <w:t>ABSTRACT</w:t>
              <w:tab/>
              <w:t>xii</w:t>
            </w:r>
          </w:hyperlink>
        </w:p>
        <w:p>
          <w:pPr>
            <w:pStyle w:val="TOC1"/>
            <w:spacing w:before="240"/>
          </w:pPr>
          <w:hyperlink w:history="true" w:anchor="_bookmark8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ONE:</w:t>
            </w:r>
            <w:r>
              <w:rPr>
                <w:spacing w:val="-2"/>
              </w:rPr>
              <w:t> </w:t>
            </w:r>
          </w:hyperlink>
          <w:hyperlink w:history="true" w:anchor="_bookmark9"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83" w:val="left" w:leader="none"/>
              <w:tab w:pos="9883" w:val="right" w:leader="dot"/>
            </w:tabs>
            <w:spacing w:line="240" w:lineRule="auto" w:before="243" w:after="0"/>
            <w:ind w:left="1182" w:right="0" w:hanging="361"/>
            <w:jc w:val="left"/>
          </w:pPr>
          <w:hyperlink w:history="true" w:anchor="_bookmark10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83" w:val="left" w:leader="none"/>
              <w:tab w:pos="9883" w:val="right" w:leader="dot"/>
            </w:tabs>
            <w:spacing w:line="240" w:lineRule="auto" w:before="240" w:after="0"/>
            <w:ind w:left="1182" w:right="0" w:hanging="361"/>
            <w:jc w:val="left"/>
          </w:pPr>
          <w:hyperlink w:history="true" w:anchor="_bookmark11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Research Problem</w:t>
              <w:tab/>
              <w:t>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83" w:val="left" w:leader="none"/>
              <w:tab w:pos="9883" w:val="right" w:leader="dot"/>
            </w:tabs>
            <w:spacing w:line="240" w:lineRule="auto" w:before="243" w:after="0"/>
            <w:ind w:left="1182" w:right="0" w:hanging="361"/>
            <w:jc w:val="left"/>
          </w:pPr>
          <w:hyperlink w:history="true" w:anchor="_bookmark12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Objectives</w:t>
              <w:tab/>
              <w:t>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83" w:val="left" w:leader="none"/>
              <w:tab w:pos="9883" w:val="right" w:leader="dot"/>
            </w:tabs>
            <w:spacing w:line="240" w:lineRule="auto" w:before="242" w:after="0"/>
            <w:ind w:left="1182" w:right="0" w:hanging="361"/>
            <w:jc w:val="left"/>
          </w:pPr>
          <w:hyperlink w:history="true" w:anchor="_bookmark13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43" w:val="left" w:leader="none"/>
              <w:tab w:pos="9883" w:val="right" w:leader="dot"/>
            </w:tabs>
            <w:spacing w:line="240" w:lineRule="auto" w:before="240" w:after="0"/>
            <w:ind w:left="1242" w:right="0" w:hanging="421"/>
            <w:jc w:val="left"/>
          </w:pPr>
          <w:hyperlink w:history="true" w:anchor="_bookmark1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43" w:val="left" w:leader="none"/>
              <w:tab w:pos="9883" w:val="right" w:leader="dot"/>
            </w:tabs>
            <w:spacing w:line="240" w:lineRule="auto" w:before="242" w:after="0"/>
            <w:ind w:left="1242" w:right="0" w:hanging="421"/>
            <w:jc w:val="left"/>
          </w:pPr>
          <w:hyperlink w:history="true" w:anchor="_bookmark15">
            <w:r>
              <w:rPr/>
              <w:t>Significance</w:t>
            </w:r>
            <w:r>
              <w:rPr>
                <w:spacing w:val="-2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43" w:val="left" w:leader="none"/>
              <w:tab w:pos="9883" w:val="right" w:leader="dot"/>
            </w:tabs>
            <w:spacing w:line="240" w:lineRule="auto" w:before="240" w:after="0"/>
            <w:ind w:left="1242" w:right="0" w:hanging="421"/>
            <w:jc w:val="left"/>
          </w:pPr>
          <w:hyperlink w:history="true" w:anchor="_bookmark16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Study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43" w:val="left" w:leader="none"/>
              <w:tab w:pos="9883" w:val="right" w:leader="dot"/>
            </w:tabs>
            <w:spacing w:line="240" w:lineRule="auto" w:before="243" w:after="0"/>
            <w:ind w:left="1242" w:right="0" w:hanging="421"/>
            <w:jc w:val="left"/>
          </w:pPr>
          <w:hyperlink w:history="true" w:anchor="_bookmark17">
            <w:r>
              <w:rPr/>
              <w:t>Limitation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Study</w:t>
              <w:tab/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43" w:val="left" w:leader="none"/>
              <w:tab w:pos="9883" w:val="right" w:leader="dot"/>
            </w:tabs>
            <w:spacing w:line="240" w:lineRule="auto" w:before="241" w:after="0"/>
            <w:ind w:left="1242" w:right="0" w:hanging="421"/>
            <w:jc w:val="left"/>
          </w:pPr>
          <w:hyperlink w:history="true" w:anchor="_bookmark18">
            <w:r>
              <w:rPr/>
              <w:t>Definition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operational terms</w:t>
              <w:tab/>
              <w:t>8</w:t>
            </w:r>
          </w:hyperlink>
        </w:p>
        <w:p>
          <w:pPr>
            <w:pStyle w:val="TOC1"/>
          </w:pPr>
          <w:hyperlink w:history="true" w:anchor="_bookmark19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TWO:</w:t>
            </w:r>
            <w:r>
              <w:rPr>
                <w:spacing w:val="-2"/>
              </w:rPr>
              <w:t> </w:t>
            </w:r>
          </w:hyperlink>
          <w:hyperlink w:history="true" w:anchor="_bookmark20">
            <w:r>
              <w:rPr/>
              <w:t>LITERATURE</w:t>
            </w:r>
            <w:r>
              <w:rPr>
                <w:spacing w:val="-1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43" w:val="left" w:leader="none"/>
              <w:tab w:pos="9883" w:val="right" w:leader="dot"/>
            </w:tabs>
            <w:spacing w:line="240" w:lineRule="auto" w:before="242" w:after="0"/>
            <w:ind w:left="1242" w:right="0" w:hanging="421"/>
            <w:jc w:val="left"/>
          </w:pPr>
          <w:hyperlink w:history="true" w:anchor="_bookmark21">
            <w:r>
              <w:rPr/>
              <w:t>Introduction</w:t>
              <w:tab/>
              <w:t>9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43" w:val="left" w:leader="none"/>
              <w:tab w:pos="9883" w:val="right" w:leader="dot"/>
            </w:tabs>
            <w:spacing w:line="240" w:lineRule="auto" w:before="240" w:after="0"/>
            <w:ind w:left="1242" w:right="0" w:hanging="421"/>
            <w:jc w:val="left"/>
          </w:pPr>
          <w:hyperlink w:history="true" w:anchor="_bookmark22">
            <w:r>
              <w:rPr/>
              <w:t>Conceptual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10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3" w:val="left" w:leader="none"/>
              <w:tab w:pos="9883" w:val="right" w:leader="dot"/>
            </w:tabs>
            <w:spacing w:line="240" w:lineRule="auto" w:before="243" w:after="0"/>
            <w:ind w:left="1362" w:right="0" w:hanging="541"/>
            <w:jc w:val="left"/>
          </w:pPr>
          <w:hyperlink w:history="true" w:anchor="_bookmark23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Corporate Governance</w:t>
              <w:tab/>
              <w:t>10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603" w:val="left" w:leader="none"/>
              <w:tab w:pos="9883" w:val="right" w:leader="dot"/>
            </w:tabs>
            <w:spacing w:line="240" w:lineRule="auto" w:before="240" w:after="240"/>
            <w:ind w:left="1602" w:right="0" w:hanging="781"/>
            <w:jc w:val="left"/>
          </w:pPr>
          <w:hyperlink w:history="true" w:anchor="_bookmark24">
            <w:r>
              <w:rPr/>
              <w:t>Corporate</w:t>
            </w:r>
            <w:r>
              <w:rPr>
                <w:spacing w:val="-1"/>
              </w:rPr>
              <w:t> </w:t>
            </w:r>
            <w:r>
              <w:rPr/>
              <w:t>Governance</w:t>
            </w:r>
            <w:r>
              <w:rPr>
                <w:spacing w:val="-1"/>
              </w:rPr>
              <w:t> </w:t>
            </w:r>
            <w:r>
              <w:rPr/>
              <w:t>models</w:t>
              <w:tab/>
              <w:t>14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603" w:val="left" w:leader="none"/>
              <w:tab w:pos="9883" w:val="right" w:leader="dot"/>
            </w:tabs>
            <w:spacing w:line="240" w:lineRule="auto" w:before="77" w:after="0"/>
            <w:ind w:left="1602" w:right="0" w:hanging="781"/>
            <w:jc w:val="left"/>
          </w:pPr>
          <w:hyperlink w:history="true" w:anchor="_bookmark25">
            <w:r>
              <w:rPr/>
              <w:t>Corporate</w:t>
            </w:r>
            <w:r>
              <w:rPr>
                <w:spacing w:val="-1"/>
              </w:rPr>
              <w:t> </w:t>
            </w:r>
            <w:r>
              <w:rPr/>
              <w:t>Governance</w:t>
            </w:r>
            <w:r>
              <w:rPr>
                <w:spacing w:val="-1"/>
              </w:rPr>
              <w:t> </w:t>
            </w:r>
            <w:r>
              <w:rPr/>
              <w:t>Disclosures in Annual Reports</w:t>
              <w:tab/>
              <w:t>16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603" w:val="left" w:leader="none"/>
              <w:tab w:pos="9883" w:val="right" w:leader="dot"/>
            </w:tabs>
            <w:spacing w:line="240" w:lineRule="auto" w:before="243" w:after="0"/>
            <w:ind w:left="1602" w:right="0" w:hanging="781"/>
            <w:jc w:val="left"/>
          </w:pPr>
          <w:hyperlink w:history="true" w:anchor="_bookmark26">
            <w:r>
              <w:rPr/>
              <w:t>Corporate</w:t>
            </w:r>
            <w:r>
              <w:rPr>
                <w:spacing w:val="-1"/>
              </w:rPr>
              <w:t> </w:t>
            </w:r>
            <w:r>
              <w:rPr/>
              <w:t>Governance</w:t>
            </w:r>
            <w:r>
              <w:rPr>
                <w:spacing w:val="-1"/>
              </w:rPr>
              <w:t> </w:t>
            </w:r>
            <w:r>
              <w:rPr/>
              <w:t>Disclosure Framework in</w:t>
            </w:r>
            <w:r>
              <w:rPr>
                <w:spacing w:val="-1"/>
              </w:rPr>
              <w:t> </w:t>
            </w:r>
            <w:r>
              <w:rPr/>
              <w:t>Nigeria</w:t>
              <w:tab/>
              <w:t>19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603" w:val="left" w:leader="none"/>
              <w:tab w:pos="9883" w:val="right" w:leader="dot"/>
            </w:tabs>
            <w:spacing w:line="240" w:lineRule="auto" w:before="242" w:after="0"/>
            <w:ind w:left="1602" w:right="0" w:hanging="781"/>
            <w:jc w:val="left"/>
          </w:pPr>
          <w:hyperlink w:history="true" w:anchor="_bookmark27">
            <w:r>
              <w:rPr/>
              <w:t>Extent</w:t>
            </w:r>
            <w:r>
              <w:rPr>
                <w:spacing w:val="-1"/>
              </w:rPr>
              <w:t> </w:t>
            </w:r>
            <w:r>
              <w:rPr/>
              <w:t>and Quality</w:t>
            </w:r>
            <w:r>
              <w:rPr>
                <w:spacing w:val="1"/>
              </w:rPr>
              <w:t> </w:t>
            </w:r>
            <w:r>
              <w:rPr/>
              <w:t>of Corporate Governance</w:t>
              <w:tab/>
              <w:t>22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603" w:val="left" w:leader="none"/>
              <w:tab w:pos="9883" w:val="right" w:leader="dot"/>
            </w:tabs>
            <w:spacing w:line="240" w:lineRule="auto" w:before="241" w:after="0"/>
            <w:ind w:left="1602" w:right="0" w:hanging="781"/>
            <w:jc w:val="left"/>
          </w:pPr>
          <w:hyperlink w:history="true" w:anchor="_bookmark28">
            <w:r>
              <w:rPr/>
              <w:t>Corporate</w:t>
            </w:r>
            <w:r>
              <w:rPr>
                <w:spacing w:val="-1"/>
              </w:rPr>
              <w:t> </w:t>
            </w:r>
            <w:r>
              <w:rPr/>
              <w:t>Governance</w:t>
            </w:r>
            <w:r>
              <w:rPr>
                <w:spacing w:val="-1"/>
              </w:rPr>
              <w:t> </w:t>
            </w:r>
            <w:r>
              <w:rPr/>
              <w:t>Mechanisms</w:t>
              <w:tab/>
              <w:t>33</w:t>
            </w:r>
          </w:hyperlink>
        </w:p>
        <w:p>
          <w:pPr>
            <w:pStyle w:val="TOC2"/>
            <w:numPr>
              <w:ilvl w:val="4"/>
              <w:numId w:val="3"/>
            </w:numPr>
            <w:tabs>
              <w:tab w:pos="1723" w:val="left" w:leader="none"/>
              <w:tab w:pos="9883" w:val="right" w:leader="dot"/>
            </w:tabs>
            <w:spacing w:line="240" w:lineRule="auto" w:before="242" w:after="0"/>
            <w:ind w:left="1722" w:right="0" w:hanging="901"/>
            <w:jc w:val="left"/>
          </w:pPr>
          <w:hyperlink w:history="true" w:anchor="_bookmark29">
            <w:r>
              <w:rPr/>
              <w:t>Board</w:t>
            </w:r>
            <w:r>
              <w:rPr>
                <w:spacing w:val="-1"/>
              </w:rPr>
              <w:t> </w:t>
            </w:r>
            <w:r>
              <w:rPr/>
              <w:t>Size</w:t>
              <w:tab/>
              <w:t>33</w:t>
            </w:r>
          </w:hyperlink>
        </w:p>
        <w:p>
          <w:pPr>
            <w:pStyle w:val="TOC2"/>
            <w:numPr>
              <w:ilvl w:val="4"/>
              <w:numId w:val="4"/>
            </w:numPr>
            <w:tabs>
              <w:tab w:pos="1783" w:val="left" w:leader="none"/>
              <w:tab w:pos="9883" w:val="right" w:leader="dot"/>
            </w:tabs>
            <w:spacing w:line="240" w:lineRule="auto" w:before="240" w:after="0"/>
            <w:ind w:left="1782" w:right="0" w:hanging="961"/>
            <w:jc w:val="left"/>
          </w:pPr>
          <w:r>
            <w:rPr/>
            <w:drawing>
              <wp:anchor distT="0" distB="0" distL="0" distR="0" allowOverlap="1" layoutInCell="1" locked="0" behindDoc="1" simplePos="0" relativeHeight="453995520">
                <wp:simplePos x="0" y="0"/>
                <wp:positionH relativeFrom="page">
                  <wp:posOffset>1261605</wp:posOffset>
                </wp:positionH>
                <wp:positionV relativeFrom="paragraph">
                  <wp:posOffset>287440</wp:posOffset>
                </wp:positionV>
                <wp:extent cx="5133225" cy="5265293"/>
                <wp:effectExtent l="0" t="0" r="0" b="0"/>
                <wp:wrapNone/>
                <wp:docPr id="15" name="image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4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25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0">
            <w:r>
              <w:rPr/>
              <w:t>Board Independence</w:t>
              <w:tab/>
              <w:t>34</w:t>
            </w:r>
          </w:hyperlink>
        </w:p>
        <w:p>
          <w:pPr>
            <w:pStyle w:val="TOC2"/>
            <w:numPr>
              <w:ilvl w:val="4"/>
              <w:numId w:val="4"/>
            </w:numPr>
            <w:tabs>
              <w:tab w:pos="1783" w:val="left" w:leader="none"/>
              <w:tab w:pos="9883" w:val="right" w:leader="dot"/>
            </w:tabs>
            <w:spacing w:line="240" w:lineRule="auto" w:before="242" w:after="0"/>
            <w:ind w:left="1782" w:right="0" w:hanging="961"/>
            <w:jc w:val="left"/>
          </w:pPr>
          <w:hyperlink w:history="true" w:anchor="_bookmark31">
            <w:r>
              <w:rPr/>
              <w:t>Board</w:t>
            </w:r>
            <w:r>
              <w:rPr>
                <w:spacing w:val="-1"/>
              </w:rPr>
              <w:t> </w:t>
            </w:r>
            <w:r>
              <w:rPr/>
              <w:t>Gender</w:t>
            </w:r>
            <w:r>
              <w:rPr>
                <w:spacing w:val="1"/>
              </w:rPr>
              <w:t> </w:t>
            </w:r>
            <w:r>
              <w:rPr/>
              <w:t>Diversity</w:t>
              <w:tab/>
              <w:t>35</w:t>
            </w:r>
          </w:hyperlink>
        </w:p>
        <w:p>
          <w:pPr>
            <w:pStyle w:val="TOC2"/>
            <w:tabs>
              <w:tab w:pos="9883" w:val="right" w:leader="dot"/>
            </w:tabs>
            <w:spacing w:before="241"/>
            <w:ind w:left="822" w:firstLine="0"/>
          </w:pPr>
          <w:hyperlink w:history="true" w:anchor="_bookmark32">
            <w:r>
              <w:rPr/>
              <w:t>2.2.5.4</w:t>
            </w:r>
            <w:r>
              <w:rPr>
                <w:spacing w:val="-1"/>
              </w:rPr>
              <w:t> </w:t>
            </w:r>
            <w:r>
              <w:rPr/>
              <w:t>Ownership Structure</w:t>
              <w:tab/>
              <w:t>36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603" w:val="left" w:leader="none"/>
              <w:tab w:pos="9883" w:val="right" w:leader="dot"/>
            </w:tabs>
            <w:spacing w:line="240" w:lineRule="auto" w:before="242" w:after="0"/>
            <w:ind w:left="1602" w:right="0" w:hanging="781"/>
            <w:jc w:val="left"/>
          </w:pPr>
          <w:hyperlink w:history="true" w:anchor="_bookmark33">
            <w:r>
              <w:rPr/>
              <w:t>5. CEO</w:t>
            </w:r>
            <w:r>
              <w:rPr>
                <w:spacing w:val="-1"/>
              </w:rPr>
              <w:t> </w:t>
            </w:r>
            <w:r>
              <w:rPr/>
              <w:t>Age</w:t>
              <w:tab/>
              <w:t>37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603" w:val="left" w:leader="none"/>
              <w:tab w:pos="9883" w:val="right" w:leader="dot"/>
            </w:tabs>
            <w:spacing w:line="240" w:lineRule="auto" w:before="243" w:after="0"/>
            <w:ind w:left="1602" w:right="0" w:hanging="781"/>
            <w:jc w:val="left"/>
          </w:pPr>
          <w:hyperlink w:history="true" w:anchor="_bookmark34">
            <w:r>
              <w:rPr/>
              <w:t>CEO</w:t>
            </w:r>
            <w:r>
              <w:rPr>
                <w:spacing w:val="-2"/>
              </w:rPr>
              <w:t> </w:t>
            </w:r>
            <w:r>
              <w:rPr/>
              <w:t>Ownership</w:t>
              <w:tab/>
              <w:t>40</w:t>
            </w:r>
          </w:hyperlink>
        </w:p>
        <w:p>
          <w:pPr>
            <w:pStyle w:val="TOC2"/>
            <w:numPr>
              <w:ilvl w:val="3"/>
              <w:numId w:val="5"/>
            </w:numPr>
            <w:tabs>
              <w:tab w:pos="1603" w:val="left" w:leader="none"/>
              <w:tab w:pos="9883" w:val="right" w:leader="dot"/>
            </w:tabs>
            <w:spacing w:line="240" w:lineRule="auto" w:before="240" w:after="0"/>
            <w:ind w:left="1602" w:right="0" w:hanging="781"/>
            <w:jc w:val="left"/>
          </w:pPr>
          <w:hyperlink w:history="true" w:anchor="_bookmark35">
            <w:r>
              <w:rPr/>
              <w:t>CEO</w:t>
            </w:r>
            <w:r>
              <w:rPr>
                <w:spacing w:val="-2"/>
              </w:rPr>
              <w:t> </w:t>
            </w:r>
            <w:r>
              <w:rPr/>
              <w:t>Tenure</w:t>
              <w:tab/>
              <w:t>42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3" w:val="left" w:leader="none"/>
              <w:tab w:pos="9883" w:val="right" w:leader="dot"/>
            </w:tabs>
            <w:spacing w:line="240" w:lineRule="auto" w:before="242" w:after="0"/>
            <w:ind w:left="1362" w:right="0" w:hanging="541"/>
            <w:jc w:val="left"/>
          </w:pPr>
          <w:hyperlink w:history="true" w:anchor="_bookmark36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Tax Aggressiveness</w:t>
              <w:tab/>
              <w:t>45</w:t>
            </w:r>
          </w:hyperlink>
        </w:p>
        <w:p>
          <w:pPr>
            <w:pStyle w:val="TOC2"/>
            <w:numPr>
              <w:ilvl w:val="2"/>
              <w:numId w:val="6"/>
            </w:numPr>
            <w:tabs>
              <w:tab w:pos="1363" w:val="left" w:leader="none"/>
              <w:tab w:pos="9883" w:val="right" w:leader="dot"/>
            </w:tabs>
            <w:spacing w:line="240" w:lineRule="auto" w:before="240" w:after="0"/>
            <w:ind w:left="1362" w:right="0" w:hanging="541"/>
            <w:jc w:val="left"/>
          </w:pPr>
          <w:hyperlink w:history="true" w:anchor="_bookmark37">
            <w:r>
              <w:rPr/>
              <w:t>Measurement</w:t>
            </w:r>
            <w:r>
              <w:rPr>
                <w:spacing w:val="-1"/>
              </w:rPr>
              <w:t> </w:t>
            </w:r>
            <w:r>
              <w:rPr/>
              <w:t>of Tax Aggressiveness</w:t>
              <w:tab/>
              <w:t>46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3" w:after="0"/>
            <w:ind w:left="1542" w:right="0" w:hanging="721"/>
            <w:jc w:val="left"/>
          </w:pPr>
          <w:hyperlink w:history="true" w:anchor="_bookmark38">
            <w:r>
              <w:rPr/>
              <w:t>Book-Tax</w:t>
            </w:r>
            <w:r>
              <w:rPr>
                <w:spacing w:val="-1"/>
              </w:rPr>
              <w:t> </w:t>
            </w:r>
            <w:r>
              <w:rPr/>
              <w:t>Difference</w:t>
              <w:tab/>
              <w:t>47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0" w:after="0"/>
            <w:ind w:left="1542" w:right="0" w:hanging="721"/>
            <w:jc w:val="left"/>
          </w:pPr>
          <w:hyperlink w:history="true" w:anchor="_bookmark39">
            <w:r>
              <w:rPr/>
              <w:t>Effective Tax Rate</w:t>
              <w:tab/>
              <w:t>49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3" w:after="0"/>
            <w:ind w:left="1542" w:right="0" w:hanging="721"/>
            <w:jc w:val="left"/>
          </w:pPr>
          <w:hyperlink w:history="true" w:anchor="_bookmark40">
            <w:r>
              <w:rPr/>
              <w:t>Accounting</w:t>
            </w:r>
            <w:r>
              <w:rPr>
                <w:spacing w:val="-1"/>
              </w:rPr>
              <w:t> </w:t>
            </w:r>
            <w:r>
              <w:rPr/>
              <w:t>ETR</w:t>
              <w:tab/>
              <w:t>50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2" w:after="0"/>
            <w:ind w:left="1542" w:right="0" w:hanging="721"/>
            <w:jc w:val="left"/>
          </w:pPr>
          <w:hyperlink w:history="true" w:anchor="_bookmark41">
            <w:r>
              <w:rPr/>
              <w:t>Long-run cash</w:t>
            </w:r>
            <w:r>
              <w:rPr>
                <w:spacing w:val="-1"/>
              </w:rPr>
              <w:t> </w:t>
            </w:r>
            <w:r>
              <w:rPr/>
              <w:t>ETR</w:t>
              <w:tab/>
              <w:t>51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0" w:after="0"/>
            <w:ind w:left="1542" w:right="0" w:hanging="721"/>
            <w:jc w:val="left"/>
          </w:pPr>
          <w:hyperlink w:history="true" w:anchor="_bookmark42">
            <w:r>
              <w:rPr/>
              <w:t>Cash ETR</w:t>
              <w:tab/>
              <w:t>52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2" w:after="0"/>
            <w:ind w:left="1542" w:right="0" w:hanging="721"/>
            <w:jc w:val="left"/>
          </w:pPr>
          <w:hyperlink w:history="true" w:anchor="_bookmark43">
            <w:r>
              <w:rPr/>
              <w:t>Current</w:t>
            </w:r>
            <w:r>
              <w:rPr>
                <w:spacing w:val="-1"/>
              </w:rPr>
              <w:t> </w:t>
            </w:r>
            <w:r>
              <w:rPr/>
              <w:t>ETR</w:t>
              <w:tab/>
              <w:t>52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0" w:after="0"/>
            <w:ind w:left="1542" w:right="0" w:hanging="721"/>
            <w:jc w:val="left"/>
          </w:pPr>
          <w:hyperlink w:history="true" w:anchor="_bookmark44">
            <w:r>
              <w:rPr/>
              <w:t>Discretionary</w:t>
            </w:r>
            <w:r>
              <w:rPr>
                <w:spacing w:val="-1"/>
              </w:rPr>
              <w:t> </w:t>
            </w:r>
            <w:r>
              <w:rPr/>
              <w:t>Permanent Book-Tax Differences (DTAX)</w:t>
              <w:tab/>
              <w:t>53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4" w:after="0"/>
            <w:ind w:left="1542" w:right="0" w:hanging="721"/>
            <w:jc w:val="left"/>
          </w:pPr>
          <w:hyperlink w:history="true" w:anchor="_bookmark45">
            <w:r>
              <w:rPr/>
              <w:t>Income</w:t>
            </w:r>
            <w:r>
              <w:rPr>
                <w:spacing w:val="-1"/>
              </w:rPr>
              <w:t> </w:t>
            </w:r>
            <w:r>
              <w:rPr/>
              <w:t>Tax Expense/Operating Cash</w:t>
            </w:r>
            <w:r>
              <w:rPr>
                <w:spacing w:val="2"/>
              </w:rPr>
              <w:t> </w:t>
            </w:r>
            <w:r>
              <w:rPr/>
              <w:t>Flow</w:t>
              <w:tab/>
              <w:t>53</w:t>
            </w:r>
          </w:hyperlink>
        </w:p>
        <w:p>
          <w:pPr>
            <w:pStyle w:val="TOC2"/>
            <w:numPr>
              <w:ilvl w:val="3"/>
              <w:numId w:val="6"/>
            </w:numPr>
            <w:tabs>
              <w:tab w:pos="1543" w:val="left" w:leader="none"/>
              <w:tab w:pos="9883" w:val="right" w:leader="dot"/>
            </w:tabs>
            <w:spacing w:line="240" w:lineRule="auto" w:before="240" w:after="0"/>
            <w:ind w:left="1542" w:right="0" w:hanging="721"/>
            <w:jc w:val="left"/>
          </w:pPr>
          <w:hyperlink w:history="true" w:anchor="_bookmark46">
            <w:r>
              <w:rPr/>
              <w:t>Cash</w:t>
            </w:r>
            <w:r>
              <w:rPr>
                <w:spacing w:val="-1"/>
              </w:rPr>
              <w:t> </w:t>
            </w:r>
            <w:r>
              <w:rPr/>
              <w:t>Taxes Paid/Operating Cash</w:t>
            </w:r>
            <w:r>
              <w:rPr>
                <w:spacing w:val="2"/>
              </w:rPr>
              <w:t> </w:t>
            </w:r>
            <w:r>
              <w:rPr/>
              <w:t>Flow</w:t>
              <w:tab/>
              <w:t>54</w:t>
            </w:r>
          </w:hyperlink>
        </w:p>
        <w:p>
          <w:pPr>
            <w:pStyle w:val="TOC2"/>
            <w:tabs>
              <w:tab w:pos="9883" w:val="right" w:leader="dot"/>
            </w:tabs>
            <w:spacing w:before="242"/>
            <w:ind w:left="822" w:firstLine="0"/>
          </w:pPr>
          <w:hyperlink w:history="true" w:anchor="_bookmark47">
            <w:r>
              <w:rPr/>
              <w:t>2.2.2.10.</w:t>
            </w:r>
            <w:r>
              <w:rPr>
                <w:spacing w:val="-1"/>
              </w:rPr>
              <w:t> </w:t>
            </w:r>
            <w:r>
              <w:rPr/>
              <w:t>Consequences of Corporate Tax Avoidance</w:t>
              <w:tab/>
              <w:t>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43" w:val="left" w:leader="none"/>
              <w:tab w:pos="9883" w:val="right" w:leader="dot"/>
            </w:tabs>
            <w:spacing w:line="240" w:lineRule="auto" w:before="242" w:after="0"/>
            <w:ind w:left="1242" w:right="0" w:hanging="421"/>
            <w:jc w:val="left"/>
          </w:pPr>
          <w:hyperlink w:history="true" w:anchor="_bookmark48">
            <w:r>
              <w:rPr/>
              <w:t>Control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3" w:val="left" w:leader="none"/>
              <w:tab w:pos="9883" w:val="right" w:leader="dot"/>
            </w:tabs>
            <w:spacing w:line="240" w:lineRule="auto" w:before="240" w:after="0"/>
            <w:ind w:left="1362" w:right="0" w:hanging="541"/>
            <w:jc w:val="left"/>
          </w:pPr>
          <w:hyperlink w:history="true" w:anchor="_bookmark49">
            <w:r>
              <w:rPr/>
              <w:t>Firm</w:t>
            </w:r>
            <w:r>
              <w:rPr>
                <w:spacing w:val="-1"/>
              </w:rPr>
              <w:t> </w:t>
            </w:r>
            <w:r>
              <w:rPr/>
              <w:t>Size</w:t>
              <w:tab/>
              <w:t>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3" w:val="left" w:leader="none"/>
              <w:tab w:pos="9883" w:val="right" w:leader="dot"/>
            </w:tabs>
            <w:spacing w:line="240" w:lineRule="auto" w:before="243" w:after="0"/>
            <w:ind w:left="1362" w:right="0" w:hanging="541"/>
            <w:jc w:val="left"/>
          </w:pPr>
          <w:hyperlink w:history="true" w:anchor="_bookmark50">
            <w:r>
              <w:rPr/>
              <w:t>Profitability</w:t>
              <w:tab/>
              <w:t>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3" w:val="left" w:leader="none"/>
              <w:tab w:pos="9883" w:val="right" w:leader="dot"/>
            </w:tabs>
            <w:spacing w:line="240" w:lineRule="auto" w:before="240" w:after="20"/>
            <w:ind w:left="1362" w:right="0" w:hanging="541"/>
            <w:jc w:val="left"/>
          </w:pPr>
          <w:hyperlink w:history="true" w:anchor="_bookmark51">
            <w:r>
              <w:rPr/>
              <w:t>Leverage</w:t>
              <w:tab/>
              <w:t>61</w:t>
            </w:r>
          </w:hyperlink>
        </w:p>
        <w:p>
          <w:pPr>
            <w:pStyle w:val="TOC2"/>
            <w:tabs>
              <w:tab w:pos="9883" w:val="right" w:leader="dot"/>
            </w:tabs>
            <w:spacing w:before="77"/>
            <w:ind w:left="822" w:firstLine="0"/>
          </w:pPr>
          <w:hyperlink w:history="true" w:anchor="_bookmark52">
            <w:r>
              <w:rPr/>
              <w:t>2.4</w:t>
            </w:r>
            <w:r>
              <w:rPr>
                <w:spacing w:val="-1"/>
              </w:rPr>
              <w:t> </w:t>
            </w:r>
            <w:r>
              <w:rPr/>
              <w:t>Overview of the</w:t>
            </w:r>
            <w:r>
              <w:rPr>
                <w:spacing w:val="-2"/>
              </w:rPr>
              <w:t> </w:t>
            </w:r>
            <w:r>
              <w:rPr/>
              <w:t>Nigeria</w:t>
            </w:r>
            <w:r>
              <w:rPr>
                <w:spacing w:val="-2"/>
              </w:rPr>
              <w:t> </w:t>
            </w:r>
            <w:r>
              <w:rPr/>
              <w:t>Tax System</w:t>
              <w:tab/>
              <w:t>62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243" w:val="left" w:leader="none"/>
              <w:tab w:pos="9883" w:val="right" w:leader="dot"/>
            </w:tabs>
            <w:spacing w:line="240" w:lineRule="auto" w:before="243" w:after="0"/>
            <w:ind w:left="1242" w:right="0" w:hanging="421"/>
            <w:jc w:val="left"/>
          </w:pPr>
          <w:hyperlink w:history="true" w:anchor="_bookmark53">
            <w:r>
              <w:rPr/>
              <w:t>Empirical</w:t>
            </w:r>
            <w:r>
              <w:rPr>
                <w:spacing w:val="-1"/>
              </w:rPr>
              <w:t> </w:t>
            </w:r>
            <w:r>
              <w:rPr/>
              <w:t>Review</w:t>
              <w:tab/>
              <w:t>65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363" w:val="left" w:leader="none"/>
              <w:tab w:pos="9883" w:val="right" w:leader="dot"/>
            </w:tabs>
            <w:spacing w:line="240" w:lineRule="auto" w:before="242" w:after="0"/>
            <w:ind w:left="1362" w:right="0" w:hanging="541"/>
            <w:jc w:val="left"/>
          </w:pPr>
          <w:hyperlink w:history="true" w:anchor="_bookmark54"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in Developed Economies</w:t>
              <w:tab/>
              <w:t>65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363" w:val="left" w:leader="none"/>
              <w:tab w:pos="9883" w:val="right" w:leader="dot"/>
            </w:tabs>
            <w:spacing w:line="240" w:lineRule="auto" w:before="241" w:after="0"/>
            <w:ind w:left="1362" w:right="0" w:hanging="541"/>
            <w:jc w:val="left"/>
          </w:pPr>
          <w:hyperlink w:history="true" w:anchor="_bookmark55"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in Developing Economies</w:t>
              <w:tab/>
              <w:t>70</w:t>
            </w:r>
          </w:hyperlink>
        </w:p>
        <w:p>
          <w:pPr>
            <w:pStyle w:val="TOC2"/>
            <w:numPr>
              <w:ilvl w:val="2"/>
              <w:numId w:val="7"/>
            </w:numPr>
            <w:tabs>
              <w:tab w:pos="1363" w:val="left" w:leader="none"/>
              <w:tab w:pos="9883" w:val="right" w:leader="dot"/>
            </w:tabs>
            <w:spacing w:line="240" w:lineRule="auto" w:before="242" w:after="0"/>
            <w:ind w:left="1362" w:right="0" w:hanging="541"/>
            <w:jc w:val="left"/>
          </w:pPr>
          <w:hyperlink w:history="true" w:anchor="_bookmark56"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in Nigeria</w:t>
              <w:tab/>
              <w:t>73</w:t>
            </w:r>
          </w:hyperlink>
        </w:p>
        <w:p>
          <w:pPr>
            <w:pStyle w:val="TOC2"/>
            <w:numPr>
              <w:ilvl w:val="1"/>
              <w:numId w:val="8"/>
            </w:numPr>
            <w:tabs>
              <w:tab w:pos="1183" w:val="left" w:leader="none"/>
              <w:tab w:pos="9883" w:val="right" w:leader="dot"/>
            </w:tabs>
            <w:spacing w:line="240" w:lineRule="auto" w:before="240" w:after="0"/>
            <w:ind w:left="1182" w:right="0" w:hanging="361"/>
            <w:jc w:val="left"/>
          </w:pPr>
          <w:r>
            <w:rPr/>
            <w:drawing>
              <wp:anchor distT="0" distB="0" distL="0" distR="0" allowOverlap="1" layoutInCell="1" locked="0" behindDoc="1" simplePos="0" relativeHeight="453996032">
                <wp:simplePos x="0" y="0"/>
                <wp:positionH relativeFrom="page">
                  <wp:posOffset>1261605</wp:posOffset>
                </wp:positionH>
                <wp:positionV relativeFrom="paragraph">
                  <wp:posOffset>287440</wp:posOffset>
                </wp:positionV>
                <wp:extent cx="5133225" cy="5265293"/>
                <wp:effectExtent l="0" t="0" r="0" b="0"/>
                <wp:wrapNone/>
                <wp:docPr id="17" name="image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4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25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57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</w:t>
              <w:tab/>
              <w:t>76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1363" w:val="left" w:leader="none"/>
              <w:tab w:pos="9883" w:val="right" w:leader="dot"/>
            </w:tabs>
            <w:spacing w:line="240" w:lineRule="auto" w:before="242" w:after="0"/>
            <w:ind w:left="1362" w:right="0" w:hanging="541"/>
            <w:jc w:val="left"/>
          </w:pPr>
          <w:hyperlink w:history="true" w:anchor="_bookmark58">
            <w:r>
              <w:rPr/>
              <w:t>Agency</w:t>
            </w:r>
            <w:r>
              <w:rPr>
                <w:spacing w:val="-1"/>
              </w:rPr>
              <w:t> </w:t>
            </w:r>
            <w:r>
              <w:rPr/>
              <w:t>theory</w:t>
              <w:tab/>
              <w:t>76</w:t>
            </w:r>
          </w:hyperlink>
        </w:p>
        <w:p>
          <w:pPr>
            <w:pStyle w:val="TOC2"/>
            <w:tabs>
              <w:tab w:pos="9883" w:val="right" w:leader="dot"/>
            </w:tabs>
            <w:spacing w:before="241"/>
            <w:ind w:left="822" w:firstLine="0"/>
          </w:pPr>
          <w:hyperlink w:history="true" w:anchor="_bookmark59">
            <w:r>
              <w:rPr/>
              <w:t>2.6.2.</w:t>
            </w:r>
            <w:r>
              <w:rPr>
                <w:spacing w:val="-1"/>
              </w:rPr>
              <w:t> </w:t>
            </w:r>
            <w:r>
              <w:rPr/>
              <w:t>Optimal Tax Theory</w:t>
              <w:tab/>
              <w:t>79</w:t>
            </w:r>
          </w:hyperlink>
        </w:p>
        <w:p>
          <w:pPr>
            <w:pStyle w:val="TOC1"/>
          </w:pPr>
          <w:hyperlink w:history="true" w:anchor="_bookmark6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</w:hyperlink>
          <w:hyperlink w:history="true" w:anchor="_bookmark62"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183" w:val="left" w:leader="none"/>
              <w:tab w:pos="9883" w:val="right" w:leader="dot"/>
            </w:tabs>
            <w:spacing w:line="240" w:lineRule="auto" w:before="243" w:after="0"/>
            <w:ind w:left="1182" w:right="0" w:hanging="361"/>
            <w:jc w:val="left"/>
          </w:pPr>
          <w:hyperlink w:history="true" w:anchor="_bookmark63">
            <w:r>
              <w:rPr/>
              <w:t>Introduction</w:t>
              <w:tab/>
              <w:t>83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183" w:val="left" w:leader="none"/>
              <w:tab w:pos="9883" w:val="right" w:leader="dot"/>
            </w:tabs>
            <w:spacing w:line="240" w:lineRule="auto" w:before="240" w:after="0"/>
            <w:ind w:left="1182" w:right="0" w:hanging="361"/>
            <w:jc w:val="left"/>
          </w:pPr>
          <w:hyperlink w:history="true" w:anchor="_bookmark64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Design</w:t>
              <w:tab/>
              <w:t>83</w:t>
            </w:r>
          </w:hyperlink>
        </w:p>
        <w:p>
          <w:pPr>
            <w:pStyle w:val="TOC2"/>
            <w:numPr>
              <w:ilvl w:val="1"/>
              <w:numId w:val="9"/>
            </w:numPr>
            <w:tabs>
              <w:tab w:pos="1183" w:val="left" w:leader="none"/>
              <w:tab w:pos="9883" w:val="right" w:leader="dot"/>
            </w:tabs>
            <w:spacing w:line="240" w:lineRule="auto" w:before="242" w:after="0"/>
            <w:ind w:left="1182" w:right="0" w:hanging="361"/>
            <w:jc w:val="left"/>
          </w:pPr>
          <w:hyperlink w:history="true" w:anchor="_bookmark65">
            <w:r>
              <w:rPr/>
              <w:t>Population</w:t>
              <w:tab/>
              <w:t>83</w:t>
            </w:r>
          </w:hyperlink>
        </w:p>
        <w:p>
          <w:pPr>
            <w:pStyle w:val="TOC2"/>
            <w:tabs>
              <w:tab w:pos="9883" w:val="right" w:leader="dot"/>
            </w:tabs>
            <w:ind w:left="822" w:firstLine="0"/>
          </w:pPr>
          <w:hyperlink w:history="true" w:anchor="_bookmark66">
            <w:r>
              <w:rPr/>
              <w:t>3.4.</w:t>
            </w:r>
            <w:r>
              <w:rPr>
                <w:spacing w:val="-1"/>
              </w:rPr>
              <w:t> </w:t>
            </w:r>
            <w:r>
              <w:rPr/>
              <w:t>Sample</w:t>
            </w:r>
            <w:r>
              <w:rPr>
                <w:spacing w:val="-1"/>
              </w:rPr>
              <w:t> </w:t>
            </w:r>
            <w:r>
              <w:rPr/>
              <w:t>and Sampling Technique</w:t>
              <w:tab/>
              <w:t>84</w:t>
            </w:r>
          </w:hyperlink>
        </w:p>
        <w:p>
          <w:pPr>
            <w:pStyle w:val="TOC2"/>
            <w:tabs>
              <w:tab w:pos="9883" w:val="right" w:leader="dot"/>
            </w:tabs>
            <w:spacing w:before="243"/>
            <w:ind w:left="822" w:firstLine="0"/>
          </w:pPr>
          <w:hyperlink w:history="true" w:anchor="_bookmark67">
            <w:r>
              <w:rPr/>
              <w:t>3.5</w:t>
            </w:r>
            <w:r>
              <w:rPr>
                <w:spacing w:val="-1"/>
              </w:rPr>
              <w:t> </w:t>
            </w:r>
            <w:r>
              <w:rPr/>
              <w:t>Method of Data Collection</w:t>
              <w:tab/>
              <w:t>84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1243" w:val="left" w:leader="none"/>
              <w:tab w:pos="9883" w:val="right" w:leader="dot"/>
            </w:tabs>
            <w:spacing w:line="240" w:lineRule="auto" w:before="240" w:after="0"/>
            <w:ind w:left="1242" w:right="0" w:hanging="421"/>
            <w:jc w:val="left"/>
          </w:pPr>
          <w:hyperlink w:history="true" w:anchor="_bookmark68">
            <w:r>
              <w:rPr/>
              <w:t>Method</w:t>
            </w:r>
            <w:r>
              <w:rPr>
                <w:spacing w:val="-1"/>
              </w:rPr>
              <w:t> </w:t>
            </w:r>
            <w:r>
              <w:rPr/>
              <w:t>of Data Analysis</w:t>
              <w:tab/>
              <w:t>85</w:t>
            </w:r>
          </w:hyperlink>
        </w:p>
        <w:p>
          <w:pPr>
            <w:pStyle w:val="TOC2"/>
            <w:numPr>
              <w:ilvl w:val="1"/>
              <w:numId w:val="10"/>
            </w:numPr>
            <w:tabs>
              <w:tab w:pos="1243" w:val="left" w:leader="none"/>
              <w:tab w:pos="9883" w:val="right" w:leader="dot"/>
            </w:tabs>
            <w:spacing w:line="240" w:lineRule="auto" w:before="243" w:after="0"/>
            <w:ind w:left="1242" w:right="0" w:hanging="421"/>
            <w:jc w:val="left"/>
          </w:pPr>
          <w:hyperlink w:history="true" w:anchor="_bookmark69">
            <w:r>
              <w:rPr/>
              <w:t>Model</w:t>
            </w:r>
            <w:r>
              <w:rPr>
                <w:spacing w:val="-1"/>
              </w:rPr>
              <w:t> </w:t>
            </w:r>
            <w:r>
              <w:rPr/>
              <w:t>Specification</w:t>
              <w:tab/>
              <w:t>85</w:t>
            </w:r>
          </w:hyperlink>
        </w:p>
        <w:p>
          <w:pPr>
            <w:pStyle w:val="TOC1"/>
          </w:pPr>
          <w:hyperlink w:history="true" w:anchor="_bookmark7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FOUR:</w:t>
            </w:r>
            <w:r>
              <w:rPr>
                <w:spacing w:val="-2"/>
              </w:rPr>
              <w:t> </w:t>
            </w:r>
          </w:hyperlink>
          <w:hyperlink w:history="true" w:anchor="_bookmark72">
            <w:r>
              <w:rPr/>
              <w:t>PRESENTATION AND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RESULT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pos="1243" w:val="left" w:leader="none"/>
              <w:tab w:pos="9883" w:val="right" w:leader="dot"/>
            </w:tabs>
            <w:spacing w:line="240" w:lineRule="auto" w:before="240" w:after="0"/>
            <w:ind w:left="1242" w:right="0" w:hanging="421"/>
            <w:jc w:val="left"/>
          </w:pPr>
          <w:hyperlink w:history="true" w:anchor="_bookmark73">
            <w:r>
              <w:rPr/>
              <w:t>Introduction</w:t>
              <w:tab/>
              <w:t>90</w:t>
            </w:r>
          </w:hyperlink>
        </w:p>
        <w:p>
          <w:pPr>
            <w:pStyle w:val="TOC2"/>
            <w:numPr>
              <w:ilvl w:val="1"/>
              <w:numId w:val="11"/>
            </w:numPr>
            <w:tabs>
              <w:tab w:pos="1243" w:val="left" w:leader="none"/>
              <w:tab w:pos="9883" w:val="right" w:leader="dot"/>
            </w:tabs>
            <w:spacing w:line="240" w:lineRule="auto" w:before="242" w:after="0"/>
            <w:ind w:left="1242" w:right="0" w:hanging="421"/>
            <w:jc w:val="left"/>
          </w:pPr>
          <w:hyperlink w:history="true" w:anchor="_bookmark74">
            <w:r>
              <w:rPr/>
              <w:t>Presentation</w:t>
            </w:r>
            <w:r>
              <w:rPr>
                <w:spacing w:val="-1"/>
              </w:rPr>
              <w:t> </w:t>
            </w:r>
            <w:r>
              <w:rPr/>
              <w:t>of Results</w:t>
              <w:tab/>
              <w:t>90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304" w:val="left" w:leader="none"/>
              <w:tab w:pos="9883" w:val="right" w:leader="dot"/>
            </w:tabs>
            <w:spacing w:line="240" w:lineRule="auto" w:before="240" w:after="0"/>
            <w:ind w:left="1303" w:right="0" w:hanging="482"/>
            <w:jc w:val="left"/>
          </w:pPr>
          <w:hyperlink w:history="true" w:anchor="_bookmark75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Descriptive</w:t>
            </w:r>
            <w:r>
              <w:rPr>
                <w:spacing w:val="-1"/>
              </w:rPr>
              <w:t> </w:t>
            </w:r>
            <w:r>
              <w:rPr/>
              <w:t>Statistics</w:t>
              <w:tab/>
              <w:t>90</w:t>
            </w:r>
          </w:hyperlink>
        </w:p>
        <w:p>
          <w:pPr>
            <w:pStyle w:val="TOC2"/>
            <w:numPr>
              <w:ilvl w:val="2"/>
              <w:numId w:val="11"/>
            </w:numPr>
            <w:tabs>
              <w:tab w:pos="1304" w:val="left" w:leader="none"/>
              <w:tab w:pos="9883" w:val="right" w:leader="dot"/>
            </w:tabs>
            <w:spacing w:line="240" w:lineRule="auto" w:before="244" w:after="0"/>
            <w:ind w:left="1303" w:right="0" w:hanging="482"/>
            <w:jc w:val="left"/>
          </w:pPr>
          <w:hyperlink w:history="true" w:anchor="_bookmark77">
            <w:r>
              <w:rPr/>
              <w:t>:</w:t>
            </w:r>
            <w:r>
              <w:rPr>
                <w:spacing w:val="-1"/>
              </w:rPr>
              <w:t> </w:t>
            </w:r>
            <w:r>
              <w:rPr/>
              <w:t>Pearson Correlation Statistics</w:t>
              <w:tab/>
              <w:t>92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423" w:val="left" w:leader="none"/>
              <w:tab w:pos="9883" w:val="right" w:leader="dot"/>
            </w:tabs>
            <w:spacing w:line="240" w:lineRule="auto" w:before="240" w:after="0"/>
            <w:ind w:left="1422" w:right="0" w:hanging="601"/>
            <w:jc w:val="left"/>
          </w:pPr>
          <w:hyperlink w:history="true" w:anchor="_bookmark79">
            <w:r>
              <w:rPr/>
              <w:t>Panel</w:t>
            </w:r>
            <w:r>
              <w:rPr>
                <w:spacing w:val="-1"/>
              </w:rPr>
              <w:t> </w:t>
            </w:r>
            <w:r>
              <w:rPr/>
              <w:t>Unit Root</w:t>
              <w:tab/>
              <w:t>94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423" w:val="left" w:leader="none"/>
              <w:tab w:pos="9883" w:val="right" w:leader="dot"/>
            </w:tabs>
            <w:spacing w:line="240" w:lineRule="auto" w:before="242" w:after="0"/>
            <w:ind w:left="1422" w:right="0" w:hanging="601"/>
            <w:jc w:val="left"/>
          </w:pPr>
          <w:hyperlink w:history="true" w:anchor="_bookmark81">
            <w:r>
              <w:rPr/>
              <w:t>Panel</w:t>
            </w:r>
            <w:r>
              <w:rPr>
                <w:spacing w:val="-1"/>
              </w:rPr>
              <w:t> </w:t>
            </w:r>
            <w:r>
              <w:rPr/>
              <w:t>Co-integration</w:t>
              <w:tab/>
              <w:t>97</w:t>
            </w:r>
          </w:hyperlink>
        </w:p>
        <w:p>
          <w:pPr>
            <w:pStyle w:val="TOC2"/>
            <w:numPr>
              <w:ilvl w:val="2"/>
              <w:numId w:val="12"/>
            </w:numPr>
            <w:tabs>
              <w:tab w:pos="1423" w:val="left" w:leader="none"/>
              <w:tab w:pos="9883" w:val="right" w:leader="dot"/>
            </w:tabs>
            <w:spacing w:line="240" w:lineRule="auto" w:before="242" w:after="0"/>
            <w:ind w:left="1422" w:right="0" w:hanging="601"/>
            <w:jc w:val="left"/>
          </w:pPr>
          <w:hyperlink w:history="true" w:anchor="_bookmark83">
            <w:r>
              <w:rPr/>
              <w:t>Panel</w:t>
            </w:r>
            <w:r>
              <w:rPr>
                <w:spacing w:val="-1"/>
              </w:rPr>
              <w:t> </w:t>
            </w:r>
            <w:r>
              <w:rPr/>
              <w:t>Regressions</w:t>
              <w:tab/>
              <w:t>97</w:t>
            </w:r>
          </w:hyperlink>
        </w:p>
        <w:p>
          <w:pPr>
            <w:pStyle w:val="TOC2"/>
            <w:tabs>
              <w:tab w:pos="9883" w:val="right" w:leader="dot"/>
            </w:tabs>
            <w:spacing w:after="240"/>
            <w:ind w:left="822" w:firstLine="0"/>
          </w:pPr>
          <w:hyperlink w:history="true" w:anchor="_bookmark85">
            <w:r>
              <w:rPr/>
              <w:t>4.4.3</w:t>
            </w:r>
            <w:r>
              <w:rPr>
                <w:spacing w:val="-1"/>
              </w:rPr>
              <w:t> </w:t>
            </w:r>
            <w:r>
              <w:rPr/>
              <w:t>Robustness Results: Discrete Threshold Regression</w:t>
              <w:tab/>
              <w:t>101</w:t>
            </w:r>
          </w:hyperlink>
        </w:p>
        <w:p>
          <w:pPr>
            <w:pStyle w:val="TOC1"/>
            <w:spacing w:before="77"/>
          </w:pPr>
          <w:hyperlink w:history="true" w:anchor="_bookmark88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FIVE:</w:t>
            </w:r>
            <w:r>
              <w:rPr>
                <w:spacing w:val="-2"/>
              </w:rPr>
              <w:t> </w:t>
            </w:r>
          </w:hyperlink>
          <w:hyperlink w:history="true" w:anchor="_bookmark89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TEST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HYPOTHESES</w:t>
            </w:r>
          </w:hyperlink>
        </w:p>
        <w:p>
          <w:pPr>
            <w:pStyle w:val="TOC2"/>
            <w:numPr>
              <w:ilvl w:val="1"/>
              <w:numId w:val="13"/>
            </w:numPr>
            <w:tabs>
              <w:tab w:pos="1243" w:val="left" w:leader="none"/>
              <w:tab w:pos="9523" w:val="left" w:leader="dot"/>
            </w:tabs>
            <w:spacing w:line="240" w:lineRule="auto" w:before="243" w:after="0"/>
            <w:ind w:left="1242" w:right="0" w:hanging="421"/>
            <w:jc w:val="left"/>
          </w:pPr>
          <w:hyperlink w:history="true" w:anchor="_bookmark90">
            <w:r>
              <w:rPr/>
              <w:t>Introduction</w:t>
              <w:tab/>
              <w:t>107</w:t>
            </w:r>
          </w:hyperlink>
        </w:p>
        <w:p>
          <w:pPr>
            <w:pStyle w:val="TOC2"/>
            <w:numPr>
              <w:ilvl w:val="1"/>
              <w:numId w:val="13"/>
            </w:numPr>
            <w:tabs>
              <w:tab w:pos="1243" w:val="left" w:leader="none"/>
              <w:tab w:pos="9523" w:val="left" w:leader="dot"/>
            </w:tabs>
            <w:spacing w:line="240" w:lineRule="auto" w:before="242" w:after="0"/>
            <w:ind w:left="1242" w:right="0" w:hanging="421"/>
            <w:jc w:val="left"/>
          </w:pPr>
          <w:hyperlink w:history="true" w:anchor="_bookmark91">
            <w:r>
              <w:rPr/>
              <w:t>Hypotheses</w:t>
            </w:r>
            <w:r>
              <w:rPr>
                <w:spacing w:val="-1"/>
              </w:rPr>
              <w:t> </w:t>
            </w:r>
            <w:r>
              <w:rPr/>
              <w:t>Testing</w:t>
              <w:tab/>
              <w:t>107</w:t>
            </w:r>
          </w:hyperlink>
        </w:p>
        <w:p>
          <w:pPr>
            <w:pStyle w:val="TOC2"/>
            <w:numPr>
              <w:ilvl w:val="1"/>
              <w:numId w:val="13"/>
            </w:numPr>
            <w:tabs>
              <w:tab w:pos="1243" w:val="left" w:leader="none"/>
              <w:tab w:pos="9523" w:val="left" w:leader="dot"/>
            </w:tabs>
            <w:spacing w:line="240" w:lineRule="auto" w:before="241" w:after="0"/>
            <w:ind w:left="1242" w:right="0" w:hanging="421"/>
            <w:jc w:val="left"/>
          </w:pPr>
          <w:hyperlink w:history="true" w:anchor="_bookmark92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Results</w:t>
              <w:tab/>
              <w:t>110</w:t>
            </w:r>
          </w:hyperlink>
        </w:p>
        <w:p>
          <w:pPr>
            <w:pStyle w:val="TOC2"/>
            <w:numPr>
              <w:ilvl w:val="2"/>
              <w:numId w:val="13"/>
            </w:numPr>
            <w:tabs>
              <w:tab w:pos="1363" w:val="left" w:leader="none"/>
              <w:tab w:pos="9523" w:val="left" w:leader="dot"/>
            </w:tabs>
            <w:spacing w:line="240" w:lineRule="auto" w:before="242" w:after="0"/>
            <w:ind w:left="1362" w:right="0" w:hanging="541"/>
            <w:jc w:val="left"/>
          </w:pPr>
          <w:hyperlink w:history="true" w:anchor="_bookmark93">
            <w:r>
              <w:rPr/>
              <w:t>Board Independence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Tax</w:t>
            </w:r>
            <w:r>
              <w:rPr>
                <w:spacing w:val="-1"/>
              </w:rPr>
              <w:t> </w:t>
            </w:r>
            <w:r>
              <w:rPr/>
              <w:t>Aggressiveness</w:t>
              <w:tab/>
              <w:t>110</w:t>
            </w:r>
          </w:hyperlink>
        </w:p>
        <w:p>
          <w:pPr>
            <w:pStyle w:val="TOC2"/>
            <w:numPr>
              <w:ilvl w:val="2"/>
              <w:numId w:val="13"/>
            </w:numPr>
            <w:tabs>
              <w:tab w:pos="1363" w:val="left" w:leader="none"/>
              <w:tab w:pos="9523" w:val="left" w:leader="dot"/>
            </w:tabs>
            <w:spacing w:line="240" w:lineRule="auto" w:before="240" w:after="0"/>
            <w:ind w:left="1362" w:right="0" w:hanging="541"/>
            <w:jc w:val="left"/>
          </w:pPr>
          <w:r>
            <w:rPr/>
            <w:drawing>
              <wp:anchor distT="0" distB="0" distL="0" distR="0" allowOverlap="1" layoutInCell="1" locked="0" behindDoc="1" simplePos="0" relativeHeight="453996544">
                <wp:simplePos x="0" y="0"/>
                <wp:positionH relativeFrom="page">
                  <wp:posOffset>1261605</wp:posOffset>
                </wp:positionH>
                <wp:positionV relativeFrom="paragraph">
                  <wp:posOffset>287440</wp:posOffset>
                </wp:positionV>
                <wp:extent cx="5133225" cy="5265293"/>
                <wp:effectExtent l="0" t="0" r="0" b="0"/>
                <wp:wrapNone/>
                <wp:docPr id="19" name="image4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20" name="image4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33225" cy="5265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94">
            <w:r>
              <w:rPr/>
              <w:t>Board</w:t>
            </w:r>
            <w:r>
              <w:rPr>
                <w:spacing w:val="-2"/>
              </w:rPr>
              <w:t> </w:t>
            </w:r>
            <w:r>
              <w:rPr/>
              <w:t>Size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Tax Aggressiveness</w:t>
              <w:tab/>
              <w:t>111</w:t>
            </w:r>
          </w:hyperlink>
        </w:p>
        <w:p>
          <w:pPr>
            <w:pStyle w:val="TOC2"/>
            <w:tabs>
              <w:tab w:pos="9523" w:val="left" w:leader="dot"/>
            </w:tabs>
            <w:spacing w:before="242"/>
            <w:ind w:left="822" w:firstLine="0"/>
          </w:pPr>
          <w:hyperlink w:history="true" w:anchor="_bookmark95">
            <w:r>
              <w:rPr/>
              <w:t>5.3.</w:t>
            </w:r>
            <w:r>
              <w:rPr>
                <w:spacing w:val="-1"/>
              </w:rPr>
              <w:t> </w:t>
            </w:r>
            <w:r>
              <w:rPr/>
              <w:t>Board</w:t>
            </w:r>
            <w:r>
              <w:rPr>
                <w:spacing w:val="-1"/>
              </w:rPr>
              <w:t> </w:t>
            </w:r>
            <w:r>
              <w:rPr/>
              <w:t>gender diversity</w:t>
            </w:r>
            <w:r>
              <w:rPr>
                <w:spacing w:val="-1"/>
              </w:rPr>
              <w:t> </w:t>
            </w:r>
            <w:r>
              <w:rPr/>
              <w:t>and tax</w:t>
            </w:r>
            <w:r>
              <w:rPr>
                <w:spacing w:val="-1"/>
              </w:rPr>
              <w:t> </w:t>
            </w:r>
            <w:r>
              <w:rPr/>
              <w:t>aggressiveness</w:t>
              <w:tab/>
              <w:t>112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423" w:val="left" w:leader="none"/>
              <w:tab w:pos="9523" w:val="left" w:leader="dot"/>
            </w:tabs>
            <w:spacing w:line="240" w:lineRule="auto" w:before="241" w:after="0"/>
            <w:ind w:left="1422" w:right="0" w:hanging="601"/>
            <w:jc w:val="left"/>
          </w:pPr>
          <w:hyperlink w:history="true" w:anchor="_bookmark96">
            <w:r>
              <w:rPr/>
              <w:t>Ownership</w:t>
            </w:r>
            <w:r>
              <w:rPr>
                <w:spacing w:val="-2"/>
              </w:rPr>
              <w:t> </w:t>
            </w:r>
            <w:r>
              <w:rPr/>
              <w:t>structure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tax</w:t>
            </w:r>
            <w:r>
              <w:rPr>
                <w:spacing w:val="-2"/>
              </w:rPr>
              <w:t> </w:t>
            </w:r>
            <w:r>
              <w:rPr/>
              <w:t>aggressiveness</w:t>
              <w:tab/>
              <w:t>114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423" w:val="left" w:leader="none"/>
              <w:tab w:pos="9523" w:val="left" w:leader="dot"/>
            </w:tabs>
            <w:spacing w:line="240" w:lineRule="auto" w:before="242" w:after="0"/>
            <w:ind w:left="1422" w:right="0" w:hanging="601"/>
            <w:jc w:val="left"/>
          </w:pPr>
          <w:hyperlink w:history="true" w:anchor="_bookmark97">
            <w:r>
              <w:rPr/>
              <w:t>CEO</w:t>
            </w:r>
            <w:r>
              <w:rPr>
                <w:spacing w:val="-2"/>
              </w:rPr>
              <w:t> </w:t>
            </w:r>
            <w:r>
              <w:rPr/>
              <w:t>age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tax aggressiveness</w:t>
              <w:tab/>
              <w:t>115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423" w:val="left" w:leader="none"/>
              <w:tab w:pos="9523" w:val="left" w:leader="dot"/>
            </w:tabs>
            <w:spacing w:line="240" w:lineRule="auto" w:before="243" w:after="0"/>
            <w:ind w:left="1422" w:right="0" w:hanging="601"/>
            <w:jc w:val="left"/>
          </w:pPr>
          <w:hyperlink w:history="true" w:anchor="_bookmark98">
            <w:r>
              <w:rPr/>
              <w:t>CEO</w:t>
            </w:r>
            <w:r>
              <w:rPr>
                <w:spacing w:val="-2"/>
              </w:rPr>
              <w:t> </w:t>
            </w:r>
            <w:r>
              <w:rPr/>
              <w:t>tenure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tax</w:t>
            </w:r>
            <w:r>
              <w:rPr>
                <w:spacing w:val="-1"/>
              </w:rPr>
              <w:t> </w:t>
            </w:r>
            <w:r>
              <w:rPr/>
              <w:t>aggressiveness</w:t>
              <w:tab/>
              <w:t>116</w:t>
            </w:r>
          </w:hyperlink>
        </w:p>
        <w:p>
          <w:pPr>
            <w:pStyle w:val="TOC2"/>
            <w:numPr>
              <w:ilvl w:val="2"/>
              <w:numId w:val="14"/>
            </w:numPr>
            <w:tabs>
              <w:tab w:pos="1423" w:val="left" w:leader="none"/>
              <w:tab w:pos="9523" w:val="left" w:leader="dot"/>
            </w:tabs>
            <w:spacing w:line="240" w:lineRule="auto" w:before="240" w:after="0"/>
            <w:ind w:left="1422" w:right="0" w:hanging="601"/>
            <w:jc w:val="left"/>
          </w:pPr>
          <w:hyperlink w:history="true" w:anchor="_bookmark99">
            <w:r>
              <w:rPr/>
              <w:t>CEO</w:t>
            </w:r>
            <w:r>
              <w:rPr>
                <w:spacing w:val="-2"/>
              </w:rPr>
              <w:t> </w:t>
            </w:r>
            <w:r>
              <w:rPr/>
              <w:t>ownership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tax</w:t>
            </w:r>
            <w:r>
              <w:rPr>
                <w:spacing w:val="-1"/>
              </w:rPr>
              <w:t> </w:t>
            </w:r>
            <w:r>
              <w:rPr/>
              <w:t>aggressiveness</w:t>
              <w:tab/>
              <w:t>117</w:t>
            </w:r>
          </w:hyperlink>
        </w:p>
        <w:p>
          <w:pPr>
            <w:pStyle w:val="TOC1"/>
            <w:spacing w:line="276" w:lineRule="auto"/>
            <w:ind w:right="2881"/>
          </w:pPr>
          <w:hyperlink w:history="true" w:anchor="_bookmark100">
            <w:r>
              <w:rPr/>
              <w:t>CHAPTER SIX: </w:t>
            </w:r>
          </w:hyperlink>
          <w:hyperlink w:history="true" w:anchor="_bookmark101">
            <w:r>
              <w:rPr/>
              <w:t>SUMMARY OF FINDINGS, CONCLUSION AND</w:t>
            </w:r>
          </w:hyperlink>
          <w:r>
            <w:rPr>
              <w:spacing w:val="-57"/>
            </w:rPr>
            <w:t> </w:t>
          </w:r>
          <w:hyperlink w:history="true" w:anchor="_bookmark101">
            <w:r>
              <w:rPr/>
              <w:t>RECOMMENDATION</w:t>
            </w:r>
          </w:hyperlink>
        </w:p>
        <w:p>
          <w:pPr>
            <w:pStyle w:val="TOC2"/>
            <w:numPr>
              <w:ilvl w:val="1"/>
              <w:numId w:val="15"/>
            </w:numPr>
            <w:tabs>
              <w:tab w:pos="1243" w:val="left" w:leader="none"/>
              <w:tab w:pos="9523" w:val="left" w:leader="dot"/>
            </w:tabs>
            <w:spacing w:line="240" w:lineRule="auto" w:before="201" w:after="0"/>
            <w:ind w:left="1242" w:right="0" w:hanging="421"/>
            <w:jc w:val="left"/>
          </w:pPr>
          <w:hyperlink w:history="true" w:anchor="_bookmark102">
            <w:r>
              <w:rPr/>
              <w:t>Introduction</w:t>
              <w:tab/>
              <w:t>119</w:t>
            </w:r>
          </w:hyperlink>
        </w:p>
        <w:p>
          <w:pPr>
            <w:pStyle w:val="TOC2"/>
            <w:numPr>
              <w:ilvl w:val="1"/>
              <w:numId w:val="15"/>
            </w:numPr>
            <w:tabs>
              <w:tab w:pos="1243" w:val="left" w:leader="none"/>
              <w:tab w:pos="9523" w:val="left" w:leader="dot"/>
            </w:tabs>
            <w:spacing w:line="240" w:lineRule="auto" w:before="240" w:after="0"/>
            <w:ind w:left="1242" w:right="0" w:hanging="421"/>
            <w:jc w:val="left"/>
          </w:pPr>
          <w:hyperlink w:history="true" w:anchor="_bookmark103">
            <w:r>
              <w:rPr/>
              <w:t>Summary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Findings</w:t>
              <w:tab/>
              <w:t>119</w:t>
            </w:r>
          </w:hyperlink>
        </w:p>
        <w:p>
          <w:pPr>
            <w:pStyle w:val="TOC2"/>
            <w:numPr>
              <w:ilvl w:val="1"/>
              <w:numId w:val="15"/>
            </w:numPr>
            <w:tabs>
              <w:tab w:pos="1243" w:val="left" w:leader="none"/>
              <w:tab w:pos="9523" w:val="left" w:leader="dot"/>
            </w:tabs>
            <w:spacing w:line="240" w:lineRule="auto" w:before="243" w:after="0"/>
            <w:ind w:left="1242" w:right="0" w:hanging="421"/>
            <w:jc w:val="left"/>
          </w:pPr>
          <w:hyperlink w:history="true" w:anchor="_bookmark104">
            <w:r>
              <w:rPr/>
              <w:t>Conclusion</w:t>
              <w:tab/>
              <w:t>121</w:t>
            </w:r>
          </w:hyperlink>
        </w:p>
        <w:p>
          <w:pPr>
            <w:pStyle w:val="TOC2"/>
            <w:numPr>
              <w:ilvl w:val="1"/>
              <w:numId w:val="15"/>
            </w:numPr>
            <w:tabs>
              <w:tab w:pos="1243" w:val="left" w:leader="none"/>
              <w:tab w:pos="9523" w:val="left" w:leader="dot"/>
            </w:tabs>
            <w:spacing w:line="240" w:lineRule="auto" w:before="240" w:after="0"/>
            <w:ind w:left="1242" w:right="0" w:hanging="421"/>
            <w:jc w:val="left"/>
          </w:pPr>
          <w:hyperlink w:history="true" w:anchor="_bookmark105">
            <w:r>
              <w:rPr/>
              <w:t>Recommendation</w:t>
              <w:tab/>
              <w:t>122</w:t>
            </w:r>
          </w:hyperlink>
        </w:p>
        <w:p>
          <w:pPr>
            <w:pStyle w:val="TOC2"/>
            <w:numPr>
              <w:ilvl w:val="1"/>
              <w:numId w:val="15"/>
            </w:numPr>
            <w:tabs>
              <w:tab w:pos="1243" w:val="left" w:leader="none"/>
              <w:tab w:pos="9523" w:val="left" w:leader="dot"/>
            </w:tabs>
            <w:spacing w:line="240" w:lineRule="auto" w:before="242" w:after="0"/>
            <w:ind w:left="1242" w:right="0" w:hanging="421"/>
            <w:jc w:val="left"/>
          </w:pPr>
          <w:hyperlink w:history="true" w:anchor="_bookmark106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123</w:t>
            </w:r>
          </w:hyperlink>
        </w:p>
        <w:p>
          <w:pPr>
            <w:pStyle w:val="TOC2"/>
            <w:numPr>
              <w:ilvl w:val="1"/>
              <w:numId w:val="15"/>
            </w:numPr>
            <w:tabs>
              <w:tab w:pos="1243" w:val="left" w:leader="none"/>
              <w:tab w:pos="9523" w:val="left" w:leader="dot"/>
            </w:tabs>
            <w:spacing w:line="240" w:lineRule="auto" w:before="240" w:after="0"/>
            <w:ind w:left="1242" w:right="0" w:hanging="421"/>
            <w:jc w:val="left"/>
          </w:pPr>
          <w:hyperlink w:history="true" w:anchor="_bookmark107">
            <w:r>
              <w:rPr/>
              <w:t>Recommendation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Further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125</w:t>
            </w:r>
          </w:hyperlink>
        </w:p>
        <w:p>
          <w:pPr>
            <w:pStyle w:val="TOC1"/>
            <w:tabs>
              <w:tab w:pos="9523" w:val="left" w:leader="dot"/>
            </w:tabs>
          </w:pPr>
          <w:hyperlink w:history="true" w:anchor="_bookmark108">
            <w:r>
              <w:rPr/>
              <w:t>REFERENCES</w:t>
              <w:tab/>
              <w:t>126</w:t>
            </w:r>
          </w:hyperlink>
        </w:p>
        <w:p>
          <w:pPr>
            <w:pStyle w:val="TOC1"/>
            <w:tabs>
              <w:tab w:pos="9523" w:val="left" w:leader="dot"/>
            </w:tabs>
            <w:spacing w:before="243"/>
          </w:pPr>
          <w:hyperlink w:history="true" w:anchor="_bookmark109">
            <w:r>
              <w:rPr/>
              <w:t>APPENDICES</w:t>
              <w:tab/>
              <w:t>146</w:t>
            </w:r>
          </w:hyperlink>
        </w:p>
        <w:p>
          <w:pPr>
            <w:pStyle w:val="TOC2"/>
            <w:tabs>
              <w:tab w:pos="9523" w:val="left" w:leader="dot"/>
            </w:tabs>
            <w:spacing w:before="241"/>
            <w:ind w:left="822" w:firstLine="0"/>
          </w:pPr>
          <w:hyperlink w:history="true" w:anchor="_bookmark110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1:</w:t>
            </w:r>
            <w:r>
              <w:rPr>
                <w:spacing w:val="-1"/>
              </w:rPr>
              <w:t> </w:t>
            </w:r>
          </w:hyperlink>
          <w:hyperlink w:history="true" w:anchor="_bookmark111">
            <w:r>
              <w:rPr/>
              <w:t>Result Output</w:t>
              <w:tab/>
              <w:t>146</w:t>
            </w:r>
          </w:hyperlink>
        </w:p>
        <w:p>
          <w:pPr>
            <w:pStyle w:val="TOC2"/>
            <w:tabs>
              <w:tab w:pos="9523" w:val="left" w:leader="dot"/>
            </w:tabs>
            <w:spacing w:before="242"/>
            <w:ind w:left="822" w:firstLine="0"/>
          </w:pPr>
          <w:hyperlink w:history="true" w:anchor="_bookmark112">
            <w:r>
              <w:rPr/>
              <w:t>APPENDIX II:</w:t>
            </w:r>
            <w:r>
              <w:rPr>
                <w:spacing w:val="-1"/>
              </w:rPr>
              <w:t> </w:t>
            </w:r>
          </w:hyperlink>
          <w:hyperlink w:history="true" w:anchor="_bookmark113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Companies</w:t>
              <w:tab/>
              <w:t>163</w:t>
            </w:r>
          </w:hyperlink>
        </w:p>
        <w:p>
          <w:pPr>
            <w:pStyle w:val="TOC2"/>
            <w:tabs>
              <w:tab w:pos="9523" w:val="left" w:leader="dot"/>
            </w:tabs>
            <w:ind w:left="822" w:firstLine="0"/>
          </w:pPr>
          <w:hyperlink w:history="true" w:anchor="_bookmark114">
            <w:r>
              <w:rPr/>
              <w:t>APPENDIX</w:t>
            </w:r>
            <w:r>
              <w:rPr>
                <w:spacing w:val="-1"/>
              </w:rPr>
              <w:t> </w:t>
            </w:r>
            <w:r>
              <w:rPr/>
              <w:t>III:</w:t>
            </w:r>
            <w:r>
              <w:rPr>
                <w:spacing w:val="-2"/>
              </w:rPr>
              <w:t> </w:t>
            </w:r>
          </w:hyperlink>
          <w:hyperlink w:history="true" w:anchor="_bookmark115">
            <w:r>
              <w:rPr/>
              <w:t>Data</w:t>
              <w:tab/>
              <w:t>181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140" w:bottom="1872" w:left="880" w:right="300"/>
        </w:sectPr>
      </w:pPr>
    </w:p>
    <w:p>
      <w:pPr>
        <w:pStyle w:val="Heading1"/>
        <w:ind w:left="2166" w:right="2175"/>
        <w:jc w:val="center"/>
      </w:pPr>
      <w:bookmarkStart w:name="_bookmark6" w:id="7"/>
      <w:bookmarkEnd w:id="7"/>
      <w:r>
        <w:rPr>
          <w:b w:val="0"/>
        </w:rPr>
      </w: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tabs>
          <w:tab w:pos="9643" w:val="left" w:leader="dot"/>
        </w:tabs>
        <w:spacing w:before="179"/>
        <w:ind w:left="822" w:right="0" w:firstLine="0"/>
        <w:jc w:val="left"/>
        <w:rPr>
          <w:sz w:val="24"/>
        </w:rPr>
      </w:pPr>
      <w:hyperlink w:history="true" w:anchor="_bookmark60">
        <w:r>
          <w:rPr>
            <w:b/>
            <w:sz w:val="24"/>
          </w:rPr>
          <w:t>Table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2.1:</w:t>
        </w:r>
        <w:r>
          <w:rPr>
            <w:b/>
            <w:spacing w:val="-1"/>
            <w:sz w:val="24"/>
          </w:rPr>
          <w:t> </w:t>
        </w:r>
        <w:r>
          <w:rPr>
            <w:sz w:val="24"/>
          </w:rPr>
          <w:t>Summary</w:t>
        </w:r>
        <w:r>
          <w:rPr>
            <w:spacing w:val="-1"/>
            <w:sz w:val="24"/>
          </w:rPr>
          <w:t> </w:t>
        </w:r>
        <w:r>
          <w:rPr>
            <w:sz w:val="24"/>
          </w:rPr>
          <w:t>of</w:t>
        </w:r>
        <w:r>
          <w:rPr>
            <w:spacing w:val="-2"/>
            <w:sz w:val="24"/>
          </w:rPr>
          <w:t> </w:t>
        </w:r>
        <w:r>
          <w:rPr>
            <w:sz w:val="24"/>
          </w:rPr>
          <w:t>Literature</w:t>
        </w:r>
        <w:r>
          <w:rPr>
            <w:spacing w:val="-2"/>
            <w:sz w:val="24"/>
          </w:rPr>
          <w:t> </w:t>
        </w:r>
        <w:r>
          <w:rPr>
            <w:sz w:val="24"/>
          </w:rPr>
          <w:t>Review</w:t>
          <w:tab/>
          <w:t>80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tabs>
          <w:tab w:pos="9643" w:val="left" w:leader="dot"/>
        </w:tabs>
        <w:spacing w:before="177"/>
        <w:ind w:left="822" w:right="0" w:firstLine="0"/>
        <w:jc w:val="left"/>
        <w:rPr>
          <w:sz w:val="24"/>
        </w:rPr>
      </w:pPr>
      <w:hyperlink w:history="true" w:anchor="_bookmark70">
        <w:r>
          <w:rPr>
            <w:b/>
            <w:sz w:val="24"/>
          </w:rPr>
          <w:t>Table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3.1:</w:t>
        </w:r>
        <w:r>
          <w:rPr>
            <w:b/>
            <w:spacing w:val="-2"/>
            <w:sz w:val="24"/>
          </w:rPr>
          <w:t> </w:t>
        </w:r>
        <w:r>
          <w:rPr>
            <w:sz w:val="24"/>
          </w:rPr>
          <w:t>Variable</w:t>
        </w:r>
        <w:r>
          <w:rPr>
            <w:spacing w:val="-1"/>
            <w:sz w:val="24"/>
          </w:rPr>
          <w:t> </w:t>
        </w:r>
        <w:r>
          <w:rPr>
            <w:sz w:val="24"/>
          </w:rPr>
          <w:t>Measurement</w:t>
        </w:r>
        <w:r>
          <w:rPr>
            <w:spacing w:val="-1"/>
            <w:sz w:val="24"/>
          </w:rPr>
          <w:t> </w:t>
        </w:r>
        <w:r>
          <w:rPr>
            <w:sz w:val="24"/>
          </w:rPr>
          <w:t>and</w:t>
        </w:r>
        <w:r>
          <w:rPr>
            <w:spacing w:val="-1"/>
            <w:sz w:val="24"/>
          </w:rPr>
          <w:t> </w:t>
        </w:r>
        <w:r>
          <w:rPr>
            <w:sz w:val="24"/>
          </w:rPr>
          <w:t>Source</w:t>
          <w:tab/>
          <w:t>89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tabs>
          <w:tab w:pos="9643" w:val="left" w:leader="dot"/>
        </w:tabs>
        <w:spacing w:before="176"/>
        <w:ind w:left="822" w:right="0" w:firstLine="0"/>
        <w:jc w:val="left"/>
        <w:rPr>
          <w:sz w:val="24"/>
        </w:rPr>
      </w:pPr>
      <w:hyperlink w:history="true" w:anchor="_bookmark76">
        <w:r>
          <w:rPr>
            <w:b/>
            <w:sz w:val="24"/>
          </w:rPr>
          <w:t>Table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4.1:</w:t>
        </w:r>
        <w:r>
          <w:rPr>
            <w:b/>
            <w:spacing w:val="-2"/>
            <w:sz w:val="24"/>
          </w:rPr>
          <w:t> </w:t>
        </w:r>
        <w:r>
          <w:rPr>
            <w:sz w:val="24"/>
          </w:rPr>
          <w:t>Descriptive</w:t>
        </w:r>
        <w:r>
          <w:rPr>
            <w:spacing w:val="-1"/>
            <w:sz w:val="24"/>
          </w:rPr>
          <w:t> </w:t>
        </w:r>
        <w:r>
          <w:rPr>
            <w:sz w:val="24"/>
          </w:rPr>
          <w:t>Statistics</w:t>
          <w:tab/>
          <w:t>90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tabs>
          <w:tab w:pos="9643" w:val="left" w:leader="dot"/>
        </w:tabs>
        <w:spacing w:before="178"/>
        <w:ind w:left="82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3997056">
            <wp:simplePos x="0" y="0"/>
            <wp:positionH relativeFrom="page">
              <wp:posOffset>1261605</wp:posOffset>
            </wp:positionH>
            <wp:positionV relativeFrom="paragraph">
              <wp:posOffset>-20153</wp:posOffset>
            </wp:positionV>
            <wp:extent cx="5133225" cy="5265293"/>
            <wp:effectExtent l="0" t="0" r="0" b="0"/>
            <wp:wrapNone/>
            <wp:docPr id="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w:history="true" w:anchor="_bookmark78">
        <w:r>
          <w:rPr>
            <w:b/>
            <w:sz w:val="24"/>
          </w:rPr>
          <w:t>Table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4.2:</w:t>
        </w:r>
        <w:r>
          <w:rPr>
            <w:b/>
            <w:spacing w:val="-2"/>
            <w:sz w:val="24"/>
          </w:rPr>
          <w:t> </w:t>
        </w:r>
        <w:r>
          <w:rPr>
            <w:sz w:val="24"/>
          </w:rPr>
          <w:t>Pearson Correlation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Result</w:t>
          <w:tab/>
          <w:t>92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tabs>
          <w:tab w:pos="9643" w:val="left" w:leader="dot"/>
        </w:tabs>
        <w:spacing w:before="177"/>
        <w:ind w:left="822" w:right="0" w:firstLine="0"/>
        <w:jc w:val="left"/>
        <w:rPr>
          <w:sz w:val="24"/>
        </w:rPr>
      </w:pPr>
      <w:hyperlink w:history="true" w:anchor="_bookmark80">
        <w:r>
          <w:rPr>
            <w:b/>
            <w:sz w:val="24"/>
          </w:rPr>
          <w:t>Table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4.3:</w:t>
        </w:r>
        <w:r>
          <w:rPr>
            <w:b/>
            <w:spacing w:val="-2"/>
            <w:sz w:val="24"/>
          </w:rPr>
          <w:t> </w:t>
        </w:r>
        <w:r>
          <w:rPr>
            <w:sz w:val="24"/>
          </w:rPr>
          <w:t>Panel Unit</w:t>
        </w:r>
        <w:r>
          <w:rPr>
            <w:spacing w:val="-1"/>
            <w:sz w:val="24"/>
          </w:rPr>
          <w:t> </w:t>
        </w:r>
        <w:r>
          <w:rPr>
            <w:sz w:val="24"/>
          </w:rPr>
          <w:t>root Test</w:t>
          <w:tab/>
          <w:t>94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tabs>
          <w:tab w:pos="9643" w:val="left" w:leader="dot"/>
        </w:tabs>
        <w:spacing w:before="177"/>
        <w:ind w:left="822" w:right="0" w:firstLine="0"/>
        <w:jc w:val="left"/>
        <w:rPr>
          <w:sz w:val="24"/>
        </w:rPr>
      </w:pPr>
      <w:hyperlink w:history="true" w:anchor="_bookmark82">
        <w:r>
          <w:rPr>
            <w:b/>
            <w:sz w:val="24"/>
          </w:rPr>
          <w:t>Table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4.4:</w:t>
        </w:r>
        <w:r>
          <w:rPr>
            <w:b/>
            <w:spacing w:val="-2"/>
            <w:sz w:val="24"/>
          </w:rPr>
          <w:t> </w:t>
        </w:r>
        <w:r>
          <w:rPr>
            <w:sz w:val="24"/>
          </w:rPr>
          <w:t>Kao</w:t>
        </w:r>
        <w:r>
          <w:rPr>
            <w:spacing w:val="-1"/>
            <w:sz w:val="24"/>
          </w:rPr>
          <w:t> </w:t>
        </w:r>
        <w:r>
          <w:rPr>
            <w:sz w:val="24"/>
          </w:rPr>
          <w:t>Panel</w:t>
        </w:r>
        <w:r>
          <w:rPr>
            <w:spacing w:val="-1"/>
            <w:sz w:val="24"/>
          </w:rPr>
          <w:t> </w:t>
        </w:r>
        <w:r>
          <w:rPr>
            <w:sz w:val="24"/>
          </w:rPr>
          <w:t>Cointegration</w:t>
        </w:r>
        <w:r>
          <w:rPr>
            <w:spacing w:val="-1"/>
            <w:sz w:val="24"/>
          </w:rPr>
          <w:t> </w:t>
        </w:r>
        <w:r>
          <w:rPr>
            <w:sz w:val="24"/>
          </w:rPr>
          <w:t>Test</w:t>
          <w:tab/>
          <w:t>97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tabs>
          <w:tab w:pos="9643" w:val="left" w:leader="dot"/>
        </w:tabs>
        <w:spacing w:before="178"/>
        <w:ind w:left="822" w:right="0" w:firstLine="0"/>
        <w:jc w:val="left"/>
        <w:rPr>
          <w:sz w:val="24"/>
        </w:rPr>
      </w:pPr>
      <w:hyperlink w:history="true" w:anchor="_bookmark84">
        <w:r>
          <w:rPr>
            <w:b/>
            <w:sz w:val="24"/>
          </w:rPr>
          <w:t>Table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4.5:</w:t>
        </w:r>
        <w:r>
          <w:rPr>
            <w:b/>
            <w:spacing w:val="58"/>
            <w:sz w:val="24"/>
          </w:rPr>
          <w:t> </w:t>
        </w:r>
        <w:r>
          <w:rPr>
            <w:sz w:val="24"/>
          </w:rPr>
          <w:t>Regression</w:t>
        </w:r>
        <w:r>
          <w:rPr>
            <w:spacing w:val="-1"/>
            <w:sz w:val="24"/>
          </w:rPr>
          <w:t> </w:t>
        </w:r>
        <w:r>
          <w:rPr>
            <w:sz w:val="24"/>
          </w:rPr>
          <w:t>Result</w:t>
          <w:tab/>
          <w:t>98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tabs>
          <w:tab w:pos="9523" w:val="left" w:leader="dot"/>
        </w:tabs>
        <w:spacing w:before="176"/>
        <w:jc w:val="left"/>
      </w:pPr>
      <w:hyperlink w:history="true" w:anchor="_bookmark86">
        <w:r>
          <w:rPr>
            <w:b/>
          </w:rPr>
          <w:t>Table</w:t>
        </w:r>
        <w:r>
          <w:rPr>
            <w:b/>
            <w:spacing w:val="-1"/>
          </w:rPr>
          <w:t> </w:t>
        </w:r>
        <w:r>
          <w:rPr>
            <w:b/>
          </w:rPr>
          <w:t>4.6:</w:t>
        </w:r>
        <w:r>
          <w:rPr>
            <w:b/>
            <w:spacing w:val="-2"/>
          </w:rPr>
          <w:t> </w:t>
        </w:r>
        <w:r>
          <w:rPr/>
          <w:t>Tests</w:t>
        </w:r>
        <w:r>
          <w:rPr>
            <w:spacing w:val="-1"/>
          </w:rPr>
          <w:t> </w:t>
        </w:r>
        <w:r>
          <w:rPr/>
          <w:t>for</w:t>
        </w:r>
        <w:r>
          <w:rPr>
            <w:spacing w:val="-3"/>
          </w:rPr>
          <w:t> </w:t>
        </w:r>
        <w:r>
          <w:rPr/>
          <w:t>threshold effects</w:t>
        </w:r>
        <w:r>
          <w:rPr>
            <w:spacing w:val="-1"/>
          </w:rPr>
          <w:t> </w:t>
        </w:r>
        <w:r>
          <w:rPr/>
          <w:t>between</w:t>
        </w:r>
        <w:r>
          <w:rPr>
            <w:spacing w:val="-1"/>
          </w:rPr>
          <w:t> </w:t>
        </w:r>
        <w:r>
          <w:rPr/>
          <w:t>CG</w:t>
        </w:r>
        <w:r>
          <w:rPr>
            <w:spacing w:val="-1"/>
          </w:rPr>
          <w:t> </w:t>
        </w:r>
        <w:r>
          <w:rPr/>
          <w:t>and Tax</w:t>
        </w:r>
        <w:r>
          <w:rPr>
            <w:spacing w:val="-1"/>
          </w:rPr>
          <w:t> </w:t>
        </w:r>
        <w:r>
          <w:rPr/>
          <w:t>aggressiveness</w:t>
          <w:tab/>
          <w:t>102</w:t>
        </w:r>
      </w:hyperlink>
    </w:p>
    <w:p>
      <w:pPr>
        <w:pStyle w:val="BodyText"/>
        <w:ind w:left="0"/>
        <w:jc w:val="left"/>
        <w:rPr>
          <w:sz w:val="26"/>
        </w:rPr>
      </w:pPr>
    </w:p>
    <w:p>
      <w:pPr>
        <w:tabs>
          <w:tab w:pos="9523" w:val="left" w:leader="dot"/>
        </w:tabs>
        <w:spacing w:before="177"/>
        <w:ind w:left="822" w:right="0" w:firstLine="0"/>
        <w:jc w:val="left"/>
        <w:rPr>
          <w:sz w:val="24"/>
        </w:rPr>
      </w:pPr>
      <w:hyperlink w:history="true" w:anchor="_bookmark87">
        <w:r>
          <w:rPr>
            <w:b/>
            <w:sz w:val="24"/>
          </w:rPr>
          <w:t>Table</w:t>
        </w:r>
        <w:r>
          <w:rPr>
            <w:b/>
            <w:spacing w:val="-1"/>
            <w:sz w:val="24"/>
          </w:rPr>
          <w:t> </w:t>
        </w:r>
        <w:r>
          <w:rPr>
            <w:b/>
            <w:sz w:val="24"/>
          </w:rPr>
          <w:t>4.7:</w:t>
        </w:r>
        <w:r>
          <w:rPr>
            <w:b/>
            <w:spacing w:val="58"/>
            <w:sz w:val="24"/>
          </w:rPr>
          <w:t> </w:t>
        </w:r>
        <w:r>
          <w:rPr>
            <w:sz w:val="24"/>
          </w:rPr>
          <w:t>Threshold</w:t>
        </w:r>
        <w:r>
          <w:rPr>
            <w:spacing w:val="-1"/>
            <w:sz w:val="24"/>
          </w:rPr>
          <w:t> </w:t>
        </w:r>
        <w:r>
          <w:rPr>
            <w:sz w:val="24"/>
          </w:rPr>
          <w:t>Estimates Result</w:t>
          <w:tab/>
          <w:t>103</w:t>
        </w:r>
      </w:hyperlink>
    </w:p>
    <w:p>
      <w:pPr>
        <w:spacing w:after="0"/>
        <w:jc w:val="left"/>
        <w:rPr>
          <w:sz w:val="24"/>
        </w:rPr>
        <w:sectPr>
          <w:pgSz w:w="11910" w:h="16840"/>
          <w:pgMar w:header="0" w:footer="1482" w:top="1120" w:bottom="1680" w:left="880" w:right="300"/>
        </w:sectPr>
      </w:pPr>
    </w:p>
    <w:p>
      <w:pPr>
        <w:pStyle w:val="Heading1"/>
        <w:ind w:left="2165" w:right="2175"/>
        <w:jc w:val="center"/>
      </w:pPr>
      <w:bookmarkStart w:name="_bookmark7" w:id="8"/>
      <w:bookmarkEnd w:id="8"/>
      <w:r>
        <w:rPr>
          <w:b w:val="0"/>
        </w:rPr>
      </w:r>
      <w:r>
        <w:rPr/>
        <w:t>ABSTRACT</w:t>
      </w:r>
    </w:p>
    <w:p>
      <w:pPr>
        <w:pStyle w:val="BodyText"/>
        <w:spacing w:before="7"/>
        <w:ind w:left="0"/>
        <w:jc w:val="left"/>
        <w:rPr>
          <w:b/>
          <w:sz w:val="29"/>
        </w:rPr>
      </w:pPr>
    </w:p>
    <w:p>
      <w:pPr>
        <w:spacing w:line="276" w:lineRule="auto" w:before="0"/>
        <w:ind w:left="822" w:right="824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53997568">
            <wp:simplePos x="0" y="0"/>
            <wp:positionH relativeFrom="page">
              <wp:posOffset>1261605</wp:posOffset>
            </wp:positionH>
            <wp:positionV relativeFrom="paragraph">
              <wp:posOffset>1386580</wp:posOffset>
            </wp:positionV>
            <wp:extent cx="5133225" cy="5265293"/>
            <wp:effectExtent l="0" t="0" r="0" b="0"/>
            <wp:wrapNone/>
            <wp:docPr id="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Corporate</w:t>
      </w:r>
      <w:r>
        <w:rPr>
          <w:spacing w:val="-13"/>
          <w:sz w:val="22"/>
        </w:rPr>
        <w:t> </w:t>
      </w:r>
      <w:r>
        <w:rPr>
          <w:sz w:val="22"/>
        </w:rPr>
        <w:t>tax</w:t>
      </w:r>
      <w:r>
        <w:rPr>
          <w:spacing w:val="-11"/>
          <w:sz w:val="22"/>
        </w:rPr>
        <w:t> </w:t>
      </w:r>
      <w:r>
        <w:rPr>
          <w:sz w:val="22"/>
        </w:rPr>
        <w:t>aggressiveness</w:t>
      </w:r>
      <w:r>
        <w:rPr>
          <w:spacing w:val="-10"/>
          <w:sz w:val="22"/>
        </w:rPr>
        <w:t> </w:t>
      </w:r>
      <w:r>
        <w:rPr>
          <w:sz w:val="22"/>
        </w:rPr>
        <w:t>is</w:t>
      </w:r>
      <w:r>
        <w:rPr>
          <w:spacing w:val="-10"/>
          <w:sz w:val="22"/>
        </w:rPr>
        <w:t> </w:t>
      </w:r>
      <w:r>
        <w:rPr>
          <w:sz w:val="22"/>
        </w:rPr>
        <w:t>an</w:t>
      </w:r>
      <w:r>
        <w:rPr>
          <w:spacing w:val="-12"/>
          <w:sz w:val="22"/>
        </w:rPr>
        <w:t> </w:t>
      </w:r>
      <w:r>
        <w:rPr>
          <w:sz w:val="22"/>
        </w:rPr>
        <w:t>ongoing</w:t>
      </w:r>
      <w:r>
        <w:rPr>
          <w:spacing w:val="-11"/>
          <w:sz w:val="22"/>
        </w:rPr>
        <w:t> </w:t>
      </w:r>
      <w:r>
        <w:rPr>
          <w:sz w:val="22"/>
        </w:rPr>
        <w:t>practice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several</w:t>
      </w:r>
      <w:r>
        <w:rPr>
          <w:spacing w:val="-11"/>
          <w:sz w:val="22"/>
        </w:rPr>
        <w:t> </w:t>
      </w:r>
      <w:r>
        <w:rPr>
          <w:sz w:val="22"/>
        </w:rPr>
        <w:t>corporations</w:t>
      </w:r>
      <w:r>
        <w:rPr>
          <w:spacing w:val="-13"/>
          <w:sz w:val="22"/>
        </w:rPr>
        <w:t> </w:t>
      </w:r>
      <w:r>
        <w:rPr>
          <w:sz w:val="22"/>
        </w:rPr>
        <w:t>both</w:t>
      </w:r>
      <w:r>
        <w:rPr>
          <w:spacing w:val="-13"/>
          <w:sz w:val="22"/>
        </w:rPr>
        <w:t> </w:t>
      </w:r>
      <w:r>
        <w:rPr>
          <w:sz w:val="22"/>
        </w:rPr>
        <w:t>in</w:t>
      </w:r>
      <w:r>
        <w:rPr>
          <w:spacing w:val="-13"/>
          <w:sz w:val="22"/>
        </w:rPr>
        <w:t> </w:t>
      </w:r>
      <w:r>
        <w:rPr>
          <w:sz w:val="22"/>
        </w:rPr>
        <w:t>Nigeria</w:t>
      </w:r>
      <w:r>
        <w:rPr>
          <w:spacing w:val="-13"/>
          <w:sz w:val="22"/>
        </w:rPr>
        <w:t> </w:t>
      </w:r>
      <w:r>
        <w:rPr>
          <w:sz w:val="22"/>
        </w:rPr>
        <w:t>and</w:t>
      </w:r>
      <w:r>
        <w:rPr>
          <w:spacing w:val="-10"/>
          <w:sz w:val="22"/>
        </w:rPr>
        <w:t> </w:t>
      </w:r>
      <w:r>
        <w:rPr>
          <w:sz w:val="22"/>
        </w:rPr>
        <w:t>globally.</w:t>
      </w:r>
      <w:r>
        <w:rPr>
          <w:spacing w:val="-53"/>
          <w:sz w:val="22"/>
        </w:rPr>
        <w:t> </w:t>
      </w:r>
      <w:r>
        <w:rPr>
          <w:sz w:val="22"/>
        </w:rPr>
        <w:t>The unsettled area in the literature is the debate regarding what the determinants of tax aggressiveness</w:t>
      </w:r>
      <w:r>
        <w:rPr>
          <w:spacing w:val="1"/>
          <w:sz w:val="22"/>
        </w:rPr>
        <w:t> </w:t>
      </w:r>
      <w:r>
        <w:rPr>
          <w:sz w:val="22"/>
        </w:rPr>
        <w:t>are and what factors precipitate the practice of tax aggressiveness by quoted companies in Nigeria. The</w:t>
      </w:r>
      <w:r>
        <w:rPr>
          <w:spacing w:val="-52"/>
          <w:sz w:val="22"/>
        </w:rPr>
        <w:t> </w:t>
      </w:r>
      <w:r>
        <w:rPr>
          <w:sz w:val="22"/>
        </w:rPr>
        <w:t>aim of the study is to examine the impact of corporate governance on tax aggressiveness in listed non-</w:t>
      </w:r>
      <w:r>
        <w:rPr>
          <w:spacing w:val="1"/>
          <w:sz w:val="22"/>
        </w:rPr>
        <w:t> </w:t>
      </w:r>
      <w:r>
        <w:rPr>
          <w:sz w:val="22"/>
        </w:rPr>
        <w:t>financial firms in Nigeria. The specific objectives were to examine the effect of board independence,</w:t>
      </w:r>
      <w:r>
        <w:rPr>
          <w:spacing w:val="1"/>
          <w:sz w:val="22"/>
        </w:rPr>
        <w:t> </w:t>
      </w:r>
      <w:r>
        <w:rPr>
          <w:sz w:val="22"/>
        </w:rPr>
        <w:t>board</w:t>
      </w:r>
      <w:r>
        <w:rPr>
          <w:spacing w:val="-6"/>
          <w:sz w:val="22"/>
        </w:rPr>
        <w:t> </w:t>
      </w:r>
      <w:r>
        <w:rPr>
          <w:sz w:val="22"/>
        </w:rPr>
        <w:t>size,</w:t>
      </w:r>
      <w:r>
        <w:rPr>
          <w:spacing w:val="-5"/>
          <w:sz w:val="22"/>
        </w:rPr>
        <w:t> </w:t>
      </w:r>
      <w:r>
        <w:rPr>
          <w:sz w:val="22"/>
        </w:rPr>
        <w:t>board</w:t>
      </w:r>
      <w:r>
        <w:rPr>
          <w:spacing w:val="-5"/>
          <w:sz w:val="22"/>
        </w:rPr>
        <w:t> </w:t>
      </w:r>
      <w:r>
        <w:rPr>
          <w:sz w:val="22"/>
        </w:rPr>
        <w:t>gender</w:t>
      </w:r>
      <w:r>
        <w:rPr>
          <w:spacing w:val="-5"/>
          <w:sz w:val="22"/>
        </w:rPr>
        <w:t> </w:t>
      </w:r>
      <w:r>
        <w:rPr>
          <w:sz w:val="22"/>
        </w:rPr>
        <w:t>diversity,</w:t>
      </w:r>
      <w:r>
        <w:rPr>
          <w:spacing w:val="-1"/>
          <w:sz w:val="22"/>
        </w:rPr>
        <w:t> </w:t>
      </w:r>
      <w:r>
        <w:rPr>
          <w:sz w:val="22"/>
        </w:rPr>
        <w:t>board</w:t>
      </w:r>
      <w:r>
        <w:rPr>
          <w:spacing w:val="-5"/>
          <w:sz w:val="22"/>
        </w:rPr>
        <w:t> </w:t>
      </w:r>
      <w:r>
        <w:rPr>
          <w:sz w:val="22"/>
        </w:rPr>
        <w:t>Ownership,</w:t>
      </w:r>
      <w:r>
        <w:rPr>
          <w:spacing w:val="-5"/>
          <w:sz w:val="22"/>
        </w:rPr>
        <w:t> </w:t>
      </w:r>
      <w:r>
        <w:rPr>
          <w:sz w:val="22"/>
        </w:rPr>
        <w:t>CEO</w:t>
      </w:r>
      <w:r>
        <w:rPr>
          <w:spacing w:val="-5"/>
          <w:sz w:val="22"/>
        </w:rPr>
        <w:t> </w:t>
      </w:r>
      <w:r>
        <w:rPr>
          <w:sz w:val="22"/>
        </w:rPr>
        <w:t>age,</w:t>
      </w:r>
      <w:r>
        <w:rPr>
          <w:spacing w:val="-3"/>
          <w:sz w:val="22"/>
        </w:rPr>
        <w:t> </w:t>
      </w:r>
      <w:r>
        <w:rPr>
          <w:sz w:val="22"/>
        </w:rPr>
        <w:t>CEO</w:t>
      </w:r>
      <w:r>
        <w:rPr>
          <w:spacing w:val="-7"/>
          <w:sz w:val="22"/>
        </w:rPr>
        <w:t> </w:t>
      </w:r>
      <w:r>
        <w:rPr>
          <w:sz w:val="22"/>
        </w:rPr>
        <w:t>tenure</w:t>
      </w:r>
      <w:r>
        <w:rPr>
          <w:spacing w:val="-2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CEO</w:t>
      </w:r>
      <w:r>
        <w:rPr>
          <w:spacing w:val="-4"/>
          <w:sz w:val="22"/>
        </w:rPr>
        <w:t> </w:t>
      </w:r>
      <w:r>
        <w:rPr>
          <w:sz w:val="22"/>
        </w:rPr>
        <w:t>ownership</w:t>
      </w:r>
      <w:r>
        <w:rPr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tax</w:t>
      </w:r>
      <w:r>
        <w:rPr>
          <w:spacing w:val="-52"/>
          <w:sz w:val="22"/>
        </w:rPr>
        <w:t> </w:t>
      </w:r>
      <w:r>
        <w:rPr>
          <w:sz w:val="22"/>
        </w:rPr>
        <w:t>aggressiveness. Secondary data gotten from annual reports and accounts of the sampled companies in</w:t>
      </w:r>
      <w:r>
        <w:rPr>
          <w:spacing w:val="1"/>
          <w:sz w:val="22"/>
        </w:rPr>
        <w:t> </w:t>
      </w:r>
      <w:r>
        <w:rPr>
          <w:sz w:val="22"/>
        </w:rPr>
        <w:t>Nigeria from 2005-2009 were used. A sample size of 80 non-financial firms purposively selected was</w:t>
      </w:r>
      <w:r>
        <w:rPr>
          <w:spacing w:val="1"/>
          <w:sz w:val="22"/>
        </w:rPr>
        <w:t> </w:t>
      </w:r>
      <w:r>
        <w:rPr>
          <w:sz w:val="22"/>
        </w:rPr>
        <w:t>used for the study. The longitudinal research design was used in the study. Panel and threshold</w:t>
      </w:r>
      <w:r>
        <w:rPr>
          <w:spacing w:val="1"/>
          <w:sz w:val="22"/>
        </w:rPr>
        <w:t> </w:t>
      </w:r>
      <w:r>
        <w:rPr>
          <w:sz w:val="22"/>
        </w:rPr>
        <w:t>regression were used for the analysis. The findings of the study revealed that an increase in the number</w:t>
      </w:r>
      <w:r>
        <w:rPr>
          <w:spacing w:val="-52"/>
          <w:sz w:val="22"/>
        </w:rPr>
        <w:t> </w:t>
      </w:r>
      <w:r>
        <w:rPr>
          <w:sz w:val="22"/>
        </w:rPr>
        <w:t>of independent directors on the board results in an increase in tax aggressive practices. An increase in</w:t>
      </w:r>
      <w:r>
        <w:rPr>
          <w:spacing w:val="1"/>
          <w:sz w:val="22"/>
        </w:rPr>
        <w:t> </w:t>
      </w:r>
      <w:r>
        <w:rPr>
          <w:sz w:val="22"/>
        </w:rPr>
        <w:t>the board size resulted in an increase in tax aggressiveness. Also, an increase in the board gender</w:t>
      </w:r>
      <w:r>
        <w:rPr>
          <w:spacing w:val="1"/>
          <w:sz w:val="22"/>
        </w:rPr>
        <w:t> </w:t>
      </w:r>
      <w:r>
        <w:rPr>
          <w:sz w:val="22"/>
        </w:rPr>
        <w:t>diversity implies less tax aggressiveness activity, though, the outcome is not significant at 5%. An</w:t>
      </w:r>
      <w:r>
        <w:rPr>
          <w:spacing w:val="1"/>
          <w:sz w:val="22"/>
        </w:rPr>
        <w:t> </w:t>
      </w:r>
      <w:r>
        <w:rPr>
          <w:sz w:val="22"/>
        </w:rPr>
        <w:t>increase in the level of board equity ownership resulted in an increase in tax aggressive practices. The</w:t>
      </w:r>
      <w:r>
        <w:rPr>
          <w:spacing w:val="1"/>
          <w:sz w:val="22"/>
        </w:rPr>
        <w:t> </w:t>
      </w:r>
      <w:r>
        <w:rPr>
          <w:sz w:val="22"/>
        </w:rPr>
        <w:t>presence of older CEO’s resulted in less tax aggressiveness activity. CEO tenure has a negative impact</w:t>
      </w:r>
      <w:r>
        <w:rPr>
          <w:spacing w:val="-52"/>
          <w:sz w:val="22"/>
        </w:rPr>
        <w:t> </w:t>
      </w:r>
      <w:r>
        <w:rPr>
          <w:sz w:val="22"/>
        </w:rPr>
        <w:t>though not significant at 5%. Finally, an increase in CEO ownership results in an increase in tax</w:t>
      </w:r>
      <w:r>
        <w:rPr>
          <w:spacing w:val="1"/>
          <w:sz w:val="22"/>
        </w:rPr>
        <w:t> </w:t>
      </w:r>
      <w:r>
        <w:rPr>
          <w:sz w:val="22"/>
        </w:rPr>
        <w:t>aggressiveness. The study concludes that corporate governance is instrumental in influencing tax</w:t>
      </w:r>
      <w:r>
        <w:rPr>
          <w:spacing w:val="1"/>
          <w:sz w:val="22"/>
        </w:rPr>
        <w:t> </w:t>
      </w:r>
      <w:r>
        <w:rPr>
          <w:sz w:val="22"/>
        </w:rPr>
        <w:t>aggressiveness in quoted companies in Nigeria. Hence, variables like the board independence, board</w:t>
      </w:r>
      <w:r>
        <w:rPr>
          <w:spacing w:val="1"/>
          <w:sz w:val="22"/>
        </w:rPr>
        <w:t> </w:t>
      </w:r>
      <w:r>
        <w:rPr>
          <w:sz w:val="22"/>
        </w:rPr>
        <w:t>size, boar gender diversity ownership structure and CEO characteristics can define the extent to which</w:t>
      </w:r>
      <w:r>
        <w:rPr>
          <w:spacing w:val="1"/>
          <w:sz w:val="22"/>
        </w:rPr>
        <w:t> </w:t>
      </w:r>
      <w:r>
        <w:rPr>
          <w:sz w:val="22"/>
        </w:rPr>
        <w:t>firms</w:t>
      </w:r>
      <w:r>
        <w:rPr>
          <w:spacing w:val="-4"/>
          <w:sz w:val="22"/>
        </w:rPr>
        <w:t> </w:t>
      </w:r>
      <w:r>
        <w:rPr>
          <w:sz w:val="22"/>
        </w:rPr>
        <w:t>become</w:t>
      </w:r>
      <w:r>
        <w:rPr>
          <w:spacing w:val="-3"/>
          <w:sz w:val="22"/>
        </w:rPr>
        <w:t> </w:t>
      </w:r>
      <w:r>
        <w:rPr>
          <w:sz w:val="22"/>
        </w:rPr>
        <w:t>tax</w:t>
      </w:r>
      <w:r>
        <w:rPr>
          <w:spacing w:val="-3"/>
          <w:sz w:val="22"/>
        </w:rPr>
        <w:t> </w:t>
      </w:r>
      <w:r>
        <w:rPr>
          <w:sz w:val="22"/>
        </w:rPr>
        <w:t>aggressive.</w:t>
      </w:r>
      <w:r>
        <w:rPr>
          <w:spacing w:val="-3"/>
          <w:sz w:val="22"/>
        </w:rPr>
        <w:t> </w:t>
      </w:r>
      <w:r>
        <w:rPr>
          <w:sz w:val="22"/>
        </w:rPr>
        <w:t>Based</w:t>
      </w:r>
      <w:r>
        <w:rPr>
          <w:spacing w:val="-4"/>
          <w:sz w:val="22"/>
        </w:rPr>
        <w:t> </w:t>
      </w:r>
      <w:r>
        <w:rPr>
          <w:sz w:val="22"/>
        </w:rPr>
        <w:t>on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z w:val="22"/>
        </w:rPr>
        <w:t>study,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3"/>
          <w:sz w:val="22"/>
        </w:rPr>
        <w:t> </w:t>
      </w:r>
      <w:r>
        <w:rPr>
          <w:sz w:val="22"/>
        </w:rPr>
        <w:t>following</w:t>
      </w:r>
      <w:r>
        <w:rPr>
          <w:spacing w:val="-5"/>
          <w:sz w:val="22"/>
        </w:rPr>
        <w:t> </w:t>
      </w:r>
      <w:r>
        <w:rPr>
          <w:sz w:val="22"/>
        </w:rPr>
        <w:t>are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6"/>
          <w:sz w:val="22"/>
        </w:rPr>
        <w:t> </w:t>
      </w:r>
      <w:r>
        <w:rPr>
          <w:sz w:val="22"/>
        </w:rPr>
        <w:t>recommendations</w:t>
      </w:r>
      <w:r>
        <w:rPr>
          <w:spacing w:val="-3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corporate</w:t>
      </w:r>
      <w:r>
        <w:rPr>
          <w:spacing w:val="-53"/>
          <w:sz w:val="22"/>
        </w:rPr>
        <w:t> </w:t>
      </w:r>
      <w:r>
        <w:rPr>
          <w:sz w:val="22"/>
        </w:rPr>
        <w:t>governance in non-financial firms. First, that increasing the number of independent directors is not</w:t>
      </w:r>
      <w:r>
        <w:rPr>
          <w:spacing w:val="1"/>
          <w:sz w:val="22"/>
        </w:rPr>
        <w:t> </w:t>
      </w:r>
      <w:r>
        <w:rPr>
          <w:sz w:val="22"/>
        </w:rPr>
        <w:t>sufficient to curtail tax aggressiveness. This may be so especially when aggressive tax strategies</w:t>
      </w:r>
      <w:r>
        <w:rPr>
          <w:spacing w:val="1"/>
          <w:sz w:val="22"/>
        </w:rPr>
        <w:t> </w:t>
      </w:r>
      <w:r>
        <w:rPr>
          <w:sz w:val="22"/>
        </w:rPr>
        <w:t>represent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3"/>
          <w:sz w:val="22"/>
        </w:rPr>
        <w:t> </w:t>
      </w:r>
      <w:r>
        <w:rPr>
          <w:sz w:val="22"/>
        </w:rPr>
        <w:t>firm's</w:t>
      </w:r>
      <w:r>
        <w:rPr>
          <w:spacing w:val="-10"/>
          <w:sz w:val="22"/>
        </w:rPr>
        <w:t> </w:t>
      </w:r>
      <w:r>
        <w:rPr>
          <w:sz w:val="22"/>
        </w:rPr>
        <w:t>value</w:t>
      </w:r>
      <w:r>
        <w:rPr>
          <w:spacing w:val="-13"/>
          <w:sz w:val="22"/>
        </w:rPr>
        <w:t> </w:t>
      </w:r>
      <w:r>
        <w:rPr>
          <w:sz w:val="22"/>
        </w:rPr>
        <w:t>maximizing</w:t>
      </w:r>
      <w:r>
        <w:rPr>
          <w:spacing w:val="-11"/>
          <w:sz w:val="22"/>
        </w:rPr>
        <w:t> </w:t>
      </w:r>
      <w:r>
        <w:rPr>
          <w:sz w:val="22"/>
        </w:rPr>
        <w:t>activity.</w:t>
      </w:r>
      <w:r>
        <w:rPr>
          <w:spacing w:val="-11"/>
          <w:sz w:val="22"/>
        </w:rPr>
        <w:t> </w:t>
      </w:r>
      <w:r>
        <w:rPr>
          <w:sz w:val="22"/>
        </w:rPr>
        <w:t>There</w:t>
      </w:r>
      <w:r>
        <w:rPr>
          <w:spacing w:val="-12"/>
          <w:sz w:val="22"/>
        </w:rPr>
        <w:t> </w:t>
      </w:r>
      <w:r>
        <w:rPr>
          <w:sz w:val="22"/>
        </w:rPr>
        <w:t>will</w:t>
      </w:r>
      <w:r>
        <w:rPr>
          <w:spacing w:val="-12"/>
          <w:sz w:val="22"/>
        </w:rPr>
        <w:t> </w:t>
      </w:r>
      <w:r>
        <w:rPr>
          <w:sz w:val="22"/>
        </w:rPr>
        <w:t>be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need</w:t>
      </w:r>
      <w:r>
        <w:rPr>
          <w:spacing w:val="-11"/>
          <w:sz w:val="22"/>
        </w:rPr>
        <w:t> </w:t>
      </w:r>
      <w:r>
        <w:rPr>
          <w:sz w:val="22"/>
        </w:rPr>
        <w:t>to</w:t>
      </w:r>
      <w:r>
        <w:rPr>
          <w:spacing w:val="-11"/>
          <w:sz w:val="22"/>
        </w:rPr>
        <w:t> </w:t>
      </w:r>
      <w:r>
        <w:rPr>
          <w:sz w:val="22"/>
        </w:rPr>
        <w:t>rely</w:t>
      </w:r>
      <w:r>
        <w:rPr>
          <w:spacing w:val="-11"/>
          <w:sz w:val="22"/>
        </w:rPr>
        <w:t> </w:t>
      </w:r>
      <w:r>
        <w:rPr>
          <w:sz w:val="22"/>
        </w:rPr>
        <w:t>largely</w:t>
      </w:r>
      <w:r>
        <w:rPr>
          <w:spacing w:val="-12"/>
          <w:sz w:val="22"/>
        </w:rPr>
        <w:t> </w:t>
      </w:r>
      <w:r>
        <w:rPr>
          <w:sz w:val="22"/>
        </w:rPr>
        <w:t>on</w:t>
      </w:r>
      <w:r>
        <w:rPr>
          <w:spacing w:val="-11"/>
          <w:sz w:val="22"/>
        </w:rPr>
        <w:t> </w:t>
      </w:r>
      <w:r>
        <w:rPr>
          <w:sz w:val="22"/>
        </w:rPr>
        <w:t>the</w:t>
      </w:r>
      <w:r>
        <w:rPr>
          <w:spacing w:val="-11"/>
          <w:sz w:val="22"/>
        </w:rPr>
        <w:t> </w:t>
      </w:r>
      <w:r>
        <w:rPr>
          <w:sz w:val="22"/>
        </w:rPr>
        <w:t>role</w:t>
      </w:r>
      <w:r>
        <w:rPr>
          <w:spacing w:val="-11"/>
          <w:sz w:val="22"/>
        </w:rPr>
        <w:t> </w:t>
      </w:r>
      <w:r>
        <w:rPr>
          <w:sz w:val="22"/>
        </w:rPr>
        <w:t>of</w:t>
      </w:r>
      <w:r>
        <w:rPr>
          <w:spacing w:val="-10"/>
          <w:sz w:val="22"/>
        </w:rPr>
        <w:t> </w:t>
      </w:r>
      <w:r>
        <w:rPr>
          <w:sz w:val="22"/>
        </w:rPr>
        <w:t>external</w:t>
      </w:r>
      <w:r>
        <w:rPr>
          <w:spacing w:val="-53"/>
          <w:sz w:val="22"/>
        </w:rPr>
        <w:t> </w:t>
      </w:r>
      <w:r>
        <w:rPr>
          <w:sz w:val="22"/>
        </w:rPr>
        <w:t>auditors. Second, there is the need for boards to include representatives of tax authorities who will</w:t>
      </w:r>
      <w:r>
        <w:rPr>
          <w:spacing w:val="1"/>
          <w:sz w:val="22"/>
        </w:rPr>
        <w:t> </w:t>
      </w:r>
      <w:r>
        <w:rPr>
          <w:sz w:val="22"/>
        </w:rPr>
        <w:t>protect the interest of the tax authorities. The study contributes to knowledge by shedding light on the</w:t>
      </w:r>
      <w:r>
        <w:rPr>
          <w:spacing w:val="1"/>
          <w:sz w:val="22"/>
        </w:rPr>
        <w:t> </w:t>
      </w:r>
      <w:r>
        <w:rPr>
          <w:sz w:val="22"/>
        </w:rPr>
        <w:t>extent</w:t>
      </w:r>
      <w:r>
        <w:rPr>
          <w:spacing w:val="-3"/>
          <w:sz w:val="22"/>
        </w:rPr>
        <w:t> </w:t>
      </w:r>
      <w:r>
        <w:rPr>
          <w:sz w:val="22"/>
        </w:rPr>
        <w:t>to which firm</w:t>
      </w:r>
      <w:r>
        <w:rPr>
          <w:spacing w:val="-2"/>
          <w:sz w:val="22"/>
        </w:rPr>
        <w:t> </w:t>
      </w:r>
      <w:r>
        <w:rPr>
          <w:sz w:val="22"/>
        </w:rPr>
        <w:t>level</w:t>
      </w:r>
      <w:r>
        <w:rPr>
          <w:spacing w:val="1"/>
          <w:sz w:val="22"/>
        </w:rPr>
        <w:t> </w:t>
      </w:r>
      <w:r>
        <w:rPr>
          <w:sz w:val="22"/>
        </w:rPr>
        <w:t>governance</w:t>
      </w:r>
      <w:r>
        <w:rPr>
          <w:spacing w:val="-2"/>
          <w:sz w:val="22"/>
        </w:rPr>
        <w:t> </w:t>
      </w:r>
      <w:r>
        <w:rPr>
          <w:sz w:val="22"/>
        </w:rPr>
        <w:t>can</w:t>
      </w:r>
      <w:r>
        <w:rPr>
          <w:spacing w:val="-3"/>
          <w:sz w:val="22"/>
        </w:rPr>
        <w:t> </w:t>
      </w:r>
      <w:r>
        <w:rPr>
          <w:sz w:val="22"/>
        </w:rPr>
        <w:t>impact</w:t>
      </w:r>
      <w:r>
        <w:rPr>
          <w:spacing w:val="1"/>
          <w:sz w:val="22"/>
        </w:rPr>
        <w:t> </w:t>
      </w:r>
      <w:r>
        <w:rPr>
          <w:sz w:val="22"/>
        </w:rPr>
        <w:t>on</w:t>
      </w:r>
      <w:r>
        <w:rPr>
          <w:spacing w:val="-3"/>
          <w:sz w:val="22"/>
        </w:rPr>
        <w:t> </w:t>
      </w:r>
      <w:r>
        <w:rPr>
          <w:sz w:val="22"/>
        </w:rPr>
        <w:t>tax aggressiveness.</w:t>
      </w:r>
    </w:p>
    <w:p>
      <w:pPr>
        <w:pStyle w:val="BodyText"/>
        <w:spacing w:before="5"/>
        <w:ind w:left="0"/>
        <w:jc w:val="left"/>
        <w:rPr>
          <w:sz w:val="25"/>
        </w:rPr>
      </w:pPr>
    </w:p>
    <w:p>
      <w:pPr>
        <w:spacing w:before="0"/>
        <w:ind w:left="822" w:right="0" w:firstLine="0"/>
        <w:jc w:val="both"/>
        <w:rPr>
          <w:sz w:val="22"/>
        </w:rPr>
      </w:pPr>
      <w:r>
        <w:rPr>
          <w:b/>
          <w:sz w:val="22"/>
        </w:rPr>
        <w:t>Keywords:</w:t>
      </w:r>
      <w:r>
        <w:rPr>
          <w:b/>
          <w:spacing w:val="-2"/>
          <w:sz w:val="22"/>
        </w:rPr>
        <w:t> </w:t>
      </w:r>
      <w:r>
        <w:rPr>
          <w:sz w:val="22"/>
        </w:rPr>
        <w:t>Corporate</w:t>
      </w:r>
      <w:r>
        <w:rPr>
          <w:spacing w:val="-3"/>
          <w:sz w:val="22"/>
        </w:rPr>
        <w:t> </w:t>
      </w:r>
      <w:r>
        <w:rPr>
          <w:sz w:val="22"/>
        </w:rPr>
        <w:t>Governance,</w:t>
      </w:r>
      <w:r>
        <w:rPr>
          <w:spacing w:val="-3"/>
          <w:sz w:val="22"/>
        </w:rPr>
        <w:t> </w:t>
      </w:r>
      <w:r>
        <w:rPr>
          <w:sz w:val="22"/>
        </w:rPr>
        <w:t>Tax Aggressiveness,</w:t>
      </w:r>
      <w:r>
        <w:rPr>
          <w:spacing w:val="-3"/>
          <w:sz w:val="22"/>
        </w:rPr>
        <w:t> </w:t>
      </w:r>
      <w:r>
        <w:rPr>
          <w:sz w:val="22"/>
        </w:rPr>
        <w:t>Quoted</w:t>
      </w:r>
      <w:r>
        <w:rPr>
          <w:spacing w:val="-2"/>
          <w:sz w:val="22"/>
        </w:rPr>
        <w:t> </w:t>
      </w:r>
      <w:r>
        <w:rPr>
          <w:sz w:val="22"/>
        </w:rPr>
        <w:t>Non-Financial</w:t>
      </w:r>
      <w:r>
        <w:rPr>
          <w:spacing w:val="-3"/>
          <w:sz w:val="22"/>
        </w:rPr>
        <w:t> </w:t>
      </w:r>
      <w:r>
        <w:rPr>
          <w:sz w:val="22"/>
        </w:rPr>
        <w:t>Firms</w:t>
      </w:r>
    </w:p>
    <w:p>
      <w:pPr>
        <w:spacing w:after="0"/>
        <w:jc w:val="both"/>
        <w:rPr>
          <w:sz w:val="22"/>
        </w:rPr>
        <w:sectPr>
          <w:pgSz w:w="11910" w:h="16840"/>
          <w:pgMar w:header="0" w:footer="1482" w:top="1120" w:bottom="1680" w:left="880" w:right="300"/>
        </w:sectPr>
      </w:pPr>
    </w:p>
    <w:p>
      <w:pPr>
        <w:pStyle w:val="Heading1"/>
        <w:spacing w:line="655" w:lineRule="auto"/>
        <w:ind w:left="4398" w:right="4406" w:hanging="3"/>
        <w:jc w:val="center"/>
      </w:pPr>
      <w:bookmarkStart w:name="_bookmark8" w:id="9"/>
      <w:bookmarkEnd w:id="9"/>
      <w:r>
        <w:rPr>
          <w:b w:val="0"/>
        </w:rPr>
      </w:r>
      <w:r>
        <w:rPr/>
        <w:t>CHAPTER ONE</w:t>
      </w:r>
      <w:r>
        <w:rPr>
          <w:spacing w:val="1"/>
        </w:rPr>
        <w:t> </w:t>
      </w:r>
      <w:bookmarkStart w:name="_bookmark9" w:id="10"/>
      <w:bookmarkEnd w:id="10"/>
      <w:r>
        <w:rPr/>
        <w:t>INTRODU</w:t>
      </w:r>
      <w:r>
        <w:rPr/>
        <w:t>CTION</w:t>
      </w:r>
    </w:p>
    <w:p>
      <w:pPr>
        <w:pStyle w:val="Heading1"/>
        <w:numPr>
          <w:ilvl w:val="1"/>
          <w:numId w:val="16"/>
        </w:numPr>
        <w:tabs>
          <w:tab w:pos="1182" w:val="left" w:leader="none"/>
        </w:tabs>
        <w:spacing w:line="275" w:lineRule="exact" w:before="0" w:after="0"/>
        <w:ind w:left="1182" w:right="0" w:hanging="360"/>
        <w:jc w:val="left"/>
      </w:pPr>
      <w:bookmarkStart w:name="_bookmark10" w:id="11"/>
      <w:bookmarkEnd w:id="11"/>
      <w:r>
        <w:rPr>
          <w:b w:val="0"/>
        </w:rPr>
      </w:r>
      <w:bookmarkStart w:name="_bookmark10" w:id="12"/>
      <w:bookmarkEnd w:id="12"/>
      <w:r>
        <w:rPr/>
        <w:t>Ba</w:t>
      </w:r>
      <w:r>
        <w:rPr/>
        <w:t>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0"/>
      </w:pPr>
      <w:r>
        <w:rPr/>
        <w:drawing>
          <wp:anchor distT="0" distB="0" distL="0" distR="0" allowOverlap="1" layoutInCell="1" locked="0" behindDoc="1" simplePos="0" relativeHeight="453998080">
            <wp:simplePos x="0" y="0"/>
            <wp:positionH relativeFrom="page">
              <wp:posOffset>1261605</wp:posOffset>
            </wp:positionH>
            <wp:positionV relativeFrom="paragraph">
              <wp:posOffset>432855</wp:posOffset>
            </wp:positionV>
            <wp:extent cx="5133225" cy="5265293"/>
            <wp:effectExtent l="0" t="0" r="0" b="0"/>
            <wp:wrapNone/>
            <wp:docPr id="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Tax aggressiveness, from its origin as a practice associated with large multinational firms</w:t>
      </w:r>
      <w:r>
        <w:rPr>
          <w:spacing w:val="1"/>
        </w:rPr>
        <w:t> </w:t>
      </w:r>
      <w:r>
        <w:rPr/>
        <w:t>seeking avenue for profit repatriation has now grown into a strategic cost saving approach</w:t>
      </w:r>
      <w:r>
        <w:rPr>
          <w:spacing w:val="1"/>
        </w:rPr>
        <w:t> </w:t>
      </w:r>
      <w:r>
        <w:rPr>
          <w:spacing w:val="-1"/>
        </w:rPr>
        <w:t>employed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corporations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all</w:t>
      </w:r>
      <w:r>
        <w:rPr>
          <w:spacing w:val="-14"/>
        </w:rPr>
        <w:t> </w:t>
      </w:r>
      <w:r>
        <w:rPr/>
        <w:t>shapes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sizes</w:t>
      </w:r>
      <w:r>
        <w:rPr>
          <w:spacing w:val="-15"/>
        </w:rPr>
        <w:t> </w:t>
      </w:r>
      <w:r>
        <w:rPr/>
        <w:t>globally,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no</w:t>
      </w:r>
      <w:r>
        <w:rPr>
          <w:spacing w:val="-12"/>
        </w:rPr>
        <w:t> </w:t>
      </w:r>
      <w:r>
        <w:rPr/>
        <w:t>country</w:t>
      </w:r>
      <w:r>
        <w:rPr>
          <w:spacing w:val="-15"/>
        </w:rPr>
        <w:t> </w:t>
      </w:r>
      <w:r>
        <w:rPr/>
        <w:t>appears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be</w:t>
      </w:r>
      <w:r>
        <w:rPr>
          <w:spacing w:val="-16"/>
        </w:rPr>
        <w:t> </w:t>
      </w:r>
      <w:r>
        <w:rPr/>
        <w:t>immune</w:t>
      </w:r>
      <w:r>
        <w:rPr>
          <w:spacing w:val="-57"/>
        </w:rPr>
        <w:t> </w:t>
      </w:r>
      <w:r>
        <w:rPr/>
        <w:t>from its growing practice. Taxes represent a significant cost to the firm and its shareholders</w:t>
      </w:r>
      <w:r>
        <w:rPr>
          <w:spacing w:val="1"/>
        </w:rPr>
        <w:t> </w:t>
      </w:r>
      <w:r>
        <w:rPr>
          <w:spacing w:val="-1"/>
        </w:rPr>
        <w:t>and,</w:t>
      </w:r>
      <w:r>
        <w:rPr>
          <w:spacing w:val="-15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result,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reduction</w:t>
      </w:r>
      <w:r>
        <w:rPr>
          <w:spacing w:val="-15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cash</w:t>
      </w:r>
      <w:r>
        <w:rPr>
          <w:spacing w:val="-11"/>
        </w:rPr>
        <w:t> </w:t>
      </w:r>
      <w:r>
        <w:rPr/>
        <w:t>flow</w:t>
      </w:r>
      <w:r>
        <w:rPr>
          <w:spacing w:val="-16"/>
        </w:rPr>
        <w:t> </w:t>
      </w:r>
      <w:r>
        <w:rPr/>
        <w:t>available</w:t>
      </w:r>
      <w:r>
        <w:rPr>
          <w:spacing w:val="-15"/>
        </w:rPr>
        <w:t> </w:t>
      </w:r>
      <w:r>
        <w:rPr/>
        <w:t>to</w:t>
      </w:r>
      <w:r>
        <w:rPr>
          <w:spacing w:val="-13"/>
        </w:rPr>
        <w:t> </w:t>
      </w:r>
      <w:r>
        <w:rPr/>
        <w:t>them.</w:t>
      </w:r>
      <w:r>
        <w:rPr>
          <w:spacing w:val="-14"/>
        </w:rPr>
        <w:t> </w:t>
      </w:r>
      <w:r>
        <w:rPr/>
        <w:t>Therefore,</w:t>
      </w:r>
      <w:r>
        <w:rPr>
          <w:spacing w:val="-14"/>
        </w:rPr>
        <w:t> </w:t>
      </w:r>
      <w:r>
        <w:rPr/>
        <w:t>it</w:t>
      </w:r>
      <w:r>
        <w:rPr>
          <w:spacing w:val="-14"/>
        </w:rPr>
        <w:t> </w:t>
      </w:r>
      <w:r>
        <w:rPr/>
        <w:t>is</w:t>
      </w:r>
      <w:r>
        <w:rPr>
          <w:spacing w:val="-11"/>
        </w:rPr>
        <w:t> </w:t>
      </w:r>
      <w:r>
        <w:rPr/>
        <w:t>generally</w:t>
      </w:r>
      <w:r>
        <w:rPr>
          <w:spacing w:val="-12"/>
        </w:rPr>
        <w:t> </w:t>
      </w:r>
      <w:r>
        <w:rPr/>
        <w:t>accepted</w:t>
      </w:r>
      <w:r>
        <w:rPr>
          <w:spacing w:val="-57"/>
        </w:rPr>
        <w:t> </w:t>
      </w:r>
      <w:r>
        <w:rPr/>
        <w:t>that shareholders prefer tax aggressive activities in an effort to increase not only after-tax</w:t>
      </w:r>
      <w:r>
        <w:rPr>
          <w:spacing w:val="1"/>
        </w:rPr>
        <w:t> </w:t>
      </w:r>
      <w:r>
        <w:rPr/>
        <w:t>earnings</w:t>
      </w:r>
      <w:r>
        <w:rPr>
          <w:spacing w:val="-1"/>
        </w:rPr>
        <w:t> </w:t>
      </w:r>
      <w:r>
        <w:rPr/>
        <w:t>per share but also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cash</w:t>
      </w:r>
      <w:r>
        <w:rPr>
          <w:spacing w:val="-1"/>
        </w:rPr>
        <w:t> </w:t>
      </w:r>
      <w:r>
        <w:rPr/>
        <w:t>available for shareholders.</w:t>
      </w:r>
    </w:p>
    <w:p>
      <w:pPr>
        <w:pStyle w:val="BodyText"/>
        <w:spacing w:line="480" w:lineRule="auto" w:before="200"/>
        <w:ind w:right="826"/>
      </w:pPr>
      <w:r>
        <w:rPr/>
        <w:t>Slemrod (2004) and Frank, Lynch and Rego (2009) defined tax aggressiveness as tax planning</w:t>
      </w:r>
      <w:r>
        <w:rPr>
          <w:spacing w:val="-57"/>
        </w:rPr>
        <w:t> </w:t>
      </w:r>
      <w:r>
        <w:rPr/>
        <w:t>that consists of a great variety of transactions with the aim of reducing taxable income and a</w:t>
      </w:r>
      <w:r>
        <w:rPr>
          <w:spacing w:val="1"/>
        </w:rPr>
        <w:t> </w:t>
      </w:r>
      <w:r>
        <w:rPr/>
        <w:t>subset of tax avoidance activities more generally, which may or may not violate income tax</w:t>
      </w:r>
      <w:r>
        <w:rPr>
          <w:spacing w:val="1"/>
        </w:rPr>
        <w:t> </w:t>
      </w:r>
      <w:r>
        <w:rPr/>
        <w:t>law. According to Chen, Chen, Cheng and Shevlin (2008), tax aggressiveness is a downward</w:t>
      </w:r>
      <w:r>
        <w:rPr>
          <w:spacing w:val="1"/>
        </w:rPr>
        <w:t> </w:t>
      </w:r>
      <w:r>
        <w:rPr/>
        <w:t>management of taxable income through tax planning with respect to reducing the tax paid to</w:t>
      </w:r>
      <w:r>
        <w:rPr>
          <w:spacing w:val="1"/>
        </w:rPr>
        <w:t> </w:t>
      </w:r>
      <w:r>
        <w:rPr/>
        <w:t>tax authorities. Furthermore, in the view of Khurana and Moser, (2013), tax aggressiveness</w:t>
      </w:r>
      <w:r>
        <w:rPr>
          <w:spacing w:val="1"/>
        </w:rPr>
        <w:t> </w:t>
      </w:r>
      <w:r>
        <w:rPr/>
        <w:t>refers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those</w:t>
      </w:r>
      <w:r>
        <w:rPr>
          <w:spacing w:val="-11"/>
        </w:rPr>
        <w:t> </w:t>
      </w:r>
      <w:r>
        <w:rPr/>
        <w:t>activities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designed</w:t>
      </w:r>
      <w:r>
        <w:rPr>
          <w:spacing w:val="-11"/>
        </w:rPr>
        <w:t> </w:t>
      </w:r>
      <w:r>
        <w:rPr/>
        <w:t>solely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minimize</w:t>
      </w:r>
      <w:r>
        <w:rPr>
          <w:spacing w:val="-11"/>
        </w:rPr>
        <w:t> </w:t>
      </w:r>
      <w:r>
        <w:rPr/>
        <w:t>corporate</w:t>
      </w:r>
      <w:r>
        <w:rPr>
          <w:spacing w:val="-12"/>
        </w:rPr>
        <w:t> </w:t>
      </w:r>
      <w:r>
        <w:rPr/>
        <w:t>tax</w:t>
      </w:r>
      <w:r>
        <w:rPr>
          <w:spacing w:val="-8"/>
        </w:rPr>
        <w:t> </w:t>
      </w:r>
      <w:r>
        <w:rPr/>
        <w:t>obligations</w:t>
      </w:r>
      <w:r>
        <w:rPr>
          <w:spacing w:val="-11"/>
        </w:rPr>
        <w:t> </w:t>
      </w:r>
      <w:r>
        <w:rPr/>
        <w:t>which</w:t>
      </w:r>
      <w:r>
        <w:rPr>
          <w:spacing w:val="-58"/>
        </w:rPr>
        <w:t> </w:t>
      </w:r>
      <w:r>
        <w:rPr/>
        <w:t>legality may be under doubt, including; (i) tax evasion, which can be defined as intentional</w:t>
      </w:r>
      <w:r>
        <w:rPr>
          <w:spacing w:val="1"/>
        </w:rPr>
        <w:t> </w:t>
      </w:r>
      <w:r>
        <w:rPr/>
        <w:t>illegal</w:t>
      </w:r>
      <w:r>
        <w:rPr>
          <w:spacing w:val="-6"/>
        </w:rPr>
        <w:t> </w:t>
      </w:r>
      <w:r>
        <w:rPr/>
        <w:t>behaviours</w:t>
      </w:r>
      <w:r>
        <w:rPr>
          <w:spacing w:val="-5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direct</w:t>
      </w:r>
      <w:r>
        <w:rPr>
          <w:spacing w:val="-5"/>
        </w:rPr>
        <w:t> </w:t>
      </w:r>
      <w:r>
        <w:rPr/>
        <w:t>violation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tax</w:t>
      </w:r>
      <w:r>
        <w:rPr>
          <w:spacing w:val="-3"/>
        </w:rPr>
        <w:t> </w:t>
      </w:r>
      <w:r>
        <w:rPr/>
        <w:t>laws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escape</w:t>
      </w:r>
      <w:r>
        <w:rPr>
          <w:spacing w:val="-6"/>
        </w:rPr>
        <w:t> </w:t>
      </w:r>
      <w:r>
        <w:rPr/>
        <w:t>payment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taxes,</w:t>
      </w:r>
      <w:r>
        <w:rPr>
          <w:spacing w:val="-5"/>
        </w:rPr>
        <w:t> </w:t>
      </w:r>
      <w:r>
        <w:rPr/>
        <w:t>(ii)</w:t>
      </w:r>
      <w:r>
        <w:rPr>
          <w:spacing w:val="-57"/>
        </w:rPr>
        <w:t> </w:t>
      </w:r>
      <w:r>
        <w:rPr/>
        <w:t>tax</w:t>
      </w:r>
      <w:r>
        <w:rPr>
          <w:spacing w:val="-5"/>
        </w:rPr>
        <w:t> </w:t>
      </w:r>
      <w:r>
        <w:rPr/>
        <w:t>avoidance</w:t>
      </w:r>
      <w:r>
        <w:rPr>
          <w:spacing w:val="-5"/>
        </w:rPr>
        <w:t> </w:t>
      </w:r>
      <w:r>
        <w:rPr/>
        <w:t>which</w:t>
      </w:r>
      <w:r>
        <w:rPr>
          <w:spacing w:val="-4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'illegitimate'</w:t>
      </w:r>
      <w:r>
        <w:rPr>
          <w:spacing w:val="-4"/>
        </w:rPr>
        <w:t> </w:t>
      </w:r>
      <w:r>
        <w:rPr/>
        <w:t>but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necessarily</w:t>
      </w:r>
      <w:r>
        <w:rPr>
          <w:spacing w:val="-2"/>
        </w:rPr>
        <w:t> </w:t>
      </w:r>
      <w:r>
        <w:rPr/>
        <w:t>illegal</w:t>
      </w:r>
      <w:r>
        <w:rPr>
          <w:spacing w:val="-3"/>
        </w:rPr>
        <w:t> </w:t>
      </w:r>
      <w:r>
        <w:rPr/>
        <w:t>behaviours</w:t>
      </w:r>
      <w:r>
        <w:rPr>
          <w:spacing w:val="-4"/>
        </w:rPr>
        <w:t> </w:t>
      </w:r>
      <w:r>
        <w:rPr/>
        <w:t>in</w:t>
      </w:r>
      <w:r>
        <w:rPr>
          <w:spacing w:val="-58"/>
        </w:rPr>
        <w:t> </w:t>
      </w:r>
      <w:r>
        <w:rPr/>
        <w:t>order to reduce tax liabilities and (iii) legitimate saving of taxes which can be defined as</w:t>
      </w:r>
      <w:r>
        <w:rPr>
          <w:spacing w:val="1"/>
        </w:rPr>
        <w:t> </w:t>
      </w:r>
      <w:r>
        <w:rPr/>
        <w:t>commonly accepted forms of behaviours which are neither against the law nor the spirit of the</w:t>
      </w:r>
      <w:r>
        <w:rPr>
          <w:spacing w:val="-57"/>
        </w:rPr>
        <w:t> </w:t>
      </w:r>
      <w:r>
        <w:rPr/>
        <w:t>law.</w:t>
      </w:r>
    </w:p>
    <w:p>
      <w:pPr>
        <w:spacing w:after="0" w:line="480" w:lineRule="auto"/>
        <w:sectPr>
          <w:footerReference w:type="default" r:id="rId10"/>
          <w:pgSz w:w="11910" w:h="16840"/>
          <w:pgMar w:footer="1402" w:header="0" w:top="1120" w:bottom="1600" w:left="880" w:right="300"/>
          <w:pgNumType w:start="1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399859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link between corporate governance and tax aggressiveness is the focal point of this study.</w:t>
      </w:r>
      <w:r>
        <w:rPr>
          <w:spacing w:val="1"/>
        </w:rPr>
        <w:t> </w:t>
      </w:r>
      <w:r>
        <w:rPr/>
        <w:t>By way of definition, the Organization for Economic Cooperation and Development (OECD,</w:t>
      </w:r>
      <w:r>
        <w:rPr>
          <w:spacing w:val="1"/>
        </w:rPr>
        <w:t> </w:t>
      </w:r>
      <w:r>
        <w:rPr/>
        <w:t>2006) opined that corporate governance is the system by which business corporations are</w:t>
      </w:r>
      <w:r>
        <w:rPr>
          <w:spacing w:val="1"/>
        </w:rPr>
        <w:t> </w:t>
      </w:r>
      <w:r>
        <w:rPr/>
        <w:t>directed and controlled. The corporate governance structure specifies the distribution of rights</w:t>
      </w:r>
      <w:r>
        <w:rPr>
          <w:spacing w:val="-57"/>
        </w:rPr>
        <w:t> </w:t>
      </w:r>
      <w:r>
        <w:rPr/>
        <w:t>and</w:t>
      </w:r>
      <w:r>
        <w:rPr>
          <w:spacing w:val="-14"/>
        </w:rPr>
        <w:t> </w:t>
      </w:r>
      <w:r>
        <w:rPr/>
        <w:t>responsibilities</w:t>
      </w:r>
      <w:r>
        <w:rPr>
          <w:spacing w:val="-14"/>
        </w:rPr>
        <w:t> </w:t>
      </w:r>
      <w:r>
        <w:rPr/>
        <w:t>among</w:t>
      </w:r>
      <w:r>
        <w:rPr>
          <w:spacing w:val="-14"/>
        </w:rPr>
        <w:t> </w:t>
      </w:r>
      <w:r>
        <w:rPr/>
        <w:t>different</w:t>
      </w:r>
      <w:r>
        <w:rPr>
          <w:spacing w:val="-13"/>
        </w:rPr>
        <w:t> </w:t>
      </w:r>
      <w:r>
        <w:rPr/>
        <w:t>participants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corporation</w:t>
      </w:r>
      <w:r>
        <w:rPr>
          <w:spacing w:val="-12"/>
        </w:rPr>
        <w:t> </w:t>
      </w:r>
      <w:r>
        <w:rPr/>
        <w:t>such</w:t>
      </w:r>
      <w:r>
        <w:rPr>
          <w:spacing w:val="-13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board,</w:t>
      </w:r>
      <w:r>
        <w:rPr>
          <w:spacing w:val="-14"/>
        </w:rPr>
        <w:t> </w:t>
      </w:r>
      <w:r>
        <w:rPr/>
        <w:t>managers,</w:t>
      </w:r>
      <w:r>
        <w:rPr>
          <w:spacing w:val="-58"/>
        </w:rPr>
        <w:t> </w:t>
      </w:r>
      <w:r>
        <w:rPr/>
        <w:t>shareholders and other stakeholders, and spells out the rules and procedures for making</w:t>
      </w:r>
      <w:r>
        <w:rPr>
          <w:spacing w:val="1"/>
        </w:rPr>
        <w:t> </w:t>
      </w:r>
      <w:r>
        <w:rPr/>
        <w:t>decisions</w:t>
      </w:r>
      <w:r>
        <w:rPr>
          <w:spacing w:val="-1"/>
        </w:rPr>
        <w:t> </w:t>
      </w:r>
      <w:r>
        <w:rPr/>
        <w:t>on corporate affairs.</w:t>
      </w:r>
    </w:p>
    <w:p>
      <w:pPr>
        <w:pStyle w:val="BodyText"/>
        <w:spacing w:line="480" w:lineRule="auto" w:before="203"/>
        <w:ind w:right="828"/>
      </w:pPr>
      <w:r>
        <w:rPr/>
        <w:t>An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paradigm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emphasizes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firms'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taxes</w:t>
      </w:r>
      <w:r>
        <w:rPr>
          <w:spacing w:val="1"/>
        </w:rPr>
        <w:t> </w:t>
      </w:r>
      <w:r>
        <w:rPr/>
        <w:t>arose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strand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(Desai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Dharmapala, 2009; Desai, Dyck &amp; Zingales, 2007; Desai, Dharmapala &amp; Fung, 2007) which</w:t>
      </w:r>
      <w:r>
        <w:rPr>
          <w:spacing w:val="1"/>
        </w:rPr>
        <w:t> </w:t>
      </w:r>
      <w:r>
        <w:rPr/>
        <w:t>pointed out that corporate governance plays an important role in affecting firms' responses to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rates.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arrangements constitutes the major driver for tax aggressive behaviour of management. Those</w:t>
      </w:r>
      <w:r>
        <w:rPr>
          <w:spacing w:val="-57"/>
        </w:rPr>
        <w:t> </w:t>
      </w:r>
      <w:r>
        <w:rPr/>
        <w:t>studies argued that when governance is weak, tax aggressiveness will tend to occur but will be</w:t>
      </w:r>
      <w:r>
        <w:rPr>
          <w:spacing w:val="-57"/>
        </w:rPr>
        <w:t> </w:t>
      </w:r>
      <w:r>
        <w:rPr/>
        <w:t>reduced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strong.</w:t>
      </w:r>
    </w:p>
    <w:p>
      <w:pPr>
        <w:pStyle w:val="BodyText"/>
        <w:spacing w:line="480" w:lineRule="auto" w:before="200"/>
        <w:ind w:right="829"/>
      </w:pPr>
      <w:r>
        <w:rPr/>
        <w:t>In addition, the link between corporate governance and tax aggressiveness was hypothesized</w:t>
      </w:r>
      <w:r>
        <w:rPr>
          <w:spacing w:val="1"/>
        </w:rPr>
        <w:t> </w:t>
      </w:r>
      <w:r>
        <w:rPr/>
        <w:t>by two key perspectives. Firstly, in terms of the traditional view, aggressive tax strategies</w:t>
      </w:r>
      <w:r>
        <w:rPr>
          <w:spacing w:val="1"/>
        </w:rPr>
        <w:t> </w:t>
      </w:r>
      <w:r>
        <w:rPr/>
        <w:t>represent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firm's</w:t>
      </w:r>
      <w:r>
        <w:rPr>
          <w:spacing w:val="-3"/>
        </w:rPr>
        <w:t> </w:t>
      </w:r>
      <w:r>
        <w:rPr/>
        <w:t>value</w:t>
      </w:r>
      <w:r>
        <w:rPr>
          <w:spacing w:val="-1"/>
        </w:rPr>
        <w:t> </w:t>
      </w:r>
      <w:r>
        <w:rPr/>
        <w:t>maximizing</w:t>
      </w:r>
      <w:r>
        <w:rPr>
          <w:spacing w:val="-4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entails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wealth</w:t>
      </w:r>
      <w:r>
        <w:rPr>
          <w:spacing w:val="-4"/>
        </w:rPr>
        <w:t> </w:t>
      </w:r>
      <w:r>
        <w:rPr/>
        <w:t>transfer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government</w:t>
      </w:r>
      <w:r>
        <w:rPr>
          <w:spacing w:val="-58"/>
        </w:rPr>
        <w:t> </w:t>
      </w:r>
      <w:r>
        <w:rPr/>
        <w:t>to the shareholders of a firm (Khurana &amp; Moser, 2013). Therefore, shareholder value should</w:t>
      </w:r>
      <w:r>
        <w:rPr>
          <w:spacing w:val="1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efficacy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tax</w:t>
      </w:r>
      <w:r>
        <w:rPr>
          <w:spacing w:val="-8"/>
        </w:rPr>
        <w:t> </w:t>
      </w:r>
      <w:r>
        <w:rPr/>
        <w:t>strategies</w:t>
      </w:r>
      <w:r>
        <w:rPr>
          <w:spacing w:val="-7"/>
        </w:rPr>
        <w:t> </w:t>
      </w:r>
      <w:r>
        <w:rPr/>
        <w:t>as</w:t>
      </w:r>
      <w:r>
        <w:rPr>
          <w:spacing w:val="-9"/>
        </w:rPr>
        <w:t> </w:t>
      </w:r>
      <w:r>
        <w:rPr/>
        <w:t>so</w:t>
      </w:r>
      <w:r>
        <w:rPr>
          <w:spacing w:val="-8"/>
        </w:rPr>
        <w:t> </w:t>
      </w:r>
      <w:r>
        <w:rPr/>
        <w:t>long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expected</w:t>
      </w:r>
      <w:r>
        <w:rPr>
          <w:spacing w:val="-9"/>
        </w:rPr>
        <w:t> </w:t>
      </w:r>
      <w:r>
        <w:rPr/>
        <w:t>marginal</w:t>
      </w:r>
      <w:r>
        <w:rPr>
          <w:spacing w:val="-9"/>
        </w:rPr>
        <w:t> </w:t>
      </w:r>
      <w:r>
        <w:rPr/>
        <w:t>benefit</w:t>
      </w:r>
      <w:r>
        <w:rPr>
          <w:spacing w:val="-58"/>
        </w:rPr>
        <w:t> </w:t>
      </w:r>
      <w:r>
        <w:rPr/>
        <w:t>exceeds marginal cost (Desai &amp; Dharmapala, 2009). Thus, in this regard, tax aggressiveness</w:t>
      </w:r>
      <w:r>
        <w:rPr>
          <w:spacing w:val="1"/>
        </w:rPr>
        <w:t> </w:t>
      </w:r>
      <w:r>
        <w:rPr/>
        <w:t>activity will be allowable by corporate governance because it results in shareholder wealth</w:t>
      </w:r>
      <w:r>
        <w:rPr>
          <w:spacing w:val="1"/>
        </w:rPr>
        <w:t> </w:t>
      </w:r>
      <w:r>
        <w:rPr/>
        <w:t>maximization. On the other hand, from the perspective of agency theory, the role of agency</w:t>
      </w:r>
      <w:r>
        <w:rPr>
          <w:spacing w:val="1"/>
        </w:rPr>
        <w:t> </w:t>
      </w:r>
      <w:r>
        <w:rPr/>
        <w:t>costs</w:t>
      </w:r>
      <w:r>
        <w:rPr>
          <w:spacing w:val="-1"/>
        </w:rPr>
        <w:t> </w:t>
      </w:r>
      <w:r>
        <w:rPr/>
        <w:t>arising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 is</w:t>
      </w:r>
      <w:r>
        <w:rPr>
          <w:spacing w:val="-1"/>
        </w:rPr>
        <w:t> </w:t>
      </w:r>
      <w:r>
        <w:rPr/>
        <w:t>put</w:t>
      </w:r>
      <w:r>
        <w:rPr>
          <w:spacing w:val="-1"/>
        </w:rPr>
        <w:t> </w:t>
      </w:r>
      <w:r>
        <w:rPr/>
        <w:t>on the front</w:t>
      </w:r>
      <w:r>
        <w:rPr>
          <w:spacing w:val="-1"/>
        </w:rPr>
        <w:t> </w:t>
      </w:r>
      <w:r>
        <w:rPr/>
        <w:t>burner (Khurana</w:t>
      </w:r>
      <w:r>
        <w:rPr>
          <w:spacing w:val="-2"/>
        </w:rPr>
        <w:t> </w:t>
      </w:r>
      <w:r>
        <w:rPr/>
        <w:t>&amp;</w:t>
      </w:r>
      <w:r>
        <w:rPr>
          <w:spacing w:val="1"/>
        </w:rPr>
        <w:t> </w:t>
      </w:r>
      <w:r>
        <w:rPr/>
        <w:t>Moser,</w:t>
      </w:r>
      <w:r>
        <w:rPr>
          <w:spacing w:val="-1"/>
        </w:rPr>
        <w:t> </w:t>
      </w:r>
      <w:r>
        <w:rPr/>
        <w:t>2009).</w:t>
      </w:r>
      <w:r>
        <w:rPr>
          <w:spacing w:val="-2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6"/>
      </w:pPr>
      <w:r>
        <w:rPr/>
        <w:drawing>
          <wp:anchor distT="0" distB="0" distL="0" distR="0" allowOverlap="1" layoutInCell="1" locked="0" behindDoc="1" simplePos="0" relativeHeight="45399910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issue here is whether tax aggressiveness will create the scope for managerial opportunism. If</w:t>
      </w:r>
      <w:r>
        <w:rPr>
          <w:spacing w:val="1"/>
        </w:rPr>
        <w:t> </w:t>
      </w:r>
      <w:r>
        <w:rPr/>
        <w:t>the free cash flow from aggressive behaviour induces the threat of opportunism by managers,</w:t>
      </w:r>
      <w:r>
        <w:rPr>
          <w:spacing w:val="1"/>
        </w:rPr>
        <w:t> </w:t>
      </w:r>
      <w:r>
        <w:rPr/>
        <w:t>the stance of corporate governance will be to mitigate such practices.</w:t>
      </w:r>
      <w:r>
        <w:rPr>
          <w:spacing w:val="1"/>
        </w:rPr>
        <w:t> </w:t>
      </w:r>
      <w:r>
        <w:rPr/>
        <w:t>The role of aggressive</w:t>
      </w:r>
      <w:r>
        <w:rPr>
          <w:spacing w:val="1"/>
        </w:rPr>
        <w:t> </w:t>
      </w:r>
      <w:r>
        <w:rPr/>
        <w:t>tax behaviour by managers within an agency framework of the firm poses a new set of issues</w:t>
      </w:r>
      <w:r>
        <w:rPr>
          <w:spacing w:val="1"/>
        </w:rPr>
        <w:t> </w:t>
      </w:r>
      <w:r>
        <w:rPr/>
        <w:t>which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related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alignment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interests</w:t>
      </w:r>
      <w:r>
        <w:rPr>
          <w:spacing w:val="-2"/>
        </w:rPr>
        <w:t> </w:t>
      </w:r>
      <w:r>
        <w:rPr/>
        <w:t>with</w:t>
      </w:r>
      <w:r>
        <w:rPr>
          <w:spacing w:val="-8"/>
        </w:rPr>
        <w:t> </w:t>
      </w:r>
      <w:r>
        <w:rPr/>
        <w:t>those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shareholders.</w:t>
      </w:r>
      <w:r>
        <w:rPr>
          <w:spacing w:val="45"/>
        </w:rPr>
        <w:t> </w:t>
      </w:r>
      <w:r>
        <w:rPr/>
        <w:t>By</w:t>
      </w:r>
      <w:r>
        <w:rPr>
          <w:spacing w:val="-8"/>
        </w:rPr>
        <w:t> </w:t>
      </w:r>
      <w:r>
        <w:rPr/>
        <w:t>studying</w:t>
      </w:r>
      <w:r>
        <w:rPr>
          <w:spacing w:val="-58"/>
        </w:rPr>
        <w:t> </w:t>
      </w:r>
      <w:r>
        <w:rPr/>
        <w:t>how corporate governance is related to tax aggressive behaviour, this study provides insight</w:t>
      </w:r>
      <w:r>
        <w:rPr>
          <w:spacing w:val="1"/>
        </w:rPr>
        <w:t> </w:t>
      </w:r>
      <w:r>
        <w:rPr/>
        <w:t>into the efficacy of corporate governance arrangements in both short and long term within the</w:t>
      </w:r>
      <w:r>
        <w:rPr>
          <w:spacing w:val="1"/>
        </w:rPr>
        <w:t> </w:t>
      </w:r>
      <w:r>
        <w:rPr>
          <w:spacing w:val="-1"/>
        </w:rPr>
        <w:t>context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shareholders’</w:t>
      </w:r>
      <w:r>
        <w:rPr>
          <w:spacing w:val="-12"/>
        </w:rPr>
        <w:t> </w:t>
      </w:r>
      <w:r>
        <w:rPr/>
        <w:t>wealth</w:t>
      </w:r>
      <w:r>
        <w:rPr>
          <w:spacing w:val="-14"/>
        </w:rPr>
        <w:t> </w:t>
      </w:r>
      <w:r>
        <w:rPr/>
        <w:t>maximization,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one</w:t>
      </w:r>
      <w:r>
        <w:rPr>
          <w:spacing w:val="-16"/>
        </w:rPr>
        <w:t> </w:t>
      </w:r>
      <w:r>
        <w:rPr/>
        <w:t>hand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possibility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managerial</w:t>
      </w:r>
      <w:r>
        <w:rPr>
          <w:spacing w:val="-58"/>
        </w:rPr>
        <w:t> </w:t>
      </w:r>
      <w:r>
        <w:rPr/>
        <w:t>opportunism,</w:t>
      </w:r>
      <w:r>
        <w:rPr>
          <w:spacing w:val="-1"/>
        </w:rPr>
        <w:t> </w:t>
      </w:r>
      <w:r>
        <w:rPr/>
        <w:t>on the other hand.</w:t>
      </w:r>
    </w:p>
    <w:p>
      <w:pPr>
        <w:pStyle w:val="Heading1"/>
        <w:numPr>
          <w:ilvl w:val="1"/>
          <w:numId w:val="16"/>
        </w:numPr>
        <w:tabs>
          <w:tab w:pos="1183" w:val="left" w:leader="none"/>
        </w:tabs>
        <w:spacing w:line="240" w:lineRule="auto" w:before="2" w:after="0"/>
        <w:ind w:left="1182" w:right="0" w:hanging="361"/>
        <w:jc w:val="both"/>
      </w:pPr>
      <w:bookmarkStart w:name="_bookmark11" w:id="13"/>
      <w:bookmarkEnd w:id="13"/>
      <w:r>
        <w:rPr>
          <w:b w:val="0"/>
        </w:rPr>
      </w:r>
      <w:bookmarkStart w:name="_bookmark11" w:id="14"/>
      <w:bookmarkEnd w:id="14"/>
      <w:r>
        <w:rPr/>
        <w:t>S</w:t>
      </w:r>
      <w:r>
        <w:rPr/>
        <w:t>tatement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480" w:lineRule="auto"/>
        <w:ind w:right="828"/>
      </w:pP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pervasive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quoted</w:t>
      </w:r>
      <w:r>
        <w:rPr>
          <w:spacing w:val="1"/>
        </w:rPr>
        <w:t> </w:t>
      </w:r>
      <w:r>
        <w:rPr/>
        <w:t>companies.</w:t>
      </w:r>
      <w:r>
        <w:rPr>
          <w:spacing w:val="1"/>
        </w:rPr>
        <w:t> </w:t>
      </w:r>
      <w:r>
        <w:rPr/>
        <w:t>Specifically,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recent</w:t>
      </w:r>
      <w:r>
        <w:rPr>
          <w:spacing w:val="-7"/>
        </w:rPr>
        <w:t> </w:t>
      </w:r>
      <w:r>
        <w:rPr/>
        <w:t>study</w:t>
      </w:r>
      <w:r>
        <w:rPr>
          <w:spacing w:val="-9"/>
        </w:rPr>
        <w:t> </w:t>
      </w:r>
      <w:r>
        <w:rPr/>
        <w:t>by</w:t>
      </w:r>
      <w:r>
        <w:rPr>
          <w:spacing w:val="-7"/>
        </w:rPr>
        <w:t> </w:t>
      </w:r>
      <w:r>
        <w:rPr/>
        <w:t>Ogbeide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Iyafekhe</w:t>
      </w:r>
      <w:r>
        <w:rPr>
          <w:spacing w:val="-9"/>
        </w:rPr>
        <w:t> </w:t>
      </w:r>
      <w:r>
        <w:rPr/>
        <w:t>(2018)</w:t>
      </w:r>
      <w:r>
        <w:rPr>
          <w:spacing w:val="-9"/>
        </w:rPr>
        <w:t> </w:t>
      </w:r>
      <w:r>
        <w:rPr/>
        <w:t>found</w:t>
      </w:r>
      <w:r>
        <w:rPr>
          <w:spacing w:val="-9"/>
        </w:rPr>
        <w:t> </w:t>
      </w:r>
      <w:r>
        <w:rPr/>
        <w:t>out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sample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non-</w:t>
      </w:r>
      <w:r>
        <w:rPr>
          <w:spacing w:val="-58"/>
        </w:rPr>
        <w:t> </w:t>
      </w:r>
      <w:r>
        <w:rPr/>
        <w:t>financial companies totaling, eighty-five (85), about 64.71% of the companies were found to</w:t>
      </w:r>
      <w:r>
        <w:rPr>
          <w:spacing w:val="1"/>
        </w:rPr>
        <w:t> </w:t>
      </w:r>
      <w:r>
        <w:rPr/>
        <w:t>be tax aggressive to some extent. Similarly, evidence of tax aggressiveness of Nigerian quoted</w:t>
      </w:r>
      <w:r>
        <w:rPr>
          <w:spacing w:val="-57"/>
        </w:rPr>
        <w:t> </w:t>
      </w:r>
      <w:r>
        <w:rPr/>
        <w:t>firms has also been established by other studies such as those by Oyeleke Oyenike, Erin, and</w:t>
      </w:r>
      <w:r>
        <w:rPr>
          <w:spacing w:val="1"/>
        </w:rPr>
        <w:t> </w:t>
      </w:r>
      <w:r>
        <w:rPr/>
        <w:t>Emeni (2016), Ogbeide (2017), Salaudeen and Ejeh (2018), Salawu and Adelabu (2017),</w:t>
      </w:r>
      <w:r>
        <w:rPr>
          <w:spacing w:val="1"/>
        </w:rPr>
        <w:t> </w:t>
      </w:r>
      <w:r>
        <w:rPr/>
        <w:t>Ilaboya,</w:t>
      </w:r>
      <w:r>
        <w:rPr>
          <w:spacing w:val="-1"/>
        </w:rPr>
        <w:t> </w:t>
      </w:r>
      <w:r>
        <w:rPr/>
        <w:t>Obasi,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Izevbekhai (2016)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Uniamikogbo,</w:t>
      </w:r>
      <w:r>
        <w:rPr>
          <w:spacing w:val="1"/>
        </w:rPr>
        <w:t> </w:t>
      </w:r>
      <w:r>
        <w:rPr/>
        <w:t>Atu</w:t>
      </w:r>
      <w:r>
        <w:rPr>
          <w:spacing w:val="-1"/>
        </w:rPr>
        <w:t> </w:t>
      </w:r>
      <w:r>
        <w:rPr/>
        <w:t>and Atu (2017).</w:t>
      </w:r>
    </w:p>
    <w:p>
      <w:pPr>
        <w:pStyle w:val="BodyText"/>
        <w:spacing w:line="480" w:lineRule="auto"/>
        <w:ind w:right="831"/>
      </w:pPr>
      <w:r>
        <w:rPr/>
        <w:t>Although</w:t>
      </w:r>
      <w:r>
        <w:rPr>
          <w:spacing w:val="-6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possible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extent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tax</w:t>
      </w:r>
      <w:r>
        <w:rPr>
          <w:spacing w:val="-7"/>
        </w:rPr>
        <w:t> </w:t>
      </w:r>
      <w:r>
        <w:rPr/>
        <w:t>aggressiveness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specific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exhibit</w:t>
      </w:r>
      <w:r>
        <w:rPr>
          <w:spacing w:val="-58"/>
        </w:rPr>
        <w:t> </w:t>
      </w:r>
      <w:r>
        <w:rPr/>
        <w:t>considerable heterogeneity across firms, however, the unsettled area in the literature is the</w:t>
      </w:r>
      <w:r>
        <w:rPr>
          <w:spacing w:val="1"/>
        </w:rPr>
        <w:t> </w:t>
      </w:r>
      <w:r>
        <w:rPr/>
        <w:t>debate regarding what the determinants of tax aggressiveness are and what factors precipitate</w:t>
      </w:r>
      <w:r>
        <w:rPr>
          <w:spacing w:val="1"/>
        </w:rPr>
        <w:t> </w:t>
      </w:r>
      <w:r>
        <w:rPr/>
        <w:t>the practice of tax aggressiveness by quoted companies in Nigeria. The research in this area is</w:t>
      </w:r>
      <w:r>
        <w:rPr>
          <w:spacing w:val="-57"/>
        </w:rPr>
        <w:t> </w:t>
      </w:r>
      <w:r>
        <w:rPr/>
        <w:t>bedeviled with paucity of studies paying attention to the search for corporate determinants of</w:t>
      </w:r>
      <w:r>
        <w:rPr>
          <w:spacing w:val="1"/>
        </w:rPr>
        <w:t> </w:t>
      </w:r>
      <w:r>
        <w:rPr/>
        <w:t>tax</w:t>
      </w:r>
      <w:r>
        <w:rPr>
          <w:spacing w:val="-13"/>
        </w:rPr>
        <w:t> </w:t>
      </w:r>
      <w:r>
        <w:rPr/>
        <w:t>aggressiveness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although</w:t>
      </w:r>
      <w:r>
        <w:rPr>
          <w:spacing w:val="-12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case</w:t>
      </w:r>
      <w:r>
        <w:rPr>
          <w:spacing w:val="-12"/>
        </w:rPr>
        <w:t> </w:t>
      </w:r>
      <w:r>
        <w:rPr/>
        <w:t>with</w:t>
      </w:r>
      <w:r>
        <w:rPr>
          <w:spacing w:val="29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developed</w:t>
      </w:r>
      <w:r>
        <w:rPr>
          <w:spacing w:val="-13"/>
        </w:rPr>
        <w:t> </w:t>
      </w:r>
      <w:r>
        <w:rPr/>
        <w:t>economies</w:t>
      </w:r>
      <w:r>
        <w:rPr>
          <w:spacing w:val="-58"/>
        </w:rPr>
        <w:t> </w:t>
      </w:r>
      <w:r>
        <w:rPr/>
        <w:t>where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good</w:t>
      </w:r>
      <w:r>
        <w:rPr>
          <w:spacing w:val="-10"/>
        </w:rPr>
        <w:t> </w:t>
      </w:r>
      <w:r>
        <w:rPr/>
        <w:t>number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dominant</w:t>
      </w:r>
      <w:r>
        <w:rPr>
          <w:spacing w:val="-11"/>
        </w:rPr>
        <w:t> </w:t>
      </w:r>
      <w:r>
        <w:rPr/>
        <w:t>studies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area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tax</w:t>
      </w:r>
      <w:r>
        <w:rPr>
          <w:spacing w:val="-12"/>
        </w:rPr>
        <w:t> </w:t>
      </w:r>
      <w:r>
        <w:rPr/>
        <w:t>aggressiveness</w:t>
      </w:r>
      <w:r>
        <w:rPr>
          <w:spacing w:val="-10"/>
        </w:rPr>
        <w:t> </w:t>
      </w:r>
      <w:r>
        <w:rPr/>
        <w:t>have</w:t>
      </w:r>
      <w:r>
        <w:rPr>
          <w:spacing w:val="-12"/>
        </w:rPr>
        <w:t> </w:t>
      </w:r>
      <w:r>
        <w:rPr/>
        <w:t>come</w:t>
      </w:r>
      <w:r>
        <w:rPr>
          <w:spacing w:val="-11"/>
        </w:rPr>
        <w:t> </w:t>
      </w:r>
      <w:r>
        <w:rPr/>
        <w:t>from.</w:t>
      </w:r>
      <w:r>
        <w:rPr>
          <w:spacing w:val="-58"/>
        </w:rPr>
        <w:t> </w:t>
      </w:r>
      <w:r>
        <w:rPr/>
        <w:t>To the best</w:t>
      </w:r>
      <w:r>
        <w:rPr>
          <w:spacing w:val="1"/>
        </w:rPr>
        <w:t> </w:t>
      </w:r>
      <w:r>
        <w:rPr/>
        <w:t>of the researcher’s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a high</w:t>
      </w:r>
      <w:r>
        <w:rPr>
          <w:spacing w:val="1"/>
        </w:rPr>
        <w:t> </w:t>
      </w:r>
      <w:r>
        <w:rPr/>
        <w:t>proportion of the available studies</w:t>
      </w:r>
      <w:r>
        <w:rPr>
          <w:spacing w:val="1"/>
        </w:rPr>
        <w:t> </w:t>
      </w:r>
      <w:r>
        <w:rPr/>
        <w:t>exploring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t>the</w:t>
      </w:r>
      <w:r>
        <w:rPr>
          <w:spacing w:val="-8"/>
        </w:rPr>
        <w:t> </w:t>
      </w:r>
      <w:r>
        <w:rPr/>
        <w:t>causative</w:t>
      </w:r>
      <w:r>
        <w:rPr>
          <w:spacing w:val="-7"/>
        </w:rPr>
        <w:t> </w:t>
      </w:r>
      <w:r>
        <w:rPr/>
        <w:t>factors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tax</w:t>
      </w:r>
      <w:r>
        <w:rPr>
          <w:spacing w:val="-6"/>
        </w:rPr>
        <w:t> </w:t>
      </w:r>
      <w:r>
        <w:rPr/>
        <w:t>aggressiveness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7"/>
        </w:rPr>
        <w:t> </w:t>
      </w:r>
      <w:r>
        <w:rPr/>
        <w:t>focused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role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firm</w:t>
      </w:r>
      <w:r>
        <w:rPr>
          <w:spacing w:val="-6"/>
        </w:rPr>
        <w:t> </w:t>
      </w:r>
      <w:r>
        <w:rPr/>
        <w:t>characteristics</w:t>
      </w:r>
      <w:r>
        <w:rPr>
          <w:spacing w:val="-58"/>
        </w:rPr>
        <w:t> </w:t>
      </w:r>
      <w:r>
        <w:rPr/>
        <w:t>such as firm size, leverage, profitability, amongst others, on tax aggressiveness in Nigeria</w:t>
      </w:r>
      <w:r>
        <w:rPr>
          <w:spacing w:val="1"/>
        </w:rPr>
        <w:t> </w:t>
      </w:r>
      <w:r>
        <w:rPr/>
        <w:t>(Ogbeide,</w:t>
      </w:r>
      <w:r>
        <w:rPr>
          <w:spacing w:val="-10"/>
        </w:rPr>
        <w:t> </w:t>
      </w:r>
      <w:r>
        <w:rPr/>
        <w:t>2017;</w:t>
      </w:r>
      <w:r>
        <w:rPr>
          <w:spacing w:val="-15"/>
        </w:rPr>
        <w:t> </w:t>
      </w:r>
      <w:r>
        <w:rPr/>
        <w:t>Uniamikogbo,</w:t>
      </w:r>
      <w:r>
        <w:rPr>
          <w:spacing w:val="-9"/>
        </w:rPr>
        <w:t> </w:t>
      </w:r>
      <w:r>
        <w:rPr/>
        <w:t>Atu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Atu,</w:t>
      </w:r>
      <w:r>
        <w:rPr>
          <w:spacing w:val="-7"/>
        </w:rPr>
        <w:t> </w:t>
      </w:r>
      <w:r>
        <w:rPr/>
        <w:t>2017;</w:t>
      </w:r>
      <w:r>
        <w:rPr>
          <w:spacing w:val="-13"/>
        </w:rPr>
        <w:t> </w:t>
      </w:r>
      <w:r>
        <w:rPr/>
        <w:t>Ilaboya,</w:t>
      </w:r>
      <w:r>
        <w:rPr>
          <w:spacing w:val="-7"/>
        </w:rPr>
        <w:t> </w:t>
      </w:r>
      <w:r>
        <w:rPr/>
        <w:t>Obasi</w:t>
      </w:r>
      <w:r>
        <w:rPr>
          <w:spacing w:val="-9"/>
        </w:rPr>
        <w:t> </w:t>
      </w:r>
      <w:r>
        <w:rPr/>
        <w:t>&amp;</w:t>
      </w:r>
      <w:r>
        <w:rPr>
          <w:spacing w:val="-4"/>
        </w:rPr>
        <w:t> </w:t>
      </w:r>
      <w:r>
        <w:rPr/>
        <w:t>Izevbekhai,</w:t>
      </w:r>
      <w:r>
        <w:rPr>
          <w:spacing w:val="-8"/>
        </w:rPr>
        <w:t> </w:t>
      </w:r>
      <w:r>
        <w:rPr/>
        <w:t>2016)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in this regard have</w:t>
      </w:r>
      <w:r>
        <w:rPr>
          <w:spacing w:val="-1"/>
        </w:rPr>
        <w:t> </w:t>
      </w:r>
      <w:r>
        <w:rPr/>
        <w:t>been</w:t>
      </w:r>
      <w:r>
        <w:rPr>
          <w:spacing w:val="-1"/>
        </w:rPr>
        <w:t> </w:t>
      </w:r>
      <w:r>
        <w:rPr/>
        <w:t>quite</w:t>
      </w:r>
      <w:r>
        <w:rPr>
          <w:spacing w:val="-1"/>
        </w:rPr>
        <w:t> </w:t>
      </w:r>
      <w:r>
        <w:rPr/>
        <w:t>mixed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inconclusive.</w:t>
      </w:r>
    </w:p>
    <w:p>
      <w:pPr>
        <w:pStyle w:val="BodyText"/>
        <w:spacing w:line="480" w:lineRule="auto" w:before="1"/>
        <w:ind w:right="828"/>
      </w:pPr>
      <w:r>
        <w:rPr/>
        <w:drawing>
          <wp:anchor distT="0" distB="0" distL="0" distR="0" allowOverlap="1" layoutInCell="1" locked="0" behindDoc="1" simplePos="0" relativeHeight="453999616">
            <wp:simplePos x="0" y="0"/>
            <wp:positionH relativeFrom="page">
              <wp:posOffset>1261605</wp:posOffset>
            </wp:positionH>
            <wp:positionV relativeFrom="paragraph">
              <wp:posOffset>376467</wp:posOffset>
            </wp:positionV>
            <wp:extent cx="5133225" cy="5265293"/>
            <wp:effectExtent l="0" t="0" r="0" b="0"/>
            <wp:wrapNone/>
            <wp:docPr id="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But in the area of corporate governance, a few studies such as those by Onyali and Tochukwu</w:t>
      </w:r>
      <w:r>
        <w:rPr>
          <w:spacing w:val="1"/>
        </w:rPr>
        <w:t> </w:t>
      </w:r>
      <w:r>
        <w:rPr/>
        <w:t>(2018)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Oyeleke,</w:t>
      </w:r>
      <w:r>
        <w:rPr>
          <w:spacing w:val="-10"/>
        </w:rPr>
        <w:t> </w:t>
      </w:r>
      <w:r>
        <w:rPr/>
        <w:t>Oyenike,</w:t>
      </w:r>
      <w:r>
        <w:rPr>
          <w:spacing w:val="-14"/>
        </w:rPr>
        <w:t> </w:t>
      </w:r>
      <w:r>
        <w:rPr/>
        <w:t>Erin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Emeni</w:t>
      </w:r>
      <w:r>
        <w:rPr>
          <w:spacing w:val="-13"/>
        </w:rPr>
        <w:t> </w:t>
      </w:r>
      <w:r>
        <w:rPr/>
        <w:t>(2016)</w:t>
      </w:r>
      <w:r>
        <w:rPr>
          <w:spacing w:val="-14"/>
        </w:rPr>
        <w:t> </w:t>
      </w:r>
      <w:r>
        <w:rPr/>
        <w:t>focused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area.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example,</w:t>
      </w:r>
      <w:r>
        <w:rPr>
          <w:spacing w:val="-13"/>
        </w:rPr>
        <w:t> </w:t>
      </w:r>
      <w:r>
        <w:rPr/>
        <w:t>Onyali</w:t>
      </w:r>
      <w:r>
        <w:rPr>
          <w:spacing w:val="-58"/>
        </w:rPr>
        <w:t> </w:t>
      </w:r>
      <w:r>
        <w:rPr/>
        <w:t>and</w:t>
      </w:r>
      <w:r>
        <w:rPr>
          <w:spacing w:val="-10"/>
        </w:rPr>
        <w:t> </w:t>
      </w:r>
      <w:r>
        <w:rPr/>
        <w:t>Tochukwu</w:t>
      </w:r>
      <w:r>
        <w:rPr>
          <w:spacing w:val="-9"/>
        </w:rPr>
        <w:t> </w:t>
      </w:r>
      <w:r>
        <w:rPr/>
        <w:t>(2018)</w:t>
      </w:r>
      <w:r>
        <w:rPr>
          <w:spacing w:val="-10"/>
        </w:rPr>
        <w:t> </w:t>
      </w:r>
      <w:r>
        <w:rPr/>
        <w:t>looked</w:t>
      </w:r>
      <w:r>
        <w:rPr>
          <w:spacing w:val="-9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relationship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board</w:t>
      </w:r>
      <w:r>
        <w:rPr>
          <w:spacing w:val="-10"/>
        </w:rPr>
        <w:t> </w:t>
      </w:r>
      <w:r>
        <w:rPr/>
        <w:t>size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tax</w:t>
      </w:r>
      <w:r>
        <w:rPr>
          <w:spacing w:val="-10"/>
        </w:rPr>
        <w:t> </w:t>
      </w:r>
      <w:r>
        <w:rPr/>
        <w:t>aggressiveness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found a positive but an insignificant effect. Oyeleke et al (2016) examined, amongst other</w:t>
      </w:r>
      <w:r>
        <w:rPr>
          <w:spacing w:val="1"/>
        </w:rPr>
        <w:t> </w:t>
      </w:r>
      <w:r>
        <w:rPr/>
        <w:t>variables,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role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board</w:t>
      </w:r>
      <w:r>
        <w:rPr>
          <w:spacing w:val="-10"/>
        </w:rPr>
        <w:t> </w:t>
      </w:r>
      <w:r>
        <w:rPr/>
        <w:t>independence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found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negative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significant</w:t>
      </w:r>
      <w:r>
        <w:rPr>
          <w:spacing w:val="-10"/>
        </w:rPr>
        <w:t> </w:t>
      </w:r>
      <w:r>
        <w:rPr/>
        <w:t>relationship.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gender of the firm’s directors was suggested to affect corporate polices and outcomes (Arun,</w:t>
      </w:r>
      <w:r>
        <w:rPr>
          <w:spacing w:val="1"/>
        </w:rPr>
        <w:t> </w:t>
      </w:r>
      <w:r>
        <w:rPr/>
        <w:t>Almahrog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Aribi,</w:t>
      </w:r>
      <w:r>
        <w:rPr>
          <w:spacing w:val="-5"/>
        </w:rPr>
        <w:t> </w:t>
      </w:r>
      <w:r>
        <w:rPr/>
        <w:t>2015;</w:t>
      </w:r>
      <w:r>
        <w:rPr>
          <w:spacing w:val="-4"/>
        </w:rPr>
        <w:t> </w:t>
      </w:r>
      <w:r>
        <w:rPr/>
        <w:t>Srinidhi,</w:t>
      </w:r>
      <w:r>
        <w:rPr>
          <w:spacing w:val="-5"/>
        </w:rPr>
        <w:t> </w:t>
      </w:r>
      <w:r>
        <w:rPr/>
        <w:t>Gul</w:t>
      </w:r>
      <w:r>
        <w:rPr>
          <w:spacing w:val="-5"/>
        </w:rPr>
        <w:t> </w:t>
      </w:r>
      <w:r>
        <w:rPr/>
        <w:t>&amp;</w:t>
      </w:r>
      <w:r>
        <w:rPr>
          <w:spacing w:val="-6"/>
        </w:rPr>
        <w:t> </w:t>
      </w:r>
      <w:r>
        <w:rPr/>
        <w:t>Tsui,</w:t>
      </w:r>
      <w:r>
        <w:rPr>
          <w:spacing w:val="-5"/>
        </w:rPr>
        <w:t> </w:t>
      </w:r>
      <w:r>
        <w:rPr/>
        <w:t>2011).</w:t>
      </w:r>
      <w:r>
        <w:rPr>
          <w:spacing w:val="-6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empirical</w:t>
      </w:r>
      <w:r>
        <w:rPr>
          <w:spacing w:val="-5"/>
        </w:rPr>
        <w:t> </w:t>
      </w:r>
      <w:r>
        <w:rPr/>
        <w:t>evidence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nature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direction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relationship</w:t>
      </w:r>
      <w:r>
        <w:rPr>
          <w:spacing w:val="-8"/>
        </w:rPr>
        <w:t> </w:t>
      </w:r>
      <w:r>
        <w:rPr/>
        <w:t>has</w:t>
      </w:r>
      <w:r>
        <w:rPr>
          <w:spacing w:val="-5"/>
        </w:rPr>
        <w:t> </w:t>
      </w:r>
      <w:r>
        <w:rPr/>
        <w:t>also</w:t>
      </w:r>
      <w:r>
        <w:rPr>
          <w:spacing w:val="-7"/>
        </w:rPr>
        <w:t> </w:t>
      </w:r>
      <w:r>
        <w:rPr/>
        <w:t>been</w:t>
      </w:r>
      <w:r>
        <w:rPr>
          <w:spacing w:val="-9"/>
        </w:rPr>
        <w:t> </w:t>
      </w:r>
      <w:r>
        <w:rPr/>
        <w:t>conflicting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shown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studies</w:t>
      </w:r>
      <w:r>
        <w:rPr>
          <w:spacing w:val="-8"/>
        </w:rPr>
        <w:t> </w:t>
      </w:r>
      <w:r>
        <w:rPr/>
        <w:t>(Boussadi,</w:t>
      </w:r>
      <w:r>
        <w:rPr>
          <w:spacing w:val="-57"/>
        </w:rPr>
        <w:t> </w:t>
      </w:r>
      <w:r>
        <w:rPr/>
        <w:t>&amp; Hamed 2015; Francis, Hasan, Park &amp; Wu 2013; Oyeleke, Erin &amp; Emeni, 2016; Richardson,</w:t>
      </w:r>
      <w:r>
        <w:rPr>
          <w:spacing w:val="-57"/>
        </w:rPr>
        <w:t> </w:t>
      </w:r>
      <w:r>
        <w:rPr/>
        <w:t>Taylor</w:t>
      </w:r>
      <w:r>
        <w:rPr>
          <w:spacing w:val="-1"/>
        </w:rPr>
        <w:t> </w:t>
      </w:r>
      <w:r>
        <w:rPr/>
        <w:t>&amp; Lanis, 2016).</w:t>
      </w:r>
    </w:p>
    <w:p>
      <w:pPr>
        <w:pStyle w:val="BodyText"/>
        <w:spacing w:line="480" w:lineRule="auto" w:before="1"/>
        <w:ind w:right="830"/>
      </w:pP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6"/>
        </w:rPr>
        <w:t> </w:t>
      </w:r>
      <w:r>
        <w:rPr/>
        <w:t>took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different</w:t>
      </w:r>
      <w:r>
        <w:rPr>
          <w:spacing w:val="-4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previous</w:t>
      </w:r>
      <w:r>
        <w:rPr>
          <w:spacing w:val="-4"/>
        </w:rPr>
        <w:t> </w:t>
      </w:r>
      <w:r>
        <w:rPr/>
        <w:t>studies</w:t>
      </w:r>
      <w:r>
        <w:rPr>
          <w:spacing w:val="-4"/>
        </w:rPr>
        <w:t> </w:t>
      </w:r>
      <w:r>
        <w:rPr/>
        <w:t>by</w:t>
      </w:r>
      <w:r>
        <w:rPr>
          <w:spacing w:val="-7"/>
        </w:rPr>
        <w:t> </w:t>
      </w:r>
      <w:r>
        <w:rPr/>
        <w:t>looking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an</w:t>
      </w:r>
      <w:r>
        <w:rPr>
          <w:spacing w:val="-4"/>
        </w:rPr>
        <w:t> </w:t>
      </w:r>
      <w:r>
        <w:rPr/>
        <w:t>aspect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corporate</w:t>
      </w:r>
      <w:r>
        <w:rPr>
          <w:spacing w:val="-57"/>
        </w:rPr>
        <w:t> </w:t>
      </w:r>
      <w:r>
        <w:rPr/>
        <w:t>governance in relation to tax aggressiveness that had been very insufficiently examined by</w:t>
      </w:r>
      <w:r>
        <w:rPr>
          <w:spacing w:val="1"/>
        </w:rPr>
        <w:t> </w:t>
      </w:r>
      <w:r>
        <w:rPr/>
        <w:t>foreign studies and probably never been examined by researchers in Nigeria to the best of the</w:t>
      </w:r>
      <w:r>
        <w:rPr>
          <w:spacing w:val="1"/>
        </w:rPr>
        <w:t> </w:t>
      </w:r>
      <w:r>
        <w:rPr/>
        <w:t>researcher’s knowledge, and that is the role of Chief Executive Officer (CEO) governance</w:t>
      </w:r>
      <w:r>
        <w:rPr>
          <w:spacing w:val="1"/>
        </w:rPr>
        <w:t> </w:t>
      </w:r>
      <w:r>
        <w:rPr/>
        <w:t>attributes. This is important because CEOs strongly influence whether stakeholder groups are</w:t>
      </w:r>
      <w:r>
        <w:rPr>
          <w:spacing w:val="1"/>
        </w:rPr>
        <w:t> </w:t>
      </w:r>
      <w:r>
        <w:rPr/>
        <w:t>considered salient (Delmas &amp; Toffel, 2008; Eesley &amp; Lenox, 2006) and hence ignoring the</w:t>
      </w:r>
      <w:r>
        <w:rPr>
          <w:spacing w:val="1"/>
        </w:rPr>
        <w:t> </w:t>
      </w:r>
      <w:r>
        <w:rPr/>
        <w:t>potential effect of CEOs’ personal characteristics is a gap. As observed earlier, although much</w:t>
      </w:r>
      <w:r>
        <w:rPr>
          <w:spacing w:val="-57"/>
        </w:rPr>
        <w:t> </w:t>
      </w:r>
      <w:r>
        <w:rPr/>
        <w:t>information exists on the empirical side giving an insight into the relationship between other</w:t>
      </w:r>
      <w:r>
        <w:rPr>
          <w:spacing w:val="1"/>
        </w:rPr>
        <w:t> </w:t>
      </w:r>
      <w:r>
        <w:rPr/>
        <w:t>corporate governance variables, the elusiveness of similar empirical verboseness identifying</w:t>
      </w:r>
      <w:r>
        <w:rPr>
          <w:spacing w:val="1"/>
        </w:rPr>
        <w:t> </w:t>
      </w:r>
      <w:r>
        <w:rPr/>
        <w:t>CEO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apparent,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economies.</w:t>
      </w:r>
      <w:r>
        <w:rPr>
          <w:spacing w:val="38"/>
        </w:rPr>
        <w:t> </w:t>
      </w:r>
      <w:r>
        <w:rPr/>
        <w:t>This</w:t>
      </w:r>
      <w:r>
        <w:rPr>
          <w:spacing w:val="38"/>
        </w:rPr>
        <w:t> </w:t>
      </w:r>
      <w:r>
        <w:rPr/>
        <w:t>shields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critical</w:t>
      </w:r>
      <w:r>
        <w:rPr>
          <w:spacing w:val="38"/>
        </w:rPr>
        <w:t> </w:t>
      </w:r>
      <w:r>
        <w:rPr/>
        <w:t>understanding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impact</w:t>
      </w:r>
      <w:r>
        <w:rPr>
          <w:spacing w:val="38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37"/>
        </w:rPr>
        <w:t> </w:t>
      </w:r>
      <w:r>
        <w:rPr/>
        <w:t>CEO</w:t>
      </w:r>
      <w:r>
        <w:rPr>
          <w:spacing w:val="38"/>
        </w:rPr>
        <w:t> </w:t>
      </w:r>
      <w:r>
        <w:rPr/>
        <w:t>because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7"/>
      </w:pPr>
      <w:r>
        <w:rPr/>
        <w:t>powerful</w:t>
      </w:r>
      <w:r>
        <w:rPr>
          <w:spacing w:val="-6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CEO</w:t>
      </w:r>
      <w:r>
        <w:rPr>
          <w:spacing w:val="-6"/>
        </w:rPr>
        <w:t> </w:t>
      </w:r>
      <w:r>
        <w:rPr/>
        <w:t>wields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directing</w:t>
      </w:r>
      <w:r>
        <w:rPr>
          <w:spacing w:val="-5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strategy.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fills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gap</w:t>
      </w:r>
      <w:r>
        <w:rPr>
          <w:spacing w:val="-58"/>
        </w:rPr>
        <w:t> </w:t>
      </w:r>
      <w:r>
        <w:rPr/>
        <w:t>and thus to the best of our knowledge, our study is the first to investigate the combined impact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both board and CEOs’ characteristics on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aggressiveness.</w:t>
      </w:r>
    </w:p>
    <w:p>
      <w:pPr>
        <w:pStyle w:val="BodyText"/>
        <w:spacing w:line="480" w:lineRule="auto" w:before="202"/>
        <w:ind w:right="829"/>
      </w:pPr>
      <w:r>
        <w:rPr/>
        <w:drawing>
          <wp:anchor distT="0" distB="0" distL="0" distR="0" allowOverlap="1" layoutInCell="1" locked="0" behindDoc="1" simplePos="0" relativeHeight="454000128">
            <wp:simplePos x="0" y="0"/>
            <wp:positionH relativeFrom="page">
              <wp:posOffset>1261605</wp:posOffset>
            </wp:positionH>
            <wp:positionV relativeFrom="paragraph">
              <wp:posOffset>726606</wp:posOffset>
            </wp:positionV>
            <wp:extent cx="5133225" cy="5265293"/>
            <wp:effectExtent l="0" t="0" r="0" b="0"/>
            <wp:wrapNone/>
            <wp:docPr id="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Furthermore, the study also proceeds to ascertain if that there exists an optimal governance</w:t>
      </w:r>
      <w:r>
        <w:rPr>
          <w:spacing w:val="1"/>
        </w:rPr>
        <w:t> </w:t>
      </w:r>
      <w:r>
        <w:rPr/>
        <w:t>composition and, in this regard, employed the threshold model to estimate this. The method of</w:t>
      </w:r>
      <w:r>
        <w:rPr>
          <w:spacing w:val="-57"/>
        </w:rPr>
        <w:t> </w:t>
      </w:r>
      <w:r>
        <w:rPr/>
        <w:t>threshold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individual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minimizes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sum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residuals</w:t>
      </w:r>
      <w:r>
        <w:rPr>
          <w:spacing w:val="-6"/>
        </w:rPr>
        <w:t> </w:t>
      </w:r>
      <w:r>
        <w:rPr/>
        <w:t>squares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58"/>
        </w:rPr>
        <w:t> </w:t>
      </w:r>
      <w:r>
        <w:rPr/>
        <w:t>the</w:t>
      </w:r>
      <w:r>
        <w:rPr>
          <w:spacing w:val="-12"/>
        </w:rPr>
        <w:t> </w:t>
      </w:r>
      <w:r>
        <w:rPr/>
        <w:t>threshold</w:t>
      </w:r>
      <w:r>
        <w:rPr>
          <w:spacing w:val="-11"/>
        </w:rPr>
        <w:t> </w:t>
      </w:r>
      <w:r>
        <w:rPr/>
        <w:t>value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tests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prominence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threshold</w:t>
      </w:r>
      <w:r>
        <w:rPr>
          <w:spacing w:val="-11"/>
        </w:rPr>
        <w:t> </w:t>
      </w:r>
      <w:r>
        <w:rPr/>
        <w:t>value.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specific</w:t>
      </w:r>
      <w:r>
        <w:rPr>
          <w:spacing w:val="-12"/>
        </w:rPr>
        <w:t> </w:t>
      </w:r>
      <w:r>
        <w:rPr/>
        <w:t>idea</w:t>
      </w:r>
      <w:r>
        <w:rPr>
          <w:spacing w:val="-13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13"/>
        </w:rPr>
        <w:t> </w:t>
      </w:r>
      <w:r>
        <w:rPr/>
        <w:t>select</w:t>
      </w:r>
      <w:r>
        <w:rPr>
          <w:spacing w:val="-58"/>
        </w:rPr>
        <w:t> </w:t>
      </w:r>
      <w:r>
        <w:rPr/>
        <w:t>a certain variable as the threshold variable, and divide the regression model into multiple</w:t>
      </w:r>
      <w:r>
        <w:rPr>
          <w:spacing w:val="1"/>
        </w:rPr>
        <w:t> </w:t>
      </w:r>
      <w:r>
        <w:rPr/>
        <w:t>intervals according to the searched threshold. The regression equations of each interval are</w:t>
      </w:r>
      <w:r>
        <w:rPr>
          <w:spacing w:val="1"/>
        </w:rPr>
        <w:t> </w:t>
      </w:r>
      <w:r>
        <w:rPr/>
        <w:t>expressed differently, and the other sample values are classified according to the interval</w:t>
      </w:r>
      <w:r>
        <w:rPr>
          <w:spacing w:val="1"/>
        </w:rPr>
        <w:t> </w:t>
      </w:r>
      <w:r>
        <w:rPr/>
        <w:t>divided by the threshold. Therefore, beyond determining the impact of both board and CEOs’</w:t>
      </w:r>
      <w:r>
        <w:rPr>
          <w:spacing w:val="1"/>
        </w:rPr>
        <w:t> </w:t>
      </w:r>
      <w:r>
        <w:rPr/>
        <w:t>characteristics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tax</w:t>
      </w:r>
      <w:r>
        <w:rPr>
          <w:spacing w:val="-9"/>
        </w:rPr>
        <w:t> </w:t>
      </w:r>
      <w:r>
        <w:rPr/>
        <w:t>aggressiveness,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uncovers</w:t>
      </w:r>
      <w:r>
        <w:rPr>
          <w:spacing w:val="-6"/>
        </w:rPr>
        <w:t> </w:t>
      </w:r>
      <w:r>
        <w:rPr/>
        <w:t>if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threshold</w:t>
      </w:r>
      <w:r>
        <w:rPr>
          <w:spacing w:val="-9"/>
        </w:rPr>
        <w:t> </w:t>
      </w:r>
      <w:r>
        <w:rPr/>
        <w:t>effect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relationship.</w:t>
      </w:r>
    </w:p>
    <w:p>
      <w:pPr>
        <w:pStyle w:val="Heading1"/>
        <w:numPr>
          <w:ilvl w:val="1"/>
          <w:numId w:val="16"/>
        </w:numPr>
        <w:tabs>
          <w:tab w:pos="1183" w:val="left" w:leader="none"/>
        </w:tabs>
        <w:spacing w:line="240" w:lineRule="auto" w:before="201" w:after="0"/>
        <w:ind w:left="1182" w:right="0" w:hanging="361"/>
        <w:jc w:val="both"/>
      </w:pPr>
      <w:bookmarkStart w:name="_bookmark12" w:id="15"/>
      <w:bookmarkEnd w:id="15"/>
      <w:r>
        <w:rPr>
          <w:b w:val="0"/>
        </w:rPr>
      </w:r>
      <w:bookmarkStart w:name="_bookmark12" w:id="16"/>
      <w:bookmarkEnd w:id="16"/>
      <w:r>
        <w:rPr/>
        <w:t>R</w:t>
      </w:r>
      <w:r>
        <w:rPr/>
        <w:t>esearch</w:t>
      </w:r>
      <w:r>
        <w:rPr>
          <w:spacing w:val="-8"/>
        </w:rPr>
        <w:t> </w:t>
      </w:r>
      <w:r>
        <w:rPr/>
        <w:t>Objectives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6"/>
        <w:jc w:val="left"/>
      </w:pPr>
      <w:r>
        <w:rPr/>
        <w:t>The</w:t>
      </w:r>
      <w:r>
        <w:rPr>
          <w:spacing w:val="1"/>
        </w:rPr>
        <w:t> </w:t>
      </w:r>
      <w:r>
        <w:rPr/>
        <w:t>broad</w:t>
      </w:r>
      <w:r>
        <w:rPr>
          <w:spacing w:val="3"/>
        </w:rPr>
        <w:t> </w:t>
      </w:r>
      <w:r>
        <w:rPr/>
        <w:t>objective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examine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effect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corporate</w:t>
      </w:r>
      <w:r>
        <w:rPr>
          <w:spacing w:val="3"/>
        </w:rPr>
        <w:t> </w:t>
      </w:r>
      <w:r>
        <w:rPr/>
        <w:t>governance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tax</w:t>
      </w:r>
      <w:r>
        <w:rPr>
          <w:spacing w:val="3"/>
        </w:rPr>
        <w:t> </w:t>
      </w:r>
      <w:r>
        <w:rPr/>
        <w:t>aggressiveness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quoted</w:t>
      </w:r>
      <w:r>
        <w:rPr>
          <w:spacing w:val="-2"/>
        </w:rPr>
        <w:t> </w:t>
      </w:r>
      <w:r>
        <w:rPr/>
        <w:t>non-financial</w:t>
      </w:r>
      <w:r>
        <w:rPr>
          <w:spacing w:val="1"/>
        </w:rPr>
        <w:t> </w:t>
      </w:r>
      <w:r>
        <w:rPr/>
        <w:t>firms in Nigeria. The</w:t>
      </w:r>
      <w:r>
        <w:rPr>
          <w:spacing w:val="-2"/>
        </w:rPr>
        <w:t> </w:t>
      </w:r>
      <w:r>
        <w:rPr/>
        <w:t>specific objectives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to;</w:t>
      </w:r>
    </w:p>
    <w:p>
      <w:pPr>
        <w:pStyle w:val="ListParagraph"/>
        <w:numPr>
          <w:ilvl w:val="2"/>
          <w:numId w:val="16"/>
        </w:numPr>
        <w:tabs>
          <w:tab w:pos="1388" w:val="left" w:leader="none"/>
          <w:tab w:pos="1389" w:val="left" w:leader="none"/>
        </w:tabs>
        <w:spacing w:line="480" w:lineRule="auto" w:before="120" w:after="0"/>
        <w:ind w:left="1388" w:right="830" w:hanging="425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extent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which</w:t>
      </w:r>
      <w:r>
        <w:rPr>
          <w:spacing w:val="25"/>
          <w:sz w:val="24"/>
        </w:rPr>
        <w:t> </w:t>
      </w:r>
      <w:r>
        <w:rPr>
          <w:sz w:val="24"/>
        </w:rPr>
        <w:t>board</w:t>
      </w:r>
      <w:r>
        <w:rPr>
          <w:spacing w:val="26"/>
          <w:sz w:val="24"/>
        </w:rPr>
        <w:t> </w:t>
      </w:r>
      <w:r>
        <w:rPr>
          <w:sz w:val="24"/>
        </w:rPr>
        <w:t>independence</w:t>
      </w:r>
      <w:r>
        <w:rPr>
          <w:spacing w:val="26"/>
          <w:sz w:val="24"/>
        </w:rPr>
        <w:t> </w:t>
      </w:r>
      <w:r>
        <w:rPr>
          <w:sz w:val="24"/>
        </w:rPr>
        <w:t>impact</w:t>
      </w:r>
      <w:r>
        <w:rPr>
          <w:spacing w:val="26"/>
          <w:sz w:val="24"/>
        </w:rPr>
        <w:t> </w:t>
      </w:r>
      <w:r>
        <w:rPr>
          <w:sz w:val="24"/>
        </w:rPr>
        <w:t>tax</w:t>
      </w:r>
      <w:r>
        <w:rPr>
          <w:spacing w:val="30"/>
          <w:sz w:val="24"/>
        </w:rPr>
        <w:t> </w:t>
      </w:r>
      <w:r>
        <w:rPr>
          <w:sz w:val="24"/>
        </w:rPr>
        <w:t>aggressiveness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quoted</w:t>
      </w:r>
      <w:r>
        <w:rPr>
          <w:spacing w:val="-57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in Nigeria;</w:t>
      </w:r>
    </w:p>
    <w:p>
      <w:pPr>
        <w:pStyle w:val="ListParagraph"/>
        <w:numPr>
          <w:ilvl w:val="2"/>
          <w:numId w:val="16"/>
        </w:numPr>
        <w:tabs>
          <w:tab w:pos="1388" w:val="left" w:leader="none"/>
          <w:tab w:pos="1389" w:val="left" w:leader="none"/>
        </w:tabs>
        <w:spacing w:line="480" w:lineRule="auto" w:before="1" w:after="0"/>
        <w:ind w:left="1388" w:right="834" w:hanging="425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extent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which</w:t>
      </w:r>
      <w:r>
        <w:rPr>
          <w:spacing w:val="20"/>
          <w:sz w:val="24"/>
        </w:rPr>
        <w:t> </w:t>
      </w:r>
      <w:r>
        <w:rPr>
          <w:sz w:val="24"/>
        </w:rPr>
        <w:t>board</w:t>
      </w:r>
      <w:r>
        <w:rPr>
          <w:spacing w:val="19"/>
          <w:sz w:val="24"/>
        </w:rPr>
        <w:t> </w:t>
      </w:r>
      <w:r>
        <w:rPr>
          <w:sz w:val="24"/>
        </w:rPr>
        <w:t>size</w:t>
      </w:r>
      <w:r>
        <w:rPr>
          <w:spacing w:val="20"/>
          <w:sz w:val="24"/>
        </w:rPr>
        <w:t> </w:t>
      </w:r>
      <w:r>
        <w:rPr>
          <w:sz w:val="24"/>
        </w:rPr>
        <w:t>impact</w:t>
      </w:r>
      <w:r>
        <w:rPr>
          <w:spacing w:val="27"/>
          <w:sz w:val="24"/>
        </w:rPr>
        <w:t> </w:t>
      </w:r>
      <w:r>
        <w:rPr>
          <w:sz w:val="24"/>
        </w:rPr>
        <w:t>tax</w:t>
      </w:r>
      <w:r>
        <w:rPr>
          <w:spacing w:val="19"/>
          <w:sz w:val="24"/>
        </w:rPr>
        <w:t> </w:t>
      </w:r>
      <w:r>
        <w:rPr>
          <w:sz w:val="24"/>
        </w:rPr>
        <w:t>aggressiveness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quoted</w:t>
      </w:r>
      <w:r>
        <w:rPr>
          <w:spacing w:val="19"/>
          <w:sz w:val="24"/>
        </w:rPr>
        <w:t> </w:t>
      </w:r>
      <w:r>
        <w:rPr>
          <w:sz w:val="24"/>
        </w:rPr>
        <w:t>firms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Nigeria;</w:t>
      </w:r>
    </w:p>
    <w:p>
      <w:pPr>
        <w:pStyle w:val="ListParagraph"/>
        <w:numPr>
          <w:ilvl w:val="2"/>
          <w:numId w:val="16"/>
        </w:numPr>
        <w:tabs>
          <w:tab w:pos="1388" w:val="left" w:leader="none"/>
          <w:tab w:pos="1389" w:val="left" w:leader="none"/>
        </w:tabs>
        <w:spacing w:line="480" w:lineRule="auto" w:before="0" w:after="0"/>
        <w:ind w:left="1388" w:right="832" w:hanging="425"/>
        <w:jc w:val="left"/>
        <w:rPr>
          <w:sz w:val="24"/>
        </w:rPr>
      </w:pPr>
      <w:r>
        <w:rPr>
          <w:sz w:val="24"/>
        </w:rPr>
        <w:t>determine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extent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-8"/>
          <w:sz w:val="24"/>
        </w:rPr>
        <w:t> </w:t>
      </w:r>
      <w:r>
        <w:rPr>
          <w:sz w:val="24"/>
        </w:rPr>
        <w:t>which</w:t>
      </w:r>
      <w:r>
        <w:rPr>
          <w:spacing w:val="-8"/>
          <w:sz w:val="24"/>
        </w:rPr>
        <w:t> </w:t>
      </w:r>
      <w:r>
        <w:rPr>
          <w:sz w:val="24"/>
        </w:rPr>
        <w:t>board</w:t>
      </w:r>
      <w:r>
        <w:rPr>
          <w:spacing w:val="-9"/>
          <w:sz w:val="24"/>
        </w:rPr>
        <w:t> </w:t>
      </w:r>
      <w:r>
        <w:rPr>
          <w:sz w:val="24"/>
        </w:rPr>
        <w:t>gender</w:t>
      </w:r>
      <w:r>
        <w:rPr>
          <w:spacing w:val="-7"/>
          <w:sz w:val="24"/>
        </w:rPr>
        <w:t> </w:t>
      </w:r>
      <w:r>
        <w:rPr>
          <w:sz w:val="24"/>
        </w:rPr>
        <w:t>diversity</w:t>
      </w:r>
      <w:r>
        <w:rPr>
          <w:spacing w:val="-7"/>
          <w:sz w:val="24"/>
        </w:rPr>
        <w:t> </w:t>
      </w:r>
      <w:r>
        <w:rPr>
          <w:sz w:val="24"/>
        </w:rPr>
        <w:t>impact</w:t>
      </w:r>
      <w:r>
        <w:rPr>
          <w:spacing w:val="-5"/>
          <w:sz w:val="24"/>
        </w:rPr>
        <w:t> </w:t>
      </w:r>
      <w:r>
        <w:rPr>
          <w:sz w:val="24"/>
        </w:rPr>
        <w:t>tax</w:t>
      </w:r>
      <w:r>
        <w:rPr>
          <w:spacing w:val="-8"/>
          <w:sz w:val="24"/>
        </w:rPr>
        <w:t> </w:t>
      </w:r>
      <w:r>
        <w:rPr>
          <w:sz w:val="24"/>
        </w:rPr>
        <w:t>aggressiveness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quoted</w:t>
      </w:r>
      <w:r>
        <w:rPr>
          <w:spacing w:val="-57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in Nigeria;</w:t>
      </w:r>
    </w:p>
    <w:p>
      <w:pPr>
        <w:pStyle w:val="ListParagraph"/>
        <w:numPr>
          <w:ilvl w:val="2"/>
          <w:numId w:val="16"/>
        </w:numPr>
        <w:tabs>
          <w:tab w:pos="1388" w:val="left" w:leader="none"/>
          <w:tab w:pos="1389" w:val="left" w:leader="none"/>
        </w:tabs>
        <w:spacing w:line="477" w:lineRule="auto" w:before="0" w:after="0"/>
        <w:ind w:left="1388" w:right="831" w:hanging="425"/>
        <w:jc w:val="left"/>
        <w:rPr>
          <w:sz w:val="24"/>
        </w:rPr>
      </w:pPr>
      <w:r>
        <w:rPr>
          <w:spacing w:val="-1"/>
          <w:sz w:val="24"/>
        </w:rPr>
        <w:t>investigate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extent</w:t>
      </w:r>
      <w:r>
        <w:rPr>
          <w:spacing w:val="-15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which</w:t>
      </w:r>
      <w:r>
        <w:rPr>
          <w:spacing w:val="-15"/>
          <w:sz w:val="24"/>
        </w:rPr>
        <w:t> </w:t>
      </w:r>
      <w:r>
        <w:rPr>
          <w:sz w:val="24"/>
        </w:rPr>
        <w:t>board</w:t>
      </w:r>
      <w:r>
        <w:rPr>
          <w:spacing w:val="-16"/>
          <w:sz w:val="24"/>
        </w:rPr>
        <w:t> </w:t>
      </w:r>
      <w:r>
        <w:rPr>
          <w:sz w:val="24"/>
        </w:rPr>
        <w:t>ownership</w:t>
      </w:r>
      <w:r>
        <w:rPr>
          <w:spacing w:val="-14"/>
          <w:sz w:val="24"/>
        </w:rPr>
        <w:t> </w:t>
      </w:r>
      <w:r>
        <w:rPr>
          <w:sz w:val="24"/>
        </w:rPr>
        <w:t>affects</w:t>
      </w:r>
      <w:r>
        <w:rPr>
          <w:spacing w:val="-12"/>
          <w:sz w:val="24"/>
        </w:rPr>
        <w:t> </w:t>
      </w:r>
      <w:r>
        <w:rPr>
          <w:sz w:val="24"/>
        </w:rPr>
        <w:t>tax</w:t>
      </w:r>
      <w:r>
        <w:rPr>
          <w:spacing w:val="-11"/>
          <w:sz w:val="24"/>
        </w:rPr>
        <w:t> </w:t>
      </w:r>
      <w:r>
        <w:rPr>
          <w:sz w:val="24"/>
        </w:rPr>
        <w:t>aggressiveness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5"/>
          <w:sz w:val="24"/>
        </w:rPr>
        <w:t> </w:t>
      </w:r>
      <w:r>
        <w:rPr>
          <w:sz w:val="24"/>
        </w:rPr>
        <w:t>quoted</w:t>
      </w:r>
      <w:r>
        <w:rPr>
          <w:spacing w:val="-15"/>
          <w:sz w:val="24"/>
        </w:rPr>
        <w:t> </w:t>
      </w:r>
      <w:r>
        <w:rPr>
          <w:sz w:val="24"/>
        </w:rPr>
        <w:t>firms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Nigeria;</w:t>
      </w:r>
    </w:p>
    <w:p>
      <w:pPr>
        <w:spacing w:after="0" w:line="477" w:lineRule="auto"/>
        <w:jc w:val="left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ListParagraph"/>
        <w:numPr>
          <w:ilvl w:val="2"/>
          <w:numId w:val="16"/>
        </w:numPr>
        <w:tabs>
          <w:tab w:pos="1388" w:val="left" w:leader="none"/>
          <w:tab w:pos="1389" w:val="left" w:leader="none"/>
        </w:tabs>
        <w:spacing w:line="240" w:lineRule="auto" w:before="77" w:after="0"/>
        <w:ind w:left="1388" w:right="0" w:hanging="426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impact of</w:t>
      </w:r>
      <w:r>
        <w:rPr>
          <w:spacing w:val="-1"/>
          <w:sz w:val="24"/>
        </w:rPr>
        <w:t> </w:t>
      </w:r>
      <w:r>
        <w:rPr>
          <w:sz w:val="24"/>
        </w:rPr>
        <w:t>CEO</w:t>
      </w:r>
      <w:r>
        <w:rPr>
          <w:spacing w:val="-2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tax aggressiveness in</w:t>
      </w:r>
      <w:r>
        <w:rPr>
          <w:spacing w:val="-1"/>
          <w:sz w:val="24"/>
        </w:rPr>
        <w:t> </w:t>
      </w:r>
      <w:r>
        <w:rPr>
          <w:sz w:val="24"/>
        </w:rPr>
        <w:t>quoted</w:t>
      </w:r>
      <w:r>
        <w:rPr>
          <w:spacing w:val="1"/>
          <w:sz w:val="24"/>
        </w:rPr>
        <w:t> </w:t>
      </w:r>
      <w:r>
        <w:rPr>
          <w:sz w:val="24"/>
        </w:rPr>
        <w:t>firms in</w:t>
      </w:r>
      <w:r>
        <w:rPr>
          <w:spacing w:val="-1"/>
          <w:sz w:val="24"/>
        </w:rPr>
        <w:t> </w:t>
      </w:r>
      <w:r>
        <w:rPr>
          <w:sz w:val="24"/>
        </w:rPr>
        <w:t>Nigeria;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2"/>
          <w:numId w:val="16"/>
        </w:numPr>
        <w:tabs>
          <w:tab w:pos="1388" w:val="left" w:leader="none"/>
          <w:tab w:pos="1389" w:val="left" w:leader="none"/>
        </w:tabs>
        <w:spacing w:line="240" w:lineRule="auto" w:before="1" w:after="0"/>
        <w:ind w:left="1388" w:right="0" w:hanging="426"/>
        <w:jc w:val="left"/>
        <w:rPr>
          <w:sz w:val="24"/>
        </w:rPr>
      </w:pPr>
      <w:r>
        <w:rPr>
          <w:sz w:val="24"/>
        </w:rPr>
        <w:t>evaluate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impact of</w:t>
      </w:r>
      <w:r>
        <w:rPr>
          <w:spacing w:val="-1"/>
          <w:sz w:val="24"/>
        </w:rPr>
        <w:t> </w:t>
      </w:r>
      <w:r>
        <w:rPr>
          <w:sz w:val="24"/>
        </w:rPr>
        <w:t>CEO</w:t>
      </w:r>
      <w:r>
        <w:rPr>
          <w:spacing w:val="-1"/>
          <w:sz w:val="24"/>
        </w:rPr>
        <w:t> </w:t>
      </w:r>
      <w:r>
        <w:rPr>
          <w:sz w:val="24"/>
        </w:rPr>
        <w:t>tenure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tax aggressiveness in</w:t>
      </w:r>
      <w:r>
        <w:rPr>
          <w:spacing w:val="-1"/>
          <w:sz w:val="24"/>
        </w:rPr>
        <w:t> </w:t>
      </w:r>
      <w:r>
        <w:rPr>
          <w:sz w:val="24"/>
        </w:rPr>
        <w:t>quoted</w:t>
      </w:r>
      <w:r>
        <w:rPr>
          <w:spacing w:val="1"/>
          <w:sz w:val="24"/>
        </w:rPr>
        <w:t> </w:t>
      </w:r>
      <w:r>
        <w:rPr>
          <w:sz w:val="24"/>
        </w:rPr>
        <w:t>firms in</w:t>
      </w:r>
      <w:r>
        <w:rPr>
          <w:spacing w:val="-1"/>
          <w:sz w:val="24"/>
        </w:rPr>
        <w:t> </w:t>
      </w:r>
      <w:r>
        <w:rPr>
          <w:sz w:val="24"/>
        </w:rPr>
        <w:t>Nigeria;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ind w:left="0"/>
        <w:jc w:val="left"/>
      </w:pPr>
    </w:p>
    <w:p>
      <w:pPr>
        <w:pStyle w:val="ListParagraph"/>
        <w:numPr>
          <w:ilvl w:val="2"/>
          <w:numId w:val="16"/>
        </w:numPr>
        <w:tabs>
          <w:tab w:pos="1388" w:val="left" w:leader="none"/>
          <w:tab w:pos="1389" w:val="left" w:leader="none"/>
        </w:tabs>
        <w:spacing w:line="240" w:lineRule="auto" w:before="0" w:after="0"/>
        <w:ind w:left="1388" w:right="0" w:hanging="426"/>
        <w:jc w:val="left"/>
        <w:rPr>
          <w:sz w:val="24"/>
        </w:rPr>
      </w:pPr>
      <w:r>
        <w:rPr>
          <w:sz w:val="24"/>
        </w:rPr>
        <w:t>investigate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effect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CEO</w:t>
      </w:r>
      <w:r>
        <w:rPr>
          <w:spacing w:val="-10"/>
          <w:sz w:val="24"/>
        </w:rPr>
        <w:t> </w:t>
      </w:r>
      <w:r>
        <w:rPr>
          <w:sz w:val="24"/>
        </w:rPr>
        <w:t>ownership</w:t>
      </w:r>
      <w:r>
        <w:rPr>
          <w:spacing w:val="-8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tax</w:t>
      </w:r>
      <w:r>
        <w:rPr>
          <w:spacing w:val="-10"/>
          <w:sz w:val="24"/>
        </w:rPr>
        <w:t> </w:t>
      </w:r>
      <w:r>
        <w:rPr>
          <w:sz w:val="24"/>
        </w:rPr>
        <w:t>aggressiveness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quoted</w:t>
      </w:r>
      <w:r>
        <w:rPr>
          <w:spacing w:val="-8"/>
          <w:sz w:val="24"/>
        </w:rPr>
        <w:t> </w:t>
      </w:r>
      <w:r>
        <w:rPr>
          <w:sz w:val="24"/>
        </w:rPr>
        <w:t>firms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ind w:left="0"/>
        <w:jc w:val="left"/>
      </w:pPr>
    </w:p>
    <w:p>
      <w:pPr>
        <w:pStyle w:val="Heading1"/>
        <w:numPr>
          <w:ilvl w:val="1"/>
          <w:numId w:val="16"/>
        </w:numPr>
        <w:tabs>
          <w:tab w:pos="1183" w:val="left" w:leader="none"/>
        </w:tabs>
        <w:spacing w:line="240" w:lineRule="auto" w:before="0" w:after="0"/>
        <w:ind w:left="1182" w:right="0" w:hanging="361"/>
        <w:jc w:val="left"/>
      </w:pPr>
      <w:bookmarkStart w:name="_bookmark13" w:id="17"/>
      <w:bookmarkEnd w:id="17"/>
      <w:r>
        <w:rPr>
          <w:b w:val="0"/>
        </w:rPr>
      </w:r>
      <w:bookmarkStart w:name="_bookmark13" w:id="18"/>
      <w:bookmarkEnd w:id="18"/>
      <w:r>
        <w:rPr/>
        <w:t>R</w:t>
      </w:r>
      <w:r>
        <w:rPr/>
        <w:t>esearch</w:t>
      </w:r>
      <w:r>
        <w:rPr>
          <w:spacing w:val="-4"/>
        </w:rPr>
        <w:t> </w:t>
      </w:r>
      <w:r>
        <w:rPr/>
        <w:t>Questions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jc w:val="left"/>
      </w:pP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perform 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 are</w:t>
      </w:r>
      <w:r>
        <w:rPr>
          <w:spacing w:val="-2"/>
        </w:rPr>
        <w:t> </w:t>
      </w:r>
      <w:r>
        <w:rPr/>
        <w:t>necessary</w:t>
      </w:r>
      <w:r>
        <w:rPr>
          <w:spacing w:val="-1"/>
        </w:rPr>
        <w:t> </w:t>
      </w:r>
      <w:r>
        <w:rPr/>
        <w:t>to be</w:t>
      </w:r>
      <w:r>
        <w:rPr>
          <w:spacing w:val="-3"/>
        </w:rPr>
        <w:t> </w:t>
      </w:r>
      <w:r>
        <w:rPr/>
        <w:t>address: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480" w:lineRule="auto" w:before="0" w:after="0"/>
        <w:ind w:left="1249" w:right="827" w:hanging="42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00640">
            <wp:simplePos x="0" y="0"/>
            <wp:positionH relativeFrom="page">
              <wp:posOffset>1261605</wp:posOffset>
            </wp:positionH>
            <wp:positionV relativeFrom="paragraph">
              <wp:posOffset>-90510</wp:posOffset>
            </wp:positionV>
            <wp:extent cx="5133225" cy="5265293"/>
            <wp:effectExtent l="0" t="0" r="0" b="0"/>
            <wp:wrapNone/>
            <wp:docPr id="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31"/>
          <w:sz w:val="24"/>
        </w:rPr>
        <w:t> </w:t>
      </w: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extent</w:t>
      </w:r>
      <w:r>
        <w:rPr>
          <w:spacing w:val="32"/>
          <w:sz w:val="24"/>
        </w:rPr>
        <w:t> </w:t>
      </w:r>
      <w:r>
        <w:rPr>
          <w:sz w:val="24"/>
        </w:rPr>
        <w:t>does</w:t>
      </w:r>
      <w:r>
        <w:rPr>
          <w:spacing w:val="32"/>
          <w:sz w:val="24"/>
        </w:rPr>
        <w:t> </w:t>
      </w:r>
      <w:r>
        <w:rPr>
          <w:sz w:val="24"/>
        </w:rPr>
        <w:t>board</w:t>
      </w:r>
      <w:r>
        <w:rPr>
          <w:spacing w:val="31"/>
          <w:sz w:val="24"/>
        </w:rPr>
        <w:t> </w:t>
      </w:r>
      <w:r>
        <w:rPr>
          <w:sz w:val="24"/>
        </w:rPr>
        <w:t>independence</w:t>
      </w:r>
      <w:r>
        <w:rPr>
          <w:spacing w:val="31"/>
          <w:sz w:val="24"/>
        </w:rPr>
        <w:t> </w:t>
      </w:r>
      <w:r>
        <w:rPr>
          <w:sz w:val="24"/>
        </w:rPr>
        <w:t>impact</w:t>
      </w:r>
      <w:r>
        <w:rPr>
          <w:spacing w:val="32"/>
          <w:sz w:val="24"/>
        </w:rPr>
        <w:t> </w:t>
      </w:r>
      <w:r>
        <w:rPr>
          <w:sz w:val="24"/>
        </w:rPr>
        <w:t>tax</w:t>
      </w:r>
      <w:r>
        <w:rPr>
          <w:spacing w:val="35"/>
          <w:sz w:val="24"/>
        </w:rPr>
        <w:t> </w:t>
      </w:r>
      <w:r>
        <w:rPr>
          <w:sz w:val="24"/>
        </w:rPr>
        <w:t>aggressiveness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quoted</w:t>
      </w:r>
      <w:r>
        <w:rPr>
          <w:spacing w:val="31"/>
          <w:sz w:val="24"/>
        </w:rPr>
        <w:t> </w:t>
      </w:r>
      <w:r>
        <w:rPr>
          <w:sz w:val="24"/>
        </w:rPr>
        <w:t>firms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240" w:lineRule="auto" w:before="120" w:after="0"/>
        <w:ind w:left="1249" w:right="0" w:hanging="428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impact</w:t>
      </w:r>
      <w:r>
        <w:rPr>
          <w:spacing w:val="-1"/>
          <w:sz w:val="24"/>
        </w:rPr>
        <w:t> </w:t>
      </w:r>
      <w:r>
        <w:rPr>
          <w:sz w:val="24"/>
        </w:rPr>
        <w:t>of board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tax aggressiveness in</w:t>
      </w:r>
      <w:r>
        <w:rPr>
          <w:spacing w:val="-1"/>
          <w:sz w:val="24"/>
        </w:rPr>
        <w:t> </w:t>
      </w:r>
      <w:r>
        <w:rPr>
          <w:sz w:val="24"/>
        </w:rPr>
        <w:t>quoted</w:t>
      </w:r>
      <w:r>
        <w:rPr>
          <w:spacing w:val="2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480" w:lineRule="auto" w:before="1" w:after="0"/>
        <w:ind w:left="1249" w:right="832" w:hanging="428"/>
        <w:jc w:val="left"/>
        <w:rPr>
          <w:sz w:val="24"/>
        </w:rPr>
      </w:pPr>
      <w:r>
        <w:rPr>
          <w:sz w:val="24"/>
        </w:rPr>
        <w:t>What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impact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board</w:t>
      </w:r>
      <w:r>
        <w:rPr>
          <w:spacing w:val="30"/>
          <w:sz w:val="24"/>
        </w:rPr>
        <w:t> </w:t>
      </w:r>
      <w:r>
        <w:rPr>
          <w:sz w:val="24"/>
        </w:rPr>
        <w:t>gender</w:t>
      </w:r>
      <w:r>
        <w:rPr>
          <w:spacing w:val="29"/>
          <w:sz w:val="24"/>
        </w:rPr>
        <w:t> </w:t>
      </w:r>
      <w:r>
        <w:rPr>
          <w:sz w:val="24"/>
        </w:rPr>
        <w:t>diversity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8"/>
          <w:sz w:val="24"/>
        </w:rPr>
        <w:t> </w:t>
      </w:r>
      <w:r>
        <w:rPr>
          <w:sz w:val="24"/>
        </w:rPr>
        <w:t>tax</w:t>
      </w:r>
      <w:r>
        <w:rPr>
          <w:spacing w:val="30"/>
          <w:sz w:val="24"/>
        </w:rPr>
        <w:t> </w:t>
      </w:r>
      <w:r>
        <w:rPr>
          <w:sz w:val="24"/>
        </w:rPr>
        <w:t>aggressiveness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quoted</w:t>
      </w:r>
      <w:r>
        <w:rPr>
          <w:spacing w:val="29"/>
          <w:sz w:val="24"/>
        </w:rPr>
        <w:t> </w:t>
      </w:r>
      <w:r>
        <w:rPr>
          <w:sz w:val="24"/>
        </w:rPr>
        <w:t>firms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480" w:lineRule="auto" w:before="120" w:after="0"/>
        <w:ind w:left="1249" w:right="829" w:hanging="428"/>
        <w:jc w:val="left"/>
        <w:rPr>
          <w:sz w:val="24"/>
        </w:rPr>
      </w:pP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what</w:t>
      </w:r>
      <w:r>
        <w:rPr>
          <w:spacing w:val="35"/>
          <w:sz w:val="24"/>
        </w:rPr>
        <w:t> </w:t>
      </w:r>
      <w:r>
        <w:rPr>
          <w:sz w:val="24"/>
        </w:rPr>
        <w:t>extent</w:t>
      </w:r>
      <w:r>
        <w:rPr>
          <w:spacing w:val="34"/>
          <w:sz w:val="24"/>
        </w:rPr>
        <w:t> </w:t>
      </w:r>
      <w:r>
        <w:rPr>
          <w:sz w:val="24"/>
        </w:rPr>
        <w:t>tax</w:t>
      </w:r>
      <w:r>
        <w:rPr>
          <w:spacing w:val="35"/>
          <w:sz w:val="24"/>
        </w:rPr>
        <w:t> </w:t>
      </w:r>
      <w:r>
        <w:rPr>
          <w:sz w:val="24"/>
        </w:rPr>
        <w:t>does</w:t>
      </w:r>
      <w:r>
        <w:rPr>
          <w:spacing w:val="37"/>
          <w:sz w:val="24"/>
        </w:rPr>
        <w:t> </w:t>
      </w:r>
      <w:r>
        <w:rPr>
          <w:sz w:val="24"/>
        </w:rPr>
        <w:t>board</w:t>
      </w:r>
      <w:r>
        <w:rPr>
          <w:spacing w:val="34"/>
          <w:sz w:val="24"/>
        </w:rPr>
        <w:t> </w:t>
      </w:r>
      <w:r>
        <w:rPr>
          <w:sz w:val="24"/>
        </w:rPr>
        <w:t>ownership</w:t>
      </w:r>
      <w:r>
        <w:rPr>
          <w:spacing w:val="35"/>
          <w:sz w:val="24"/>
        </w:rPr>
        <w:t> </w:t>
      </w:r>
      <w:r>
        <w:rPr>
          <w:sz w:val="24"/>
        </w:rPr>
        <w:t>affect</w:t>
      </w:r>
      <w:r>
        <w:rPr>
          <w:spacing w:val="37"/>
          <w:sz w:val="24"/>
        </w:rPr>
        <w:t> </w:t>
      </w:r>
      <w:r>
        <w:rPr>
          <w:sz w:val="24"/>
        </w:rPr>
        <w:t>tax</w:t>
      </w:r>
      <w:r>
        <w:rPr>
          <w:spacing w:val="35"/>
          <w:sz w:val="24"/>
        </w:rPr>
        <w:t> </w:t>
      </w:r>
      <w:r>
        <w:rPr>
          <w:sz w:val="24"/>
        </w:rPr>
        <w:t>aggressiveness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35"/>
          <w:sz w:val="24"/>
        </w:rPr>
        <w:t> </w:t>
      </w:r>
      <w:r>
        <w:rPr>
          <w:sz w:val="24"/>
        </w:rPr>
        <w:t>quoted</w:t>
      </w:r>
      <w:r>
        <w:rPr>
          <w:spacing w:val="34"/>
          <w:sz w:val="24"/>
        </w:rPr>
        <w:t> </w:t>
      </w:r>
      <w:r>
        <w:rPr>
          <w:sz w:val="24"/>
        </w:rPr>
        <w:t>firms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Nigeria?</w:t>
      </w: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240" w:lineRule="auto" w:before="120" w:after="0"/>
        <w:ind w:left="1249" w:right="0" w:hanging="428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impact of</w:t>
      </w:r>
      <w:r>
        <w:rPr>
          <w:spacing w:val="-1"/>
          <w:sz w:val="24"/>
        </w:rPr>
        <w:t> </w:t>
      </w:r>
      <w:r>
        <w:rPr>
          <w:sz w:val="24"/>
        </w:rPr>
        <w:t>CEO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on tax aggressiveness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quoted</w:t>
      </w:r>
      <w:r>
        <w:rPr>
          <w:spacing w:val="3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428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 impact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CEO tenure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tax</w:t>
      </w:r>
      <w:r>
        <w:rPr>
          <w:spacing w:val="1"/>
          <w:sz w:val="24"/>
        </w:rPr>
        <w:t> </w:t>
      </w:r>
      <w:r>
        <w:rPr>
          <w:sz w:val="24"/>
        </w:rPr>
        <w:t>aggressiveness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quoted</w:t>
      </w:r>
      <w:r>
        <w:rPr>
          <w:spacing w:val="2"/>
          <w:sz w:val="24"/>
        </w:rPr>
        <w:t> </w:t>
      </w:r>
      <w:r>
        <w:rPr>
          <w:sz w:val="24"/>
        </w:rPr>
        <w:t>firms in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ListParagraph"/>
        <w:numPr>
          <w:ilvl w:val="0"/>
          <w:numId w:val="17"/>
        </w:numPr>
        <w:tabs>
          <w:tab w:pos="1249" w:val="left" w:leader="none"/>
          <w:tab w:pos="1250" w:val="left" w:leader="none"/>
        </w:tabs>
        <w:spacing w:line="240" w:lineRule="auto" w:before="0" w:after="0"/>
        <w:ind w:left="1249" w:right="0" w:hanging="428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impact of</w:t>
      </w:r>
      <w:r>
        <w:rPr>
          <w:spacing w:val="-1"/>
          <w:sz w:val="24"/>
        </w:rPr>
        <w:t> </w:t>
      </w:r>
      <w:r>
        <w:rPr>
          <w:sz w:val="24"/>
        </w:rPr>
        <w:t>CEO ownership</w:t>
      </w:r>
      <w:r>
        <w:rPr>
          <w:spacing w:val="-1"/>
          <w:sz w:val="24"/>
        </w:rPr>
        <w:t> </w:t>
      </w:r>
      <w:r>
        <w:rPr>
          <w:sz w:val="24"/>
        </w:rPr>
        <w:t>on tax</w:t>
      </w:r>
      <w:r>
        <w:rPr>
          <w:spacing w:val="-1"/>
          <w:sz w:val="24"/>
        </w:rPr>
        <w:t> </w:t>
      </w:r>
      <w:r>
        <w:rPr>
          <w:sz w:val="24"/>
        </w:rPr>
        <w:t>aggressiveness in</w:t>
      </w:r>
      <w:r>
        <w:rPr>
          <w:spacing w:val="-1"/>
          <w:sz w:val="24"/>
        </w:rPr>
        <w:t> </w:t>
      </w:r>
      <w:r>
        <w:rPr>
          <w:sz w:val="24"/>
        </w:rPr>
        <w:t>quoted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in Nigeria?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Heading1"/>
        <w:numPr>
          <w:ilvl w:val="1"/>
          <w:numId w:val="18"/>
        </w:numPr>
        <w:tabs>
          <w:tab w:pos="1243" w:val="left" w:leader="none"/>
        </w:tabs>
        <w:spacing w:line="240" w:lineRule="auto" w:before="0" w:after="0"/>
        <w:ind w:left="1242" w:right="0" w:hanging="421"/>
        <w:jc w:val="left"/>
      </w:pPr>
      <w:bookmarkStart w:name="_bookmark14" w:id="19"/>
      <w:bookmarkEnd w:id="19"/>
      <w:r>
        <w:rPr>
          <w:b w:val="0"/>
        </w:rPr>
      </w:r>
      <w:bookmarkStart w:name="_bookmark14" w:id="20"/>
      <w:bookmarkEnd w:id="20"/>
      <w:r>
        <w:rPr/>
        <w:t>R</w:t>
      </w:r>
      <w:r>
        <w:rPr/>
        <w:t>esearch</w:t>
      </w:r>
      <w:r>
        <w:rPr>
          <w:spacing w:val="-5"/>
        </w:rPr>
        <w:t> </w:t>
      </w:r>
      <w:r>
        <w:rPr/>
        <w:t>Hypotheses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jc w:val="left"/>
      </w:pPr>
      <w:r>
        <w:rPr/>
        <w:t>The</w:t>
      </w:r>
      <w:r>
        <w:rPr>
          <w:spacing w:val="-3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stated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null</w:t>
      </w:r>
      <w:r>
        <w:rPr>
          <w:spacing w:val="-1"/>
        </w:rPr>
        <w:t> </w:t>
      </w:r>
      <w:r>
        <w:rPr/>
        <w:t>form</w:t>
      </w:r>
      <w:r>
        <w:rPr>
          <w:spacing w:val="1"/>
        </w:rPr>
        <w:t> </w:t>
      </w:r>
      <w:r>
        <w:rPr/>
        <w:t>below;</w:t>
      </w:r>
    </w:p>
    <w:p>
      <w:pPr>
        <w:pStyle w:val="BodyText"/>
        <w:spacing w:before="5"/>
        <w:ind w:left="0"/>
        <w:jc w:val="left"/>
        <w:rPr>
          <w:sz w:val="34"/>
        </w:rPr>
      </w:pPr>
    </w:p>
    <w:p>
      <w:pPr>
        <w:pStyle w:val="BodyText"/>
        <w:spacing w:line="477" w:lineRule="auto"/>
        <w:ind w:left="1388" w:right="826" w:hanging="567"/>
        <w:jc w:val="left"/>
      </w:pPr>
      <w:r>
        <w:rPr>
          <w:position w:val="2"/>
        </w:rPr>
        <w:t>H</w:t>
      </w:r>
      <w:r>
        <w:rPr>
          <w:sz w:val="16"/>
        </w:rPr>
        <w:t>01</w:t>
      </w:r>
      <w:r>
        <w:rPr>
          <w:position w:val="2"/>
        </w:rPr>
        <w:t>:</w:t>
      </w:r>
      <w:r>
        <w:rPr>
          <w:spacing w:val="17"/>
          <w:position w:val="2"/>
        </w:rPr>
        <w:t> </w:t>
      </w:r>
      <w:r>
        <w:rPr>
          <w:position w:val="2"/>
        </w:rPr>
        <w:t>Board</w:t>
      </w:r>
      <w:r>
        <w:rPr>
          <w:spacing w:val="19"/>
          <w:position w:val="2"/>
        </w:rPr>
        <w:t> </w:t>
      </w:r>
      <w:r>
        <w:rPr>
          <w:position w:val="2"/>
        </w:rPr>
        <w:t>independence</w:t>
      </w:r>
      <w:r>
        <w:rPr>
          <w:spacing w:val="19"/>
          <w:position w:val="2"/>
        </w:rPr>
        <w:t> </w:t>
      </w:r>
      <w:r>
        <w:rPr>
          <w:position w:val="2"/>
        </w:rPr>
        <w:t>has</w:t>
      </w:r>
      <w:r>
        <w:rPr>
          <w:spacing w:val="20"/>
          <w:position w:val="2"/>
        </w:rPr>
        <w:t> </w:t>
      </w:r>
      <w:r>
        <w:rPr>
          <w:position w:val="2"/>
        </w:rPr>
        <w:t>no</w:t>
      </w:r>
      <w:r>
        <w:rPr>
          <w:spacing w:val="19"/>
          <w:position w:val="2"/>
        </w:rPr>
        <w:t> </w:t>
      </w:r>
      <w:r>
        <w:rPr>
          <w:position w:val="2"/>
        </w:rPr>
        <w:t>significant</w:t>
      </w:r>
      <w:r>
        <w:rPr>
          <w:spacing w:val="20"/>
          <w:position w:val="2"/>
        </w:rPr>
        <w:t> </w:t>
      </w:r>
      <w:r>
        <w:rPr>
          <w:position w:val="2"/>
        </w:rPr>
        <w:t>impact</w:t>
      </w:r>
      <w:r>
        <w:rPr>
          <w:spacing w:val="20"/>
          <w:position w:val="2"/>
        </w:rPr>
        <w:t> </w:t>
      </w:r>
      <w:r>
        <w:rPr>
          <w:position w:val="2"/>
        </w:rPr>
        <w:t>on</w:t>
      </w:r>
      <w:r>
        <w:rPr>
          <w:spacing w:val="20"/>
          <w:position w:val="2"/>
        </w:rPr>
        <w:t> </w:t>
      </w:r>
      <w:r>
        <w:rPr>
          <w:position w:val="2"/>
        </w:rPr>
        <w:t>tax</w:t>
      </w:r>
      <w:r>
        <w:rPr>
          <w:spacing w:val="23"/>
          <w:position w:val="2"/>
        </w:rPr>
        <w:t> </w:t>
      </w:r>
      <w:r>
        <w:rPr>
          <w:position w:val="2"/>
        </w:rPr>
        <w:t>aggressiveness</w:t>
      </w:r>
      <w:r>
        <w:rPr>
          <w:spacing w:val="21"/>
          <w:position w:val="2"/>
        </w:rPr>
        <w:t> </w:t>
      </w:r>
      <w:r>
        <w:rPr>
          <w:position w:val="2"/>
        </w:rPr>
        <w:t>in</w:t>
      </w:r>
      <w:r>
        <w:rPr>
          <w:spacing w:val="20"/>
          <w:position w:val="2"/>
        </w:rPr>
        <w:t> </w:t>
      </w:r>
      <w:r>
        <w:rPr>
          <w:position w:val="2"/>
        </w:rPr>
        <w:t>quoted</w:t>
      </w:r>
      <w:r>
        <w:rPr>
          <w:spacing w:val="19"/>
          <w:position w:val="2"/>
        </w:rPr>
        <w:t> </w:t>
      </w:r>
      <w:r>
        <w:rPr>
          <w:position w:val="2"/>
        </w:rPr>
        <w:t>firms</w:t>
      </w:r>
      <w:r>
        <w:rPr>
          <w:spacing w:val="17"/>
          <w:position w:val="2"/>
        </w:rPr>
        <w:t> </w:t>
      </w:r>
      <w:r>
        <w:rPr>
          <w:position w:val="2"/>
        </w:rPr>
        <w:t>in</w:t>
      </w:r>
      <w:r>
        <w:rPr>
          <w:spacing w:val="-57"/>
          <w:position w:val="2"/>
        </w:rPr>
        <w:t> </w:t>
      </w:r>
      <w:r>
        <w:rPr/>
        <w:t>Nigeria</w:t>
      </w:r>
    </w:p>
    <w:p>
      <w:pPr>
        <w:pStyle w:val="BodyText"/>
        <w:spacing w:before="123"/>
        <w:jc w:val="left"/>
      </w:pPr>
      <w:r>
        <w:rPr>
          <w:position w:val="2"/>
        </w:rPr>
        <w:t>H</w:t>
      </w:r>
      <w:r>
        <w:rPr>
          <w:sz w:val="16"/>
        </w:rPr>
        <w:t>02</w:t>
      </w:r>
      <w:r>
        <w:rPr>
          <w:position w:val="2"/>
        </w:rPr>
        <w:t>:</w:t>
      </w:r>
      <w:r>
        <w:rPr>
          <w:spacing w:val="56"/>
          <w:position w:val="2"/>
        </w:rPr>
        <w:t> </w:t>
      </w:r>
      <w:r>
        <w:rPr>
          <w:position w:val="2"/>
        </w:rPr>
        <w:t>Board size</w:t>
      </w:r>
      <w:r>
        <w:rPr>
          <w:spacing w:val="-2"/>
          <w:position w:val="2"/>
        </w:rPr>
        <w:t> </w:t>
      </w:r>
      <w:r>
        <w:rPr>
          <w:position w:val="2"/>
        </w:rPr>
        <w:t>has no</w:t>
      </w:r>
      <w:r>
        <w:rPr>
          <w:spacing w:val="-1"/>
          <w:position w:val="2"/>
        </w:rPr>
        <w:t> </w:t>
      </w:r>
      <w:r>
        <w:rPr>
          <w:position w:val="2"/>
        </w:rPr>
        <w:t>significant impact</w:t>
      </w:r>
      <w:r>
        <w:rPr>
          <w:spacing w:val="-1"/>
          <w:position w:val="2"/>
        </w:rPr>
        <w:t> </w:t>
      </w:r>
      <w:r>
        <w:rPr>
          <w:position w:val="2"/>
        </w:rPr>
        <w:t>on aggressiveness in</w:t>
      </w:r>
      <w:r>
        <w:rPr>
          <w:spacing w:val="-1"/>
          <w:position w:val="2"/>
        </w:rPr>
        <w:t> </w:t>
      </w:r>
      <w:r>
        <w:rPr>
          <w:position w:val="2"/>
        </w:rPr>
        <w:t>quoted</w:t>
      </w:r>
      <w:r>
        <w:rPr>
          <w:spacing w:val="1"/>
          <w:position w:val="2"/>
        </w:rPr>
        <w:t> </w:t>
      </w:r>
      <w:r>
        <w:rPr>
          <w:position w:val="2"/>
        </w:rPr>
        <w:t>firms</w:t>
      </w:r>
      <w:r>
        <w:rPr>
          <w:spacing w:val="-1"/>
          <w:position w:val="2"/>
        </w:rPr>
        <w:t> </w:t>
      </w:r>
      <w:r>
        <w:rPr>
          <w:position w:val="2"/>
        </w:rPr>
        <w:t>in Nigeria.</w:t>
      </w:r>
    </w:p>
    <w:p>
      <w:pPr>
        <w:pStyle w:val="BodyText"/>
        <w:spacing w:before="2"/>
        <w:ind w:left="0"/>
        <w:jc w:val="left"/>
        <w:rPr>
          <w:sz w:val="34"/>
        </w:rPr>
      </w:pPr>
    </w:p>
    <w:p>
      <w:pPr>
        <w:pStyle w:val="BodyText"/>
        <w:spacing w:line="477" w:lineRule="auto"/>
        <w:ind w:left="1388" w:right="826" w:hanging="567"/>
        <w:jc w:val="left"/>
      </w:pPr>
      <w:r>
        <w:rPr>
          <w:position w:val="2"/>
        </w:rPr>
        <w:t>H</w:t>
      </w:r>
      <w:r>
        <w:rPr>
          <w:sz w:val="16"/>
        </w:rPr>
        <w:t>03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>
          <w:position w:val="2"/>
        </w:rPr>
        <w:t>Board gender diversity</w:t>
      </w:r>
      <w:r>
        <w:rPr>
          <w:spacing w:val="1"/>
          <w:position w:val="2"/>
        </w:rPr>
        <w:t> </w:t>
      </w:r>
      <w:r>
        <w:rPr>
          <w:position w:val="2"/>
        </w:rPr>
        <w:t>has</w:t>
      </w:r>
      <w:r>
        <w:rPr>
          <w:spacing w:val="2"/>
          <w:position w:val="2"/>
        </w:rPr>
        <w:t> </w:t>
      </w:r>
      <w:r>
        <w:rPr>
          <w:position w:val="2"/>
        </w:rPr>
        <w:t>no</w:t>
      </w:r>
      <w:r>
        <w:rPr>
          <w:spacing w:val="1"/>
          <w:position w:val="2"/>
        </w:rPr>
        <w:t> </w:t>
      </w:r>
      <w:r>
        <w:rPr>
          <w:position w:val="2"/>
        </w:rPr>
        <w:t>significant</w:t>
      </w:r>
      <w:r>
        <w:rPr>
          <w:spacing w:val="1"/>
          <w:position w:val="2"/>
        </w:rPr>
        <w:t> </w:t>
      </w:r>
      <w:r>
        <w:rPr>
          <w:position w:val="2"/>
        </w:rPr>
        <w:t>impact</w:t>
      </w:r>
      <w:r>
        <w:rPr>
          <w:spacing w:val="1"/>
          <w:position w:val="2"/>
        </w:rPr>
        <w:t> </w:t>
      </w:r>
      <w:r>
        <w:rPr>
          <w:position w:val="2"/>
        </w:rPr>
        <w:t>on</w:t>
      </w:r>
      <w:r>
        <w:rPr>
          <w:spacing w:val="6"/>
          <w:position w:val="2"/>
        </w:rPr>
        <w:t> </w:t>
      </w:r>
      <w:r>
        <w:rPr>
          <w:position w:val="2"/>
        </w:rPr>
        <w:t>tax</w:t>
      </w:r>
      <w:r>
        <w:rPr>
          <w:spacing w:val="4"/>
          <w:position w:val="2"/>
        </w:rPr>
        <w:t> </w:t>
      </w:r>
      <w:r>
        <w:rPr>
          <w:position w:val="2"/>
        </w:rPr>
        <w:t>aggressiveness</w:t>
      </w:r>
      <w:r>
        <w:rPr>
          <w:spacing w:val="3"/>
          <w:position w:val="2"/>
        </w:rPr>
        <w:t> </w:t>
      </w:r>
      <w:r>
        <w:rPr>
          <w:position w:val="2"/>
        </w:rPr>
        <w:t>in</w:t>
      </w:r>
      <w:r>
        <w:rPr>
          <w:spacing w:val="1"/>
          <w:position w:val="2"/>
        </w:rPr>
        <w:t> </w:t>
      </w:r>
      <w:r>
        <w:rPr>
          <w:position w:val="2"/>
        </w:rPr>
        <w:t>quoted</w:t>
      </w:r>
      <w:r>
        <w:rPr>
          <w:spacing w:val="3"/>
          <w:position w:val="2"/>
        </w:rPr>
        <w:t> </w:t>
      </w:r>
      <w:r>
        <w:rPr>
          <w:position w:val="2"/>
        </w:rPr>
        <w:t>firms</w:t>
      </w:r>
      <w:r>
        <w:rPr>
          <w:spacing w:val="1"/>
          <w:position w:val="2"/>
        </w:rPr>
        <w:t> </w:t>
      </w:r>
      <w:r>
        <w:rPr>
          <w:position w:val="2"/>
        </w:rPr>
        <w:t>in</w:t>
      </w:r>
      <w:r>
        <w:rPr>
          <w:spacing w:val="-57"/>
          <w:position w:val="2"/>
        </w:rPr>
        <w:t> </w:t>
      </w:r>
      <w:r>
        <w:rPr/>
        <w:t>Nigeria.</w:t>
      </w:r>
    </w:p>
    <w:p>
      <w:pPr>
        <w:spacing w:after="0" w:line="477" w:lineRule="auto"/>
        <w:jc w:val="lef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77" w:lineRule="auto" w:before="76"/>
        <w:ind w:left="1388" w:right="826" w:hanging="567"/>
        <w:jc w:val="left"/>
      </w:pPr>
      <w:r>
        <w:rPr>
          <w:position w:val="2"/>
        </w:rPr>
        <w:t>H</w:t>
      </w:r>
      <w:r>
        <w:rPr>
          <w:sz w:val="16"/>
        </w:rPr>
        <w:t>04</w:t>
      </w:r>
      <w:r>
        <w:rPr>
          <w:position w:val="2"/>
        </w:rPr>
        <w:t>.</w:t>
      </w:r>
      <w:r>
        <w:rPr>
          <w:spacing w:val="44"/>
          <w:position w:val="2"/>
        </w:rPr>
        <w:t> </w:t>
      </w:r>
      <w:r>
        <w:rPr>
          <w:position w:val="2"/>
        </w:rPr>
        <w:t>Board</w:t>
      </w:r>
      <w:r>
        <w:rPr>
          <w:spacing w:val="43"/>
          <w:position w:val="2"/>
        </w:rPr>
        <w:t> </w:t>
      </w:r>
      <w:r>
        <w:rPr>
          <w:position w:val="2"/>
        </w:rPr>
        <w:t>ownership</w:t>
      </w:r>
      <w:r>
        <w:rPr>
          <w:spacing w:val="44"/>
          <w:position w:val="2"/>
        </w:rPr>
        <w:t> </w:t>
      </w:r>
      <w:r>
        <w:rPr>
          <w:position w:val="2"/>
        </w:rPr>
        <w:t>has</w:t>
      </w:r>
      <w:r>
        <w:rPr>
          <w:spacing w:val="44"/>
          <w:position w:val="2"/>
        </w:rPr>
        <w:t> </w:t>
      </w:r>
      <w:r>
        <w:rPr>
          <w:position w:val="2"/>
        </w:rPr>
        <w:t>no</w:t>
      </w:r>
      <w:r>
        <w:rPr>
          <w:spacing w:val="44"/>
          <w:position w:val="2"/>
        </w:rPr>
        <w:t> </w:t>
      </w:r>
      <w:r>
        <w:rPr>
          <w:position w:val="2"/>
        </w:rPr>
        <w:t>significant</w:t>
      </w:r>
      <w:r>
        <w:rPr>
          <w:spacing w:val="44"/>
          <w:position w:val="2"/>
        </w:rPr>
        <w:t> </w:t>
      </w:r>
      <w:r>
        <w:rPr>
          <w:position w:val="2"/>
        </w:rPr>
        <w:t>impact</w:t>
      </w:r>
      <w:r>
        <w:rPr>
          <w:spacing w:val="47"/>
          <w:position w:val="2"/>
        </w:rPr>
        <w:t> </w:t>
      </w:r>
      <w:r>
        <w:rPr>
          <w:position w:val="2"/>
        </w:rPr>
        <w:t>on</w:t>
      </w:r>
      <w:r>
        <w:rPr>
          <w:spacing w:val="45"/>
          <w:position w:val="2"/>
        </w:rPr>
        <w:t> </w:t>
      </w:r>
      <w:r>
        <w:rPr>
          <w:position w:val="2"/>
        </w:rPr>
        <w:t>tax</w:t>
      </w:r>
      <w:r>
        <w:rPr>
          <w:spacing w:val="48"/>
          <w:position w:val="2"/>
        </w:rPr>
        <w:t> </w:t>
      </w:r>
      <w:r>
        <w:rPr>
          <w:position w:val="2"/>
        </w:rPr>
        <w:t>aggressiveness</w:t>
      </w:r>
      <w:r>
        <w:rPr>
          <w:spacing w:val="46"/>
          <w:position w:val="2"/>
        </w:rPr>
        <w:t> </w:t>
      </w:r>
      <w:r>
        <w:rPr>
          <w:position w:val="2"/>
        </w:rPr>
        <w:t>in</w:t>
      </w:r>
      <w:r>
        <w:rPr>
          <w:spacing w:val="44"/>
          <w:position w:val="2"/>
        </w:rPr>
        <w:t> </w:t>
      </w:r>
      <w:r>
        <w:rPr>
          <w:position w:val="2"/>
        </w:rPr>
        <w:t>quoted</w:t>
      </w:r>
      <w:r>
        <w:rPr>
          <w:spacing w:val="43"/>
          <w:position w:val="2"/>
        </w:rPr>
        <w:t> </w:t>
      </w:r>
      <w:r>
        <w:rPr>
          <w:position w:val="2"/>
        </w:rPr>
        <w:t>firms</w:t>
      </w:r>
      <w:r>
        <w:rPr>
          <w:spacing w:val="45"/>
          <w:position w:val="2"/>
        </w:rPr>
        <w:t> </w:t>
      </w:r>
      <w:r>
        <w:rPr>
          <w:position w:val="2"/>
        </w:rPr>
        <w:t>in</w:t>
      </w:r>
      <w:r>
        <w:rPr>
          <w:spacing w:val="-57"/>
          <w:position w:val="2"/>
        </w:rPr>
        <w:t> </w:t>
      </w:r>
      <w:r>
        <w:rPr/>
        <w:t>Nigeria.</w:t>
      </w:r>
    </w:p>
    <w:p>
      <w:pPr>
        <w:pStyle w:val="BodyText"/>
        <w:spacing w:line="583" w:lineRule="auto" w:before="124"/>
        <w:ind w:right="1089"/>
        <w:jc w:val="left"/>
      </w:pPr>
      <w:r>
        <w:rPr>
          <w:position w:val="2"/>
        </w:rPr>
        <w:t>H</w:t>
      </w:r>
      <w:r>
        <w:rPr>
          <w:sz w:val="16"/>
        </w:rPr>
        <w:t>05</w:t>
      </w:r>
      <w:r>
        <w:rPr>
          <w:position w:val="2"/>
        </w:rPr>
        <w:t>. CEO age has no significant impact on tax aggressiveness in quoted firms in Nigeria.</w:t>
      </w:r>
      <w:r>
        <w:rPr>
          <w:spacing w:val="1"/>
          <w:position w:val="2"/>
        </w:rPr>
        <w:t> </w:t>
      </w:r>
      <w:r>
        <w:rPr>
          <w:position w:val="2"/>
        </w:rPr>
        <w:t>H</w:t>
      </w:r>
      <w:r>
        <w:rPr>
          <w:sz w:val="16"/>
        </w:rPr>
        <w:t>06</w:t>
      </w:r>
      <w:r>
        <w:rPr>
          <w:position w:val="2"/>
        </w:rPr>
        <w:t>.</w:t>
      </w:r>
      <w:r>
        <w:rPr>
          <w:spacing w:val="-1"/>
          <w:position w:val="2"/>
        </w:rPr>
        <w:t> </w:t>
      </w:r>
      <w:r>
        <w:rPr>
          <w:position w:val="2"/>
        </w:rPr>
        <w:t>CEO</w:t>
      </w:r>
      <w:r>
        <w:rPr>
          <w:spacing w:val="-2"/>
          <w:position w:val="2"/>
        </w:rPr>
        <w:t> </w:t>
      </w:r>
      <w:r>
        <w:rPr>
          <w:position w:val="2"/>
        </w:rPr>
        <w:t>tenure</w:t>
      </w:r>
      <w:r>
        <w:rPr>
          <w:spacing w:val="-2"/>
          <w:position w:val="2"/>
        </w:rPr>
        <w:t> </w:t>
      </w:r>
      <w:r>
        <w:rPr>
          <w:position w:val="2"/>
        </w:rPr>
        <w:t>has</w:t>
      </w:r>
      <w:r>
        <w:rPr>
          <w:spacing w:val="-1"/>
          <w:position w:val="2"/>
        </w:rPr>
        <w:t> </w:t>
      </w:r>
      <w:r>
        <w:rPr>
          <w:position w:val="2"/>
        </w:rPr>
        <w:t>no</w:t>
      </w:r>
      <w:r>
        <w:rPr>
          <w:spacing w:val="-1"/>
          <w:position w:val="2"/>
        </w:rPr>
        <w:t> </w:t>
      </w:r>
      <w:r>
        <w:rPr>
          <w:position w:val="2"/>
        </w:rPr>
        <w:t>significant</w:t>
      </w:r>
      <w:r>
        <w:rPr>
          <w:spacing w:val="-1"/>
          <w:position w:val="2"/>
        </w:rPr>
        <w:t> </w:t>
      </w:r>
      <w:r>
        <w:rPr>
          <w:position w:val="2"/>
        </w:rPr>
        <w:t>impact</w:t>
      </w:r>
      <w:r>
        <w:rPr>
          <w:spacing w:val="-1"/>
          <w:position w:val="2"/>
        </w:rPr>
        <w:t> </w:t>
      </w:r>
      <w:r>
        <w:rPr>
          <w:position w:val="2"/>
        </w:rPr>
        <w:t>on tax</w:t>
      </w:r>
      <w:r>
        <w:rPr>
          <w:spacing w:val="1"/>
          <w:position w:val="2"/>
        </w:rPr>
        <w:t> </w:t>
      </w:r>
      <w:r>
        <w:rPr>
          <w:position w:val="2"/>
        </w:rPr>
        <w:t>aggressiveness</w:t>
      </w:r>
      <w:r>
        <w:rPr>
          <w:spacing w:val="-1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quoted</w:t>
      </w:r>
      <w:r>
        <w:rPr>
          <w:spacing w:val="-1"/>
          <w:position w:val="2"/>
        </w:rPr>
        <w:t> </w:t>
      </w:r>
      <w:r>
        <w:rPr>
          <w:position w:val="2"/>
        </w:rPr>
        <w:t>firms</w:t>
      </w:r>
      <w:r>
        <w:rPr>
          <w:spacing w:val="-1"/>
          <w:position w:val="2"/>
        </w:rPr>
        <w:t> </w:t>
      </w:r>
      <w:r>
        <w:rPr>
          <w:position w:val="2"/>
        </w:rPr>
        <w:t>in</w:t>
      </w:r>
      <w:r>
        <w:rPr>
          <w:spacing w:val="-1"/>
          <w:position w:val="2"/>
        </w:rPr>
        <w:t> </w:t>
      </w:r>
      <w:r>
        <w:rPr>
          <w:position w:val="2"/>
        </w:rPr>
        <w:t>Nigeria.</w:t>
      </w:r>
    </w:p>
    <w:p>
      <w:pPr>
        <w:pStyle w:val="BodyText"/>
        <w:spacing w:line="276" w:lineRule="exact"/>
        <w:jc w:val="left"/>
      </w:pPr>
      <w:r>
        <w:rPr/>
        <w:drawing>
          <wp:anchor distT="0" distB="0" distL="0" distR="0" allowOverlap="1" layoutInCell="1" locked="0" behindDoc="1" simplePos="0" relativeHeight="454001152">
            <wp:simplePos x="0" y="0"/>
            <wp:positionH relativeFrom="page">
              <wp:posOffset>1261605</wp:posOffset>
            </wp:positionH>
            <wp:positionV relativeFrom="paragraph">
              <wp:posOffset>146066</wp:posOffset>
            </wp:positionV>
            <wp:extent cx="5133225" cy="5265293"/>
            <wp:effectExtent l="0" t="0" r="0" b="0"/>
            <wp:wrapNone/>
            <wp:docPr id="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t>H</w:t>
      </w:r>
      <w:r>
        <w:rPr>
          <w:sz w:val="16"/>
        </w:rPr>
        <w:t>07</w:t>
      </w:r>
      <w:r>
        <w:rPr>
          <w:position w:val="2"/>
        </w:rPr>
        <w:t>:</w:t>
      </w:r>
      <w:r>
        <w:rPr>
          <w:spacing w:val="-14"/>
          <w:position w:val="2"/>
        </w:rPr>
        <w:t> </w:t>
      </w:r>
      <w:r>
        <w:rPr>
          <w:position w:val="2"/>
        </w:rPr>
        <w:t>CEO</w:t>
      </w:r>
      <w:r>
        <w:rPr>
          <w:spacing w:val="-12"/>
          <w:position w:val="2"/>
        </w:rPr>
        <w:t> </w:t>
      </w:r>
      <w:r>
        <w:rPr>
          <w:position w:val="2"/>
        </w:rPr>
        <w:t>ownership</w:t>
      </w:r>
      <w:r>
        <w:rPr>
          <w:spacing w:val="-11"/>
          <w:position w:val="2"/>
        </w:rPr>
        <w:t> </w:t>
      </w:r>
      <w:r>
        <w:rPr>
          <w:position w:val="2"/>
        </w:rPr>
        <w:t>has</w:t>
      </w:r>
      <w:r>
        <w:rPr>
          <w:spacing w:val="-13"/>
          <w:position w:val="2"/>
        </w:rPr>
        <w:t> </w:t>
      </w:r>
      <w:r>
        <w:rPr>
          <w:position w:val="2"/>
        </w:rPr>
        <w:t>no</w:t>
      </w:r>
      <w:r>
        <w:rPr>
          <w:spacing w:val="-12"/>
          <w:position w:val="2"/>
        </w:rPr>
        <w:t> </w:t>
      </w:r>
      <w:r>
        <w:rPr>
          <w:position w:val="2"/>
        </w:rPr>
        <w:t>significant</w:t>
      </w:r>
      <w:r>
        <w:rPr>
          <w:spacing w:val="-11"/>
          <w:position w:val="2"/>
        </w:rPr>
        <w:t> </w:t>
      </w:r>
      <w:r>
        <w:rPr>
          <w:position w:val="2"/>
        </w:rPr>
        <w:t>impact</w:t>
      </w:r>
      <w:r>
        <w:rPr>
          <w:spacing w:val="-11"/>
          <w:position w:val="2"/>
        </w:rPr>
        <w:t> </w:t>
      </w:r>
      <w:r>
        <w:rPr>
          <w:position w:val="2"/>
        </w:rPr>
        <w:t>on</w:t>
      </w:r>
      <w:r>
        <w:rPr>
          <w:spacing w:val="-11"/>
          <w:position w:val="2"/>
        </w:rPr>
        <w:t> </w:t>
      </w:r>
      <w:r>
        <w:rPr>
          <w:position w:val="2"/>
        </w:rPr>
        <w:t>tax</w:t>
      </w:r>
      <w:r>
        <w:rPr>
          <w:spacing w:val="-10"/>
          <w:position w:val="2"/>
        </w:rPr>
        <w:t> </w:t>
      </w:r>
      <w:r>
        <w:rPr>
          <w:position w:val="2"/>
        </w:rPr>
        <w:t>aggressiveness</w:t>
      </w:r>
      <w:r>
        <w:rPr>
          <w:spacing w:val="-10"/>
          <w:position w:val="2"/>
        </w:rPr>
        <w:t> </w:t>
      </w:r>
      <w:r>
        <w:rPr>
          <w:position w:val="2"/>
        </w:rPr>
        <w:t>in</w:t>
      </w:r>
      <w:r>
        <w:rPr>
          <w:spacing w:val="-11"/>
          <w:position w:val="2"/>
        </w:rPr>
        <w:t> </w:t>
      </w:r>
      <w:r>
        <w:rPr>
          <w:position w:val="2"/>
        </w:rPr>
        <w:t>quoted</w:t>
      </w:r>
      <w:r>
        <w:rPr>
          <w:spacing w:val="-11"/>
          <w:position w:val="2"/>
        </w:rPr>
        <w:t> </w:t>
      </w:r>
      <w:r>
        <w:rPr>
          <w:position w:val="2"/>
        </w:rPr>
        <w:t>firms</w:t>
      </w:r>
      <w:r>
        <w:rPr>
          <w:spacing w:val="-11"/>
          <w:position w:val="2"/>
        </w:rPr>
        <w:t> </w:t>
      </w:r>
      <w:r>
        <w:rPr>
          <w:position w:val="2"/>
        </w:rPr>
        <w:t>in</w:t>
      </w:r>
      <w:r>
        <w:rPr>
          <w:spacing w:val="-11"/>
          <w:position w:val="2"/>
        </w:rPr>
        <w:t> </w:t>
      </w:r>
      <w:r>
        <w:rPr>
          <w:position w:val="2"/>
        </w:rPr>
        <w:t>Nigeria.</w:t>
      </w:r>
    </w:p>
    <w:p>
      <w:pPr>
        <w:pStyle w:val="BodyText"/>
        <w:spacing w:before="3"/>
        <w:ind w:left="0"/>
        <w:jc w:val="left"/>
        <w:rPr>
          <w:sz w:val="34"/>
        </w:rPr>
      </w:pPr>
    </w:p>
    <w:p>
      <w:pPr>
        <w:pStyle w:val="Heading1"/>
        <w:numPr>
          <w:ilvl w:val="1"/>
          <w:numId w:val="18"/>
        </w:numPr>
        <w:tabs>
          <w:tab w:pos="1243" w:val="left" w:leader="none"/>
        </w:tabs>
        <w:spacing w:line="240" w:lineRule="auto" w:before="0" w:after="0"/>
        <w:ind w:left="1242" w:right="0" w:hanging="421"/>
        <w:jc w:val="left"/>
      </w:pPr>
      <w:bookmarkStart w:name="_bookmark15" w:id="21"/>
      <w:bookmarkEnd w:id="21"/>
      <w:r>
        <w:rPr>
          <w:b w:val="0"/>
        </w:rPr>
      </w:r>
      <w:bookmarkStart w:name="_bookmark15" w:id="22"/>
      <w:bookmarkEnd w:id="22"/>
      <w:r>
        <w:rPr/>
        <w:t>S</w:t>
      </w:r>
      <w:r>
        <w:rPr/>
        <w:t>ignificance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6"/>
      </w:pPr>
      <w:r>
        <w:rPr/>
        <w:t>The study provides useful information to the tax authorities in understanding more about tax</w:t>
      </w:r>
      <w:r>
        <w:rPr>
          <w:spacing w:val="1"/>
        </w:rPr>
        <w:t> </w:t>
      </w:r>
      <w:r>
        <w:rPr/>
        <w:t>aggressive</w:t>
      </w:r>
      <w:r>
        <w:rPr>
          <w:spacing w:val="-7"/>
        </w:rPr>
        <w:t> </w:t>
      </w:r>
      <w:r>
        <w:rPr/>
        <w:t>corporations.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Nigeria,</w:t>
      </w:r>
      <w:r>
        <w:rPr>
          <w:spacing w:val="-6"/>
        </w:rPr>
        <w:t> </w:t>
      </w:r>
      <w:r>
        <w:rPr/>
        <w:t>tax</w:t>
      </w:r>
      <w:r>
        <w:rPr>
          <w:spacing w:val="-6"/>
        </w:rPr>
        <w:t> </w:t>
      </w:r>
      <w:r>
        <w:rPr/>
        <w:t>audit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performed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tax</w:t>
      </w:r>
      <w:r>
        <w:rPr>
          <w:spacing w:val="-7"/>
        </w:rPr>
        <w:t> </w:t>
      </w:r>
      <w:r>
        <w:rPr/>
        <w:t>authorities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improve</w:t>
      </w:r>
      <w:r>
        <w:rPr>
          <w:spacing w:val="-7"/>
        </w:rPr>
        <w:t> </w:t>
      </w:r>
      <w:r>
        <w:rPr/>
        <w:t>tax</w:t>
      </w:r>
      <w:r>
        <w:rPr>
          <w:spacing w:val="-58"/>
        </w:rPr>
        <w:t> </w:t>
      </w:r>
      <w:r>
        <w:rPr/>
        <w:t>compliances and on the other hand to detect tax evasion or tax avoidance. Various audit</w:t>
      </w:r>
      <w:r>
        <w:rPr>
          <w:spacing w:val="1"/>
        </w:rPr>
        <w:t> </w:t>
      </w:r>
      <w:r>
        <w:rPr/>
        <w:t>programs are implemented to ensure that the taxpayers comply with the legal provisions and</w:t>
      </w:r>
      <w:r>
        <w:rPr>
          <w:spacing w:val="1"/>
        </w:rPr>
        <w:t> </w:t>
      </w:r>
      <w:r>
        <w:rPr/>
        <w:t>the current tax regulations within the Self-Assessment System. In connection with that, this</w:t>
      </w:r>
      <w:r>
        <w:rPr>
          <w:spacing w:val="1"/>
        </w:rPr>
        <w:t> </w:t>
      </w:r>
      <w:r>
        <w:rPr/>
        <w:t>study could help the tax administration to organize an efficient enforcement task as well as</w:t>
      </w:r>
      <w:r>
        <w:rPr>
          <w:spacing w:val="1"/>
        </w:rPr>
        <w:t> </w:t>
      </w:r>
      <w:r>
        <w:rPr/>
        <w:t>redesign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revamp an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tax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especially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crucial</w:t>
      </w:r>
      <w:r>
        <w:rPr>
          <w:spacing w:val="-1"/>
        </w:rPr>
        <w:t> </w:t>
      </w:r>
      <w:r>
        <w:rPr/>
        <w:t>sectors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industries.</w:t>
      </w:r>
    </w:p>
    <w:p>
      <w:pPr>
        <w:pStyle w:val="BodyText"/>
        <w:spacing w:line="480" w:lineRule="auto" w:before="200"/>
        <w:ind w:right="827"/>
      </w:pPr>
      <w:r>
        <w:rPr/>
        <w:t>Furthermore,</w:t>
      </w:r>
      <w:r>
        <w:rPr>
          <w:spacing w:val="-13"/>
        </w:rPr>
        <w:t> </w:t>
      </w:r>
      <w:r>
        <w:rPr/>
        <w:t>corporate</w:t>
      </w:r>
      <w:r>
        <w:rPr>
          <w:spacing w:val="-14"/>
        </w:rPr>
        <w:t> </w:t>
      </w:r>
      <w:r>
        <w:rPr/>
        <w:t>governance</w:t>
      </w:r>
      <w:r>
        <w:rPr>
          <w:spacing w:val="-14"/>
        </w:rPr>
        <w:t> </w:t>
      </w:r>
      <w:r>
        <w:rPr/>
        <w:t>mechanisms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seen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significant</w:t>
      </w:r>
      <w:r>
        <w:rPr>
          <w:spacing w:val="-13"/>
        </w:rPr>
        <w:t> </w:t>
      </w:r>
      <w:r>
        <w:rPr/>
        <w:t>indicators</w:t>
      </w:r>
      <w:r>
        <w:rPr>
          <w:spacing w:val="-13"/>
        </w:rPr>
        <w:t> </w:t>
      </w:r>
      <w:r>
        <w:rPr/>
        <w:t>that</w:t>
      </w:r>
      <w:r>
        <w:rPr>
          <w:spacing w:val="-12"/>
        </w:rPr>
        <w:t> </w:t>
      </w:r>
      <w:r>
        <w:rPr/>
        <w:t>influence</w:t>
      </w:r>
      <w:r>
        <w:rPr>
          <w:spacing w:val="-58"/>
        </w:rPr>
        <w:t> </w:t>
      </w:r>
      <w:r>
        <w:rPr/>
        <w:t>tax</w:t>
      </w:r>
      <w:r>
        <w:rPr>
          <w:spacing w:val="5"/>
        </w:rPr>
        <w:t> </w:t>
      </w:r>
      <w:r>
        <w:rPr/>
        <w:t>aggressiveness.</w:t>
      </w:r>
      <w:r>
        <w:rPr>
          <w:spacing w:val="6"/>
        </w:rPr>
        <w:t> </w:t>
      </w:r>
      <w:r>
        <w:rPr/>
        <w:t>Taxes</w:t>
      </w:r>
      <w:r>
        <w:rPr>
          <w:spacing w:val="6"/>
        </w:rPr>
        <w:t> </w:t>
      </w:r>
      <w:r>
        <w:rPr/>
        <w:t>are</w:t>
      </w:r>
      <w:r>
        <w:rPr>
          <w:spacing w:val="4"/>
        </w:rPr>
        <w:t> </w:t>
      </w:r>
      <w:r>
        <w:rPr/>
        <w:t>part</w:t>
      </w:r>
      <w:r>
        <w:rPr>
          <w:spacing w:val="5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operating</w:t>
      </w:r>
      <w:r>
        <w:rPr>
          <w:spacing w:val="5"/>
        </w:rPr>
        <w:t> </w:t>
      </w:r>
      <w:r>
        <w:rPr/>
        <w:t>costs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corporation,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its</w:t>
      </w:r>
      <w:r>
        <w:rPr>
          <w:spacing w:val="6"/>
        </w:rPr>
        <w:t> </w:t>
      </w:r>
      <w:r>
        <w:rPr/>
        <w:t>shareholder’</w:t>
      </w:r>
      <w:r>
        <w:rPr>
          <w:spacing w:val="-57"/>
        </w:rPr>
        <w:t> </w:t>
      </w:r>
      <w:r>
        <w:rPr/>
        <w:t>s governance directly plays a role in tax management as the board of directors are responsible</w:t>
      </w:r>
      <w:r>
        <w:rPr>
          <w:spacing w:val="1"/>
        </w:rPr>
        <w:t> </w:t>
      </w:r>
      <w:r>
        <w:rPr/>
        <w:t>for resource allocation, performance and increase shareholder wealth. It might be possible that</w:t>
      </w:r>
      <w:r>
        <w:rPr>
          <w:spacing w:val="-57"/>
        </w:rPr>
        <w:t> </w:t>
      </w:r>
      <w:r>
        <w:rPr/>
        <w:t>tax aggressiveness is desired by shareholders to improve corporate value. In connection with</w:t>
      </w:r>
      <w:r>
        <w:rPr>
          <w:spacing w:val="1"/>
        </w:rPr>
        <w:t> </w:t>
      </w:r>
      <w:r>
        <w:rPr/>
        <w:t>that,</w:t>
      </w:r>
      <w:r>
        <w:rPr>
          <w:spacing w:val="-2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viewed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that influences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aggressiveness.</w:t>
      </w:r>
    </w:p>
    <w:p>
      <w:pPr>
        <w:pStyle w:val="BodyText"/>
        <w:spacing w:line="480" w:lineRule="auto" w:before="203"/>
        <w:ind w:right="830"/>
      </w:pPr>
      <w:r>
        <w:rPr/>
        <w:t>Thus, this study provides a greater understanding of the role of corporate governance in tax</w:t>
      </w:r>
      <w:r>
        <w:rPr>
          <w:spacing w:val="1"/>
        </w:rPr>
        <w:t> </w:t>
      </w:r>
      <w:r>
        <w:rPr/>
        <w:t>matters.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addition,</w:t>
      </w:r>
      <w:r>
        <w:rPr>
          <w:spacing w:val="-11"/>
        </w:rPr>
        <w:t> </w:t>
      </w:r>
      <w:r>
        <w:rPr/>
        <w:t>since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tax</w:t>
      </w:r>
      <w:r>
        <w:rPr>
          <w:spacing w:val="-12"/>
        </w:rPr>
        <w:t> </w:t>
      </w:r>
      <w:r>
        <w:rPr/>
        <w:t>department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an</w:t>
      </w:r>
      <w:r>
        <w:rPr>
          <w:spacing w:val="-11"/>
        </w:rPr>
        <w:t> </w:t>
      </w:r>
      <w:r>
        <w:rPr/>
        <w:t>important</w:t>
      </w:r>
      <w:r>
        <w:rPr>
          <w:spacing w:val="-12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statement</w:t>
      </w:r>
      <w:r>
        <w:rPr>
          <w:spacing w:val="-11"/>
        </w:rPr>
        <w:t> </w:t>
      </w:r>
      <w:r>
        <w:rPr/>
        <w:t>user,</w:t>
      </w:r>
      <w:r>
        <w:rPr>
          <w:spacing w:val="-13"/>
        </w:rPr>
        <w:t> </w:t>
      </w:r>
      <w:r>
        <w:rPr/>
        <w:t>this</w:t>
      </w:r>
      <w:r>
        <w:rPr>
          <w:spacing w:val="-11"/>
        </w:rPr>
        <w:t> </w:t>
      </w:r>
      <w:r>
        <w:rPr/>
        <w:t>study</w:t>
      </w:r>
      <w:r>
        <w:rPr>
          <w:spacing w:val="-58"/>
        </w:rPr>
        <w:t> </w:t>
      </w:r>
      <w:r>
        <w:rPr/>
        <w:t>would provide them a better understanding of the information stated in the annual report.</w:t>
      </w:r>
      <w:r>
        <w:rPr>
          <w:spacing w:val="1"/>
        </w:rPr>
        <w:t> </w:t>
      </w:r>
      <w:r>
        <w:rPr/>
        <w:t>Besides</w:t>
      </w:r>
      <w:r>
        <w:rPr>
          <w:spacing w:val="34"/>
        </w:rPr>
        <w:t> </w:t>
      </w:r>
      <w:r>
        <w:rPr/>
        <w:t>that,</w:t>
      </w:r>
      <w:r>
        <w:rPr>
          <w:spacing w:val="34"/>
        </w:rPr>
        <w:t> </w:t>
      </w:r>
      <w:r>
        <w:rPr/>
        <w:t>corporate</w:t>
      </w:r>
      <w:r>
        <w:rPr>
          <w:spacing w:val="35"/>
        </w:rPr>
        <w:t> </w:t>
      </w:r>
      <w:r>
        <w:rPr/>
        <w:t>information</w:t>
      </w:r>
      <w:r>
        <w:rPr>
          <w:spacing w:val="35"/>
        </w:rPr>
        <w:t> </w:t>
      </w:r>
      <w:r>
        <w:rPr/>
        <w:t>such</w:t>
      </w:r>
      <w:r>
        <w:rPr>
          <w:spacing w:val="35"/>
        </w:rPr>
        <w:t> </w:t>
      </w:r>
      <w:r>
        <w:rPr/>
        <w:t>as</w:t>
      </w:r>
      <w:r>
        <w:rPr>
          <w:spacing w:val="35"/>
        </w:rPr>
        <w:t> </w:t>
      </w:r>
      <w:r>
        <w:rPr/>
        <w:t>board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directors,</w:t>
      </w:r>
      <w:r>
        <w:rPr>
          <w:spacing w:val="34"/>
        </w:rPr>
        <w:t> </w:t>
      </w:r>
      <w:r>
        <w:rPr/>
        <w:t>shareholders,</w:t>
      </w:r>
      <w:r>
        <w:rPr>
          <w:spacing w:val="35"/>
        </w:rPr>
        <w:t> </w:t>
      </w:r>
      <w:r>
        <w:rPr/>
        <w:t>statements</w:t>
      </w:r>
      <w:r>
        <w:rPr>
          <w:spacing w:val="35"/>
        </w:rPr>
        <w:t> </w:t>
      </w:r>
      <w:r>
        <w:rPr/>
        <w:t>on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3"/>
      </w:pPr>
      <w:r>
        <w:rPr/>
        <w:t>corporate governance and others can be used as a new channel to run the risk analysis in</w:t>
      </w:r>
      <w:r>
        <w:rPr>
          <w:spacing w:val="1"/>
        </w:rPr>
        <w:t> </w:t>
      </w:r>
      <w:r>
        <w:rPr/>
        <w:t>detecting</w:t>
      </w:r>
      <w:r>
        <w:rPr>
          <w:spacing w:val="-1"/>
        </w:rPr>
        <w:t> </w:t>
      </w:r>
      <w:r>
        <w:rPr/>
        <w:t>tax avoidance</w:t>
      </w:r>
      <w:r>
        <w:rPr>
          <w:spacing w:val="-1"/>
        </w:rPr>
        <w:t> </w:t>
      </w:r>
      <w:r>
        <w:rPr/>
        <w:t>and performing tax</w:t>
      </w:r>
      <w:r>
        <w:rPr>
          <w:spacing w:val="-1"/>
        </w:rPr>
        <w:t> </w:t>
      </w:r>
      <w:r>
        <w:rPr/>
        <w:t>audit.</w:t>
      </w:r>
    </w:p>
    <w:p>
      <w:pPr>
        <w:pStyle w:val="Heading1"/>
        <w:numPr>
          <w:ilvl w:val="1"/>
          <w:numId w:val="18"/>
        </w:numPr>
        <w:tabs>
          <w:tab w:pos="1243" w:val="left" w:leader="none"/>
        </w:tabs>
        <w:spacing w:line="240" w:lineRule="auto" w:before="202" w:after="0"/>
        <w:ind w:left="1242" w:right="0" w:hanging="421"/>
        <w:jc w:val="both"/>
      </w:pPr>
      <w:bookmarkStart w:name="_bookmark16" w:id="23"/>
      <w:bookmarkEnd w:id="23"/>
      <w:r>
        <w:rPr>
          <w:b w:val="0"/>
        </w:rPr>
      </w:r>
      <w:bookmarkStart w:name="_bookmark16" w:id="24"/>
      <w:bookmarkEnd w:id="24"/>
      <w:r>
        <w:rPr/>
        <w:t>S</w:t>
      </w:r>
      <w:r>
        <w:rPr/>
        <w:t>cope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2"/>
      </w:pPr>
      <w:r>
        <w:rPr/>
        <w:drawing>
          <wp:anchor distT="0" distB="0" distL="0" distR="0" allowOverlap="1" layoutInCell="1" locked="0" behindDoc="1" simplePos="0" relativeHeight="454001664">
            <wp:simplePos x="0" y="0"/>
            <wp:positionH relativeFrom="page">
              <wp:posOffset>1261605</wp:posOffset>
            </wp:positionH>
            <wp:positionV relativeFrom="paragraph">
              <wp:posOffset>558712</wp:posOffset>
            </wp:positionV>
            <wp:extent cx="5133225" cy="5265293"/>
            <wp:effectExtent l="0" t="0" r="0" b="0"/>
            <wp:wrapNone/>
            <wp:docPr id="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study examined corporate governance and tax aggressiveness of quoted non-financial</w:t>
      </w:r>
      <w:r>
        <w:rPr>
          <w:spacing w:val="1"/>
        </w:rPr>
        <w:t> </w:t>
      </w:r>
      <w:r>
        <w:rPr/>
        <w:t>companies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8"/>
        </w:rPr>
        <w:t> </w:t>
      </w:r>
      <w:r>
        <w:rPr/>
        <w:t>focused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5"/>
        </w:rPr>
        <w:t> </w:t>
      </w:r>
      <w:r>
        <w:rPr/>
        <w:t>board</w:t>
      </w:r>
      <w:r>
        <w:rPr>
          <w:spacing w:val="-7"/>
        </w:rPr>
        <w:t> </w:t>
      </w:r>
      <w:r>
        <w:rPr/>
        <w:t>size,</w:t>
      </w:r>
      <w:r>
        <w:rPr>
          <w:spacing w:val="-58"/>
        </w:rPr>
        <w:t> </w:t>
      </w:r>
      <w:r>
        <w:rPr/>
        <w:t>board</w:t>
      </w:r>
      <w:r>
        <w:rPr>
          <w:spacing w:val="-7"/>
        </w:rPr>
        <w:t> </w:t>
      </w:r>
      <w:r>
        <w:rPr/>
        <w:t>independence,</w:t>
      </w:r>
      <w:r>
        <w:rPr>
          <w:spacing w:val="-6"/>
        </w:rPr>
        <w:t> </w:t>
      </w:r>
      <w:r>
        <w:rPr/>
        <w:t>board</w:t>
      </w:r>
      <w:r>
        <w:rPr>
          <w:spacing w:val="-6"/>
        </w:rPr>
        <w:t> </w:t>
      </w:r>
      <w:r>
        <w:rPr/>
        <w:t>gender</w:t>
      </w:r>
      <w:r>
        <w:rPr>
          <w:spacing w:val="-7"/>
        </w:rPr>
        <w:t> </w:t>
      </w:r>
      <w:r>
        <w:rPr/>
        <w:t>diversity,</w:t>
      </w:r>
      <w:r>
        <w:rPr>
          <w:spacing w:val="-3"/>
        </w:rPr>
        <w:t> </w:t>
      </w:r>
      <w:r>
        <w:rPr/>
        <w:t>board</w:t>
      </w:r>
      <w:r>
        <w:rPr>
          <w:spacing w:val="-6"/>
        </w:rPr>
        <w:t> </w:t>
      </w:r>
      <w:r>
        <w:rPr/>
        <w:t>ownership,</w:t>
      </w:r>
      <w:r>
        <w:rPr>
          <w:spacing w:val="-6"/>
        </w:rPr>
        <w:t> </w:t>
      </w:r>
      <w:r>
        <w:rPr/>
        <w:t>CEO</w:t>
      </w:r>
      <w:r>
        <w:rPr>
          <w:spacing w:val="-6"/>
        </w:rPr>
        <w:t> </w:t>
      </w:r>
      <w:r>
        <w:rPr/>
        <w:t>age,</w:t>
      </w:r>
      <w:r>
        <w:rPr>
          <w:spacing w:val="-6"/>
        </w:rPr>
        <w:t> </w:t>
      </w:r>
      <w:r>
        <w:rPr/>
        <w:t>CEO</w:t>
      </w:r>
      <w:r>
        <w:rPr>
          <w:spacing w:val="-6"/>
        </w:rPr>
        <w:t> </w:t>
      </w:r>
      <w:r>
        <w:rPr/>
        <w:t>tenure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CEO</w:t>
      </w:r>
      <w:r>
        <w:rPr>
          <w:spacing w:val="-58"/>
        </w:rPr>
        <w:t> </w:t>
      </w:r>
      <w:r>
        <w:rPr/>
        <w:t>ownership.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period for the</w:t>
      </w:r>
      <w:r>
        <w:rPr>
          <w:spacing w:val="-2"/>
        </w:rPr>
        <w:t> </w:t>
      </w:r>
      <w:r>
        <w:rPr/>
        <w:t>study covers 2005-2019 which is a fifteen-year period.</w:t>
      </w:r>
    </w:p>
    <w:p>
      <w:pPr>
        <w:pStyle w:val="Heading1"/>
        <w:numPr>
          <w:ilvl w:val="1"/>
          <w:numId w:val="18"/>
        </w:numPr>
        <w:tabs>
          <w:tab w:pos="1243" w:val="left" w:leader="none"/>
        </w:tabs>
        <w:spacing w:line="240" w:lineRule="auto" w:before="200" w:after="0"/>
        <w:ind w:left="1242" w:right="0" w:hanging="421"/>
        <w:jc w:val="both"/>
      </w:pPr>
      <w:bookmarkStart w:name="_bookmark17" w:id="25"/>
      <w:bookmarkEnd w:id="25"/>
      <w:r>
        <w:rPr>
          <w:b w:val="0"/>
        </w:rPr>
      </w:r>
      <w:bookmarkStart w:name="_bookmark17" w:id="26"/>
      <w:bookmarkEnd w:id="26"/>
      <w:r>
        <w:rPr/>
        <w:t>Li</w:t>
      </w:r>
      <w:r>
        <w:rPr/>
        <w:t>mitation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9"/>
      </w:pPr>
      <w:r>
        <w:rPr/>
        <w:t>Like every research effort, limitations were encountered and observed. For this study, several</w:t>
      </w:r>
      <w:r>
        <w:rPr>
          <w:spacing w:val="1"/>
        </w:rPr>
        <w:t> </w:t>
      </w:r>
      <w:r>
        <w:rPr/>
        <w:t>limitations were identified. Firstly, the study focused on non-financial firms listed on the</w:t>
      </w:r>
      <w:r>
        <w:rPr>
          <w:spacing w:val="1"/>
        </w:rPr>
        <w:t> </w:t>
      </w:r>
      <w:r>
        <w:rPr/>
        <w:t>Nigerian exchange group (NEX) and therefore,</w:t>
      </w:r>
      <w:r>
        <w:rPr>
          <w:spacing w:val="1"/>
        </w:rPr>
        <w:t> </w:t>
      </w:r>
      <w:r>
        <w:rPr/>
        <w:t>to that extent, the findings could not be</w:t>
      </w:r>
      <w:r>
        <w:rPr>
          <w:spacing w:val="1"/>
        </w:rPr>
        <w:t> </w:t>
      </w:r>
      <w:r>
        <w:rPr/>
        <w:t>generalizable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sector</w:t>
      </w:r>
      <w:r>
        <w:rPr>
          <w:spacing w:val="-4"/>
        </w:rPr>
        <w:t> </w:t>
      </w:r>
      <w:r>
        <w:rPr/>
        <w:t>firms.</w:t>
      </w:r>
      <w:r>
        <w:rPr>
          <w:spacing w:val="-6"/>
        </w:rPr>
        <w:t> </w:t>
      </w:r>
      <w:r>
        <w:rPr/>
        <w:t>Secondly,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7"/>
        </w:rPr>
        <w:t> </w:t>
      </w:r>
      <w:r>
        <w:rPr/>
        <w:t>limited</w:t>
      </w:r>
      <w:r>
        <w:rPr>
          <w:spacing w:val="-7"/>
        </w:rPr>
        <w:t> </w:t>
      </w:r>
      <w:r>
        <w:rPr/>
        <w:t>itself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providing</w:t>
      </w:r>
      <w:r>
        <w:rPr>
          <w:spacing w:val="-6"/>
        </w:rPr>
        <w:t> </w:t>
      </w:r>
      <w:r>
        <w:rPr/>
        <w:t>empirical</w:t>
      </w:r>
      <w:r>
        <w:rPr>
          <w:spacing w:val="-58"/>
        </w:rPr>
        <w:t> </w:t>
      </w:r>
      <w:r>
        <w:rPr/>
        <w:t>evidence on the impact of corporate governance on tax aggressiveness. Other non-governance</w:t>
      </w:r>
      <w:r>
        <w:rPr>
          <w:spacing w:val="-57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historical cross-sectional data for listed companies in Nigeria was also another limitation.</w:t>
      </w:r>
      <w:r>
        <w:rPr>
          <w:spacing w:val="1"/>
        </w:rPr>
        <w:t> </w:t>
      </w:r>
      <w:r>
        <w:rPr/>
        <w:t>Although the study adopted a 15 years period data which were robust for a cross-sectional</w:t>
      </w:r>
      <w:r>
        <w:rPr>
          <w:spacing w:val="1"/>
        </w:rPr>
        <w:t> </w:t>
      </w:r>
      <w:r>
        <w:rPr/>
        <w:t>statistical analysis, the desire to further extend the period was met with the difficulty in</w:t>
      </w:r>
      <w:r>
        <w:rPr>
          <w:spacing w:val="1"/>
        </w:rPr>
        <w:t> </w:t>
      </w:r>
      <w:r>
        <w:rPr/>
        <w:t>obtaining</w:t>
      </w:r>
      <w:r>
        <w:rPr>
          <w:spacing w:val="-1"/>
        </w:rPr>
        <w:t> </w:t>
      </w:r>
      <w:r>
        <w:rPr/>
        <w:t>historical and</w:t>
      </w:r>
      <w:r>
        <w:rPr>
          <w:spacing w:val="-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cross-sectional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listed companies</w:t>
      </w:r>
      <w:r>
        <w:rPr>
          <w:spacing w:val="-1"/>
        </w:rPr>
        <w:t> </w:t>
      </w:r>
      <w:r>
        <w:rPr/>
        <w:t>in Nigeria.</w:t>
      </w:r>
    </w:p>
    <w:p>
      <w:pPr>
        <w:pStyle w:val="Heading1"/>
        <w:numPr>
          <w:ilvl w:val="1"/>
          <w:numId w:val="18"/>
        </w:numPr>
        <w:tabs>
          <w:tab w:pos="1243" w:val="left" w:leader="none"/>
        </w:tabs>
        <w:spacing w:line="240" w:lineRule="auto" w:before="201" w:after="0"/>
        <w:ind w:left="1242" w:right="0" w:hanging="421"/>
        <w:jc w:val="both"/>
      </w:pPr>
      <w:bookmarkStart w:name="_bookmark18" w:id="27"/>
      <w:bookmarkEnd w:id="27"/>
      <w:r>
        <w:rPr>
          <w:b w:val="0"/>
        </w:rPr>
      </w:r>
      <w:bookmarkStart w:name="_bookmark18" w:id="28"/>
      <w:bookmarkEnd w:id="28"/>
      <w:r>
        <w:rPr/>
        <w:t>D</w:t>
      </w:r>
      <w:r>
        <w:rPr/>
        <w:t>efinition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0"/>
      </w:pPr>
      <w:r>
        <w:rPr>
          <w:b/>
        </w:rPr>
        <w:t>Corporate</w:t>
      </w:r>
      <w:r>
        <w:rPr>
          <w:b/>
          <w:spacing w:val="-7"/>
        </w:rPr>
        <w:t> </w:t>
      </w:r>
      <w:r>
        <w:rPr>
          <w:b/>
        </w:rPr>
        <w:t>Governance:</w:t>
      </w:r>
      <w:r>
        <w:rPr>
          <w:b/>
          <w:spacing w:val="-3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governance</w:t>
      </w:r>
      <w:r>
        <w:rPr>
          <w:spacing w:val="-6"/>
        </w:rPr>
        <w:t> </w:t>
      </w:r>
      <w:r>
        <w:rPr/>
        <w:t>is</w:t>
      </w:r>
      <w:r>
        <w:rPr>
          <w:spacing w:val="-4"/>
        </w:rPr>
        <w:t> </w:t>
      </w:r>
      <w:r>
        <w:rPr/>
        <w:t>defined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system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checks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balances,</w:t>
      </w:r>
      <w:r>
        <w:rPr>
          <w:spacing w:val="-58"/>
        </w:rPr>
        <w:t> </w:t>
      </w:r>
      <w:r>
        <w:rPr/>
        <w:t>both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companies,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ensures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discharge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accountability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act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socially</w:t>
      </w:r>
      <w:r>
        <w:rPr>
          <w:spacing w:val="-3"/>
        </w:rPr>
        <w:t> </w:t>
      </w:r>
      <w:r>
        <w:rPr/>
        <w:t>responsible</w:t>
      </w:r>
      <w:r>
        <w:rPr>
          <w:spacing w:val="-4"/>
        </w:rPr>
        <w:t> </w:t>
      </w:r>
      <w:r>
        <w:rPr/>
        <w:t>way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areas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their</w:t>
      </w:r>
      <w:r>
        <w:rPr>
          <w:spacing w:val="-58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activities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6"/>
      </w:pPr>
      <w:r>
        <w:rPr>
          <w:b/>
        </w:rPr>
        <w:t>Tax Aggressiveness: </w:t>
      </w:r>
      <w:r>
        <w:rPr/>
        <w:t>Tax aggressiveness is defined as the effort of the company to minimize</w:t>
      </w:r>
      <w:r>
        <w:rPr>
          <w:spacing w:val="1"/>
        </w:rPr>
        <w:t> </w:t>
      </w:r>
      <w:r>
        <w:rPr/>
        <w:t>tax</w:t>
      </w:r>
      <w:r>
        <w:rPr>
          <w:spacing w:val="-1"/>
        </w:rPr>
        <w:t> </w:t>
      </w:r>
      <w:r>
        <w:rPr/>
        <w:t>payments using aggressive</w:t>
      </w:r>
      <w:r>
        <w:rPr>
          <w:spacing w:val="-1"/>
        </w:rPr>
        <w:t> </w:t>
      </w:r>
      <w:r>
        <w:rPr/>
        <w:t>tax planning activities and tax</w:t>
      </w:r>
      <w:r>
        <w:rPr>
          <w:spacing w:val="-1"/>
        </w:rPr>
        <w:t> </w:t>
      </w:r>
      <w:r>
        <w:rPr/>
        <w:t>avoidance.</w:t>
      </w:r>
    </w:p>
    <w:p>
      <w:pPr>
        <w:pStyle w:val="BodyText"/>
        <w:spacing w:line="480" w:lineRule="auto" w:before="202"/>
        <w:ind w:right="831"/>
      </w:pPr>
      <w:r>
        <w:rPr>
          <w:b/>
        </w:rPr>
        <w:t>Effective Tax Rate: </w:t>
      </w:r>
      <w:r>
        <w:rPr/>
        <w:t>The firms’ effective tax rate (ETR) is defined as some measures of tax</w:t>
      </w:r>
      <w:r>
        <w:rPr>
          <w:spacing w:val="1"/>
        </w:rPr>
        <w:t> </w:t>
      </w:r>
      <w:r>
        <w:rPr/>
        <w:t>liability</w:t>
      </w:r>
      <w:r>
        <w:rPr>
          <w:spacing w:val="-1"/>
        </w:rPr>
        <w:t> </w:t>
      </w:r>
      <w:r>
        <w:rPr/>
        <w:t>divided by income.</w:t>
      </w:r>
    </w:p>
    <w:p>
      <w:pPr>
        <w:pStyle w:val="BodyText"/>
        <w:spacing w:line="480" w:lineRule="auto" w:before="200"/>
        <w:ind w:right="828"/>
      </w:pPr>
      <w:r>
        <w:rPr/>
        <w:drawing>
          <wp:anchor distT="0" distB="0" distL="0" distR="0" allowOverlap="1" layoutInCell="1" locked="0" behindDoc="1" simplePos="0" relativeHeight="454002176">
            <wp:simplePos x="0" y="0"/>
            <wp:positionH relativeFrom="page">
              <wp:posOffset>1261605</wp:posOffset>
            </wp:positionH>
            <wp:positionV relativeFrom="paragraph">
              <wp:posOffset>248324</wp:posOffset>
            </wp:positionV>
            <wp:extent cx="5133225" cy="5265293"/>
            <wp:effectExtent l="0" t="0" r="0" b="0"/>
            <wp:wrapNone/>
            <wp:docPr id="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Board Size: </w:t>
      </w:r>
      <w:r>
        <w:rPr/>
        <w:t>Refers to the number of individuals on the board. Board size which is proxied by</w:t>
      </w:r>
      <w:r>
        <w:rPr>
          <w:spacing w:val="1"/>
        </w:rPr>
        <w:t> </w:t>
      </w:r>
      <w:r>
        <w:rPr/>
        <w:t>the number directors on the board is considered to be an important element in monitoring the</w:t>
      </w:r>
      <w:r>
        <w:rPr>
          <w:spacing w:val="1"/>
        </w:rPr>
        <w:t> </w:t>
      </w:r>
      <w:r>
        <w:rPr/>
        <w:t>effectiveness</w:t>
      </w:r>
      <w:r>
        <w:rPr>
          <w:spacing w:val="-1"/>
        </w:rPr>
        <w:t> </w:t>
      </w:r>
      <w:r>
        <w:rPr/>
        <w:t>of the board.</w:t>
      </w:r>
    </w:p>
    <w:p>
      <w:pPr>
        <w:pStyle w:val="BodyText"/>
        <w:spacing w:line="480" w:lineRule="auto" w:before="200"/>
        <w:ind w:right="830"/>
      </w:pPr>
      <w:r>
        <w:rPr>
          <w:b/>
        </w:rPr>
        <w:t>Board Independence: </w:t>
      </w:r>
      <w:r>
        <w:rPr/>
        <w:t>The independence of the board refers to the number of non-executive</w:t>
      </w:r>
      <w:r>
        <w:rPr>
          <w:spacing w:val="1"/>
        </w:rPr>
        <w:t> </w:t>
      </w:r>
      <w:r>
        <w:rPr/>
        <w:t>directors</w:t>
      </w:r>
      <w:r>
        <w:rPr>
          <w:spacing w:val="-1"/>
        </w:rPr>
        <w:t> </w:t>
      </w:r>
      <w:r>
        <w:rPr/>
        <w:t>on the board.</w:t>
      </w:r>
    </w:p>
    <w:p>
      <w:pPr>
        <w:spacing w:line="652" w:lineRule="auto" w:before="201"/>
        <w:ind w:left="822" w:right="1776" w:firstLine="0"/>
        <w:jc w:val="left"/>
        <w:rPr>
          <w:sz w:val="24"/>
        </w:rPr>
      </w:pPr>
      <w:r>
        <w:rPr>
          <w:b/>
          <w:sz w:val="24"/>
        </w:rPr>
        <w:t>Board Gender Diversity</w:t>
      </w:r>
      <w:r>
        <w:rPr>
          <w:sz w:val="24"/>
        </w:rPr>
        <w:t>: Refers to the ratio of females on the board of directors</w:t>
      </w:r>
      <w:r>
        <w:rPr>
          <w:spacing w:val="1"/>
          <w:sz w:val="24"/>
        </w:rPr>
        <w:t> </w:t>
      </w:r>
      <w:r>
        <w:rPr>
          <w:b/>
          <w:sz w:val="24"/>
        </w:rPr>
        <w:t>Ownership Structure: </w:t>
      </w:r>
      <w:r>
        <w:rPr>
          <w:sz w:val="24"/>
        </w:rPr>
        <w:t>This is defined as the shareholding structure of the company</w:t>
      </w:r>
      <w:r>
        <w:rPr>
          <w:spacing w:val="-57"/>
          <w:sz w:val="24"/>
        </w:rPr>
        <w:t> </w:t>
      </w:r>
      <w:r>
        <w:rPr>
          <w:b/>
          <w:sz w:val="24"/>
        </w:rPr>
        <w:t>CEO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ownership: </w:t>
      </w:r>
      <w:r>
        <w:rPr>
          <w:sz w:val="24"/>
        </w:rPr>
        <w:t>This refers to</w:t>
      </w:r>
      <w:r>
        <w:rPr>
          <w:spacing w:val="-1"/>
          <w:sz w:val="24"/>
        </w:rPr>
        <w:t> </w:t>
      </w:r>
      <w:r>
        <w:rPr>
          <w:sz w:val="24"/>
        </w:rPr>
        <w:t>the percentage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shares owned</w:t>
      </w:r>
      <w:r>
        <w:rPr>
          <w:spacing w:val="-1"/>
          <w:sz w:val="24"/>
        </w:rPr>
        <w:t> </w:t>
      </w:r>
      <w:r>
        <w:rPr>
          <w:sz w:val="24"/>
        </w:rPr>
        <w:t>by the CEO</w:t>
      </w:r>
    </w:p>
    <w:p>
      <w:pPr>
        <w:pStyle w:val="BodyText"/>
        <w:spacing w:before="5"/>
        <w:jc w:val="left"/>
      </w:pPr>
      <w:r>
        <w:rPr>
          <w:b/>
        </w:rPr>
        <w:t>CEO</w:t>
      </w:r>
      <w:r>
        <w:rPr>
          <w:b/>
          <w:spacing w:val="-1"/>
        </w:rPr>
        <w:t> </w:t>
      </w:r>
      <w:r>
        <w:rPr>
          <w:b/>
        </w:rPr>
        <w:t>Tenure:</w:t>
      </w:r>
      <w:r>
        <w:rPr>
          <w:b/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refers to the</w:t>
      </w:r>
      <w:r>
        <w:rPr>
          <w:spacing w:val="-2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 years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CEO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 at the</w:t>
      </w:r>
      <w:r>
        <w:rPr>
          <w:spacing w:val="-2"/>
        </w:rPr>
        <w:t> </w:t>
      </w:r>
      <w:r>
        <w:rPr/>
        <w:t>helm of affairs.</w:t>
      </w:r>
    </w:p>
    <w:p>
      <w:pPr>
        <w:pStyle w:val="BodyText"/>
        <w:ind w:left="0"/>
        <w:jc w:val="left"/>
        <w:rPr>
          <w:sz w:val="26"/>
        </w:rPr>
      </w:pPr>
    </w:p>
    <w:p>
      <w:pPr>
        <w:spacing w:before="176"/>
        <w:ind w:left="822" w:right="0" w:firstLine="0"/>
        <w:jc w:val="left"/>
        <w:rPr>
          <w:sz w:val="24"/>
        </w:rPr>
      </w:pPr>
      <w:r>
        <w:rPr>
          <w:b/>
          <w:sz w:val="24"/>
        </w:rPr>
        <w:t>CEO-Age: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disclosed age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CEO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8"/>
        <w:ind w:left="0"/>
        <w:jc w:val="left"/>
        <w:rPr>
          <w:sz w:val="28"/>
        </w:rPr>
      </w:pPr>
    </w:p>
    <w:p>
      <w:pPr>
        <w:pStyle w:val="Heading1"/>
        <w:spacing w:line="535" w:lineRule="auto" w:before="0"/>
        <w:ind w:left="4033" w:right="4043" w:firstLine="3"/>
        <w:jc w:val="center"/>
      </w:pPr>
      <w:bookmarkStart w:name="_bookmark19" w:id="29"/>
      <w:bookmarkEnd w:id="29"/>
      <w:r>
        <w:rPr>
          <w:b w:val="0"/>
        </w:rPr>
      </w:r>
      <w:r>
        <w:rPr/>
        <w:t>CHAPTER TWO</w:t>
      </w:r>
      <w:r>
        <w:rPr>
          <w:spacing w:val="1"/>
        </w:rPr>
        <w:t> </w:t>
      </w:r>
      <w:bookmarkStart w:name="_bookmark20" w:id="30"/>
      <w:bookmarkEnd w:id="30"/>
      <w:r>
        <w:rPr/>
        <w:t>L</w:t>
      </w:r>
      <w:r>
        <w:rPr/>
        <w:t>ITERATURE</w:t>
      </w:r>
      <w:r>
        <w:rPr>
          <w:spacing w:val="-12"/>
        </w:rPr>
        <w:t> </w:t>
      </w:r>
      <w:r>
        <w:rPr/>
        <w:t>REVIEW</w:t>
      </w:r>
    </w:p>
    <w:p>
      <w:pPr>
        <w:pStyle w:val="Heading1"/>
        <w:numPr>
          <w:ilvl w:val="1"/>
          <w:numId w:val="19"/>
        </w:numPr>
        <w:tabs>
          <w:tab w:pos="1243" w:val="left" w:leader="none"/>
        </w:tabs>
        <w:spacing w:line="274" w:lineRule="exact" w:before="0" w:after="0"/>
        <w:ind w:left="1242" w:right="0" w:hanging="421"/>
        <w:jc w:val="left"/>
      </w:pPr>
      <w:bookmarkStart w:name="_bookmark21" w:id="31"/>
      <w:bookmarkEnd w:id="31"/>
      <w:r>
        <w:rPr>
          <w:b w:val="0"/>
        </w:rPr>
      </w:r>
      <w:bookmarkStart w:name="_bookmark21" w:id="32"/>
      <w:bookmarkEnd w:id="32"/>
      <w:r>
        <w:rPr/>
        <w:t>In</w:t>
      </w:r>
      <w:r>
        <w:rPr/>
        <w:t>troduction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1"/>
      </w:pPr>
      <w:r>
        <w:rPr>
          <w:spacing w:val="-1"/>
        </w:rPr>
        <w:t>This</w:t>
      </w:r>
      <w:r>
        <w:rPr>
          <w:spacing w:val="-13"/>
        </w:rPr>
        <w:t> </w:t>
      </w:r>
      <w:r>
        <w:rPr/>
        <w:t>chapter</w:t>
      </w:r>
      <w:r>
        <w:rPr>
          <w:spacing w:val="-15"/>
        </w:rPr>
        <w:t> </w:t>
      </w:r>
      <w:r>
        <w:rPr/>
        <w:t>presents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conceptual</w:t>
      </w:r>
      <w:r>
        <w:rPr>
          <w:spacing w:val="-12"/>
        </w:rPr>
        <w:t> </w:t>
      </w:r>
      <w:r>
        <w:rPr/>
        <w:t>framework</w:t>
      </w:r>
      <w:r>
        <w:rPr>
          <w:spacing w:val="-14"/>
        </w:rPr>
        <w:t> </w:t>
      </w:r>
      <w:r>
        <w:rPr/>
        <w:t>where</w:t>
      </w:r>
      <w:r>
        <w:rPr>
          <w:spacing w:val="-15"/>
        </w:rPr>
        <w:t> </w:t>
      </w:r>
      <w:r>
        <w:rPr/>
        <w:t>emphasis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given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adequately</w:t>
      </w:r>
      <w:r>
        <w:rPr>
          <w:spacing w:val="-13"/>
        </w:rPr>
        <w:t> </w:t>
      </w:r>
      <w:r>
        <w:rPr/>
        <w:t>defining</w:t>
      </w:r>
      <w:r>
        <w:rPr>
          <w:spacing w:val="-57"/>
        </w:rPr>
        <w:t> </w:t>
      </w:r>
      <w:r>
        <w:rPr/>
        <w:t>and reviewing relevant materials on the dependent and the independent variables.</w:t>
      </w:r>
      <w:r>
        <w:rPr>
          <w:spacing w:val="1"/>
        </w:rPr>
        <w:t> </w:t>
      </w:r>
      <w:r>
        <w:rPr/>
        <w:t>It reviews</w:t>
      </w:r>
      <w:r>
        <w:rPr>
          <w:spacing w:val="1"/>
        </w:rPr>
        <w:t> </w:t>
      </w:r>
      <w:r>
        <w:rPr/>
        <w:t>the</w:t>
      </w:r>
      <w:r>
        <w:rPr>
          <w:spacing w:val="40"/>
        </w:rPr>
        <w:t> </w:t>
      </w:r>
      <w:r>
        <w:rPr/>
        <w:t>empirical</w:t>
      </w:r>
      <w:r>
        <w:rPr>
          <w:spacing w:val="42"/>
        </w:rPr>
        <w:t> </w:t>
      </w:r>
      <w:r>
        <w:rPr/>
        <w:t>literature</w:t>
      </w:r>
      <w:r>
        <w:rPr>
          <w:spacing w:val="42"/>
        </w:rPr>
        <w:t> </w:t>
      </w:r>
      <w:r>
        <w:rPr/>
        <w:t>which</w:t>
      </w:r>
      <w:r>
        <w:rPr>
          <w:spacing w:val="42"/>
        </w:rPr>
        <w:t> </w:t>
      </w:r>
      <w:r>
        <w:rPr/>
        <w:t>shows</w:t>
      </w:r>
      <w:r>
        <w:rPr>
          <w:spacing w:val="41"/>
        </w:rPr>
        <w:t> </w:t>
      </w:r>
      <w:r>
        <w:rPr/>
        <w:t>the</w:t>
      </w:r>
      <w:r>
        <w:rPr>
          <w:spacing w:val="41"/>
        </w:rPr>
        <w:t> </w:t>
      </w:r>
      <w:r>
        <w:rPr/>
        <w:t>results</w:t>
      </w:r>
      <w:r>
        <w:rPr>
          <w:spacing w:val="39"/>
        </w:rPr>
        <w:t> </w:t>
      </w:r>
      <w:r>
        <w:rPr/>
        <w:t>of</w:t>
      </w:r>
      <w:r>
        <w:rPr>
          <w:spacing w:val="41"/>
        </w:rPr>
        <w:t> </w:t>
      </w:r>
      <w:r>
        <w:rPr/>
        <w:t>similar</w:t>
      </w:r>
      <w:r>
        <w:rPr>
          <w:spacing w:val="39"/>
        </w:rPr>
        <w:t> </w:t>
      </w:r>
      <w:r>
        <w:rPr/>
        <w:t>studies</w:t>
      </w:r>
      <w:r>
        <w:rPr>
          <w:spacing w:val="42"/>
        </w:rPr>
        <w:t> </w:t>
      </w:r>
      <w:r>
        <w:rPr/>
        <w:t>that</w:t>
      </w:r>
      <w:r>
        <w:rPr>
          <w:spacing w:val="37"/>
        </w:rPr>
        <w:t> </w:t>
      </w:r>
      <w:r>
        <w:rPr/>
        <w:t>have</w:t>
      </w:r>
      <w:r>
        <w:rPr>
          <w:spacing w:val="41"/>
        </w:rPr>
        <w:t> </w:t>
      </w:r>
      <w:r>
        <w:rPr/>
        <w:t>examined</w:t>
      </w:r>
      <w:r>
        <w:rPr>
          <w:spacing w:val="4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2"/>
      </w:pPr>
      <w:r>
        <w:rPr/>
        <w:t>relationship between corporate governance and tax aggressiveness. Finally, the theoretical</w:t>
      </w:r>
      <w:r>
        <w:rPr>
          <w:spacing w:val="1"/>
        </w:rPr>
        <w:t> </w:t>
      </w:r>
      <w:r>
        <w:rPr/>
        <w:t>framework</w:t>
      </w:r>
      <w:r>
        <w:rPr>
          <w:spacing w:val="-7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3"/>
        </w:rPr>
        <w:t> </w:t>
      </w:r>
      <w:r>
        <w:rPr/>
        <w:t>which</w:t>
      </w:r>
      <w:r>
        <w:rPr>
          <w:spacing w:val="-5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anchor</w:t>
      </w:r>
      <w:r>
        <w:rPr>
          <w:spacing w:val="-7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is</w:t>
      </w:r>
      <w:r>
        <w:rPr>
          <w:spacing w:val="-6"/>
        </w:rPr>
        <w:t> </w:t>
      </w:r>
      <w:r>
        <w:rPr/>
        <w:t>presented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discussed.</w:t>
      </w:r>
    </w:p>
    <w:p>
      <w:pPr>
        <w:pStyle w:val="Heading1"/>
        <w:numPr>
          <w:ilvl w:val="1"/>
          <w:numId w:val="19"/>
        </w:numPr>
        <w:tabs>
          <w:tab w:pos="1242" w:val="left" w:leader="none"/>
        </w:tabs>
        <w:spacing w:line="240" w:lineRule="auto" w:before="1" w:after="0"/>
        <w:ind w:left="1242" w:right="0" w:hanging="420"/>
        <w:jc w:val="both"/>
      </w:pPr>
      <w:bookmarkStart w:name="_bookmark22" w:id="33"/>
      <w:bookmarkEnd w:id="33"/>
      <w:r>
        <w:rPr>
          <w:b w:val="0"/>
        </w:rPr>
      </w:r>
      <w:bookmarkStart w:name="_bookmark22" w:id="34"/>
      <w:bookmarkEnd w:id="34"/>
      <w:r>
        <w:rPr/>
        <w:t>Conc</w:t>
      </w:r>
      <w:r>
        <w:rPr/>
        <w:t>eptual</w:t>
      </w:r>
      <w:r>
        <w:rPr>
          <w:spacing w:val="-7"/>
        </w:rPr>
        <w:t> </w:t>
      </w:r>
      <w:r>
        <w:rPr/>
        <w:t>Framework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480" w:lineRule="auto"/>
        <w:ind w:right="828"/>
      </w:pPr>
      <w:r>
        <w:rPr/>
        <w:drawing>
          <wp:anchor distT="0" distB="0" distL="0" distR="0" allowOverlap="1" layoutInCell="1" locked="0" behindDoc="1" simplePos="0" relativeHeight="454002688">
            <wp:simplePos x="0" y="0"/>
            <wp:positionH relativeFrom="page">
              <wp:posOffset>1261605</wp:posOffset>
            </wp:positionH>
            <wp:positionV relativeFrom="paragraph">
              <wp:posOffset>726352</wp:posOffset>
            </wp:positionV>
            <wp:extent cx="5133225" cy="5265293"/>
            <wp:effectExtent l="0" t="0" r="0" b="0"/>
            <wp:wrapNone/>
            <wp:docPr id="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conceptual</w:t>
      </w:r>
      <w:r>
        <w:rPr>
          <w:spacing w:val="-14"/>
        </w:rPr>
        <w:t> </w:t>
      </w:r>
      <w:r>
        <w:rPr/>
        <w:t>framework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study</w:t>
      </w:r>
      <w:r>
        <w:rPr>
          <w:spacing w:val="-14"/>
        </w:rPr>
        <w:t> </w:t>
      </w:r>
      <w:r>
        <w:rPr/>
        <w:t>examined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provided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clarification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foundation</w:t>
      </w:r>
      <w:r>
        <w:rPr>
          <w:spacing w:val="-5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study.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critically</w:t>
      </w:r>
      <w:r>
        <w:rPr>
          <w:spacing w:val="-4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study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governance as well as the dependent variable which was tax aggressiveness. The study threw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aggressiveness.</w:t>
      </w:r>
    </w:p>
    <w:p>
      <w:pPr>
        <w:pStyle w:val="Heading1"/>
        <w:numPr>
          <w:ilvl w:val="2"/>
          <w:numId w:val="19"/>
        </w:numPr>
        <w:tabs>
          <w:tab w:pos="1362" w:val="left" w:leader="none"/>
        </w:tabs>
        <w:spacing w:line="240" w:lineRule="auto" w:before="1" w:after="0"/>
        <w:ind w:left="1362" w:right="0" w:hanging="540"/>
        <w:jc w:val="both"/>
      </w:pPr>
      <w:bookmarkStart w:name="_bookmark23" w:id="35"/>
      <w:bookmarkEnd w:id="35"/>
      <w:r>
        <w:rPr>
          <w:b w:val="0"/>
        </w:rPr>
      </w:r>
      <w:bookmarkStart w:name="_bookmark23" w:id="36"/>
      <w:bookmarkEnd w:id="36"/>
      <w:r>
        <w:rPr/>
        <w:t>Conc</w:t>
      </w:r>
      <w:r>
        <w:rPr/>
        <w:t>ept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Governance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9"/>
      </w:pPr>
      <w:r>
        <w:rPr/>
        <w:t>Corporate governance is defined as a system by which companies are directed and controlled</w:t>
      </w:r>
      <w:r>
        <w:rPr>
          <w:spacing w:val="1"/>
        </w:rPr>
        <w:t> </w:t>
      </w:r>
      <w:r>
        <w:rPr/>
        <w:t>(Cadbury, 1992). It consists of two components: corporate which refers to corporations and</w:t>
      </w:r>
      <w:r>
        <w:rPr>
          <w:spacing w:val="1"/>
        </w:rPr>
        <w:t> </w:t>
      </w:r>
      <w:r>
        <w:rPr/>
        <w:t>governance which refers to the act, fact or manner of governing (Lanno, 1999). Ruin (2001)</w:t>
      </w:r>
      <w:r>
        <w:rPr>
          <w:spacing w:val="1"/>
        </w:rPr>
        <w:t> </w:t>
      </w:r>
      <w:r>
        <w:rPr/>
        <w:t>stated that corporate governance is a group of people getting together as one united body with</w:t>
      </w:r>
      <w:r>
        <w:rPr>
          <w:spacing w:val="1"/>
        </w:rPr>
        <w:t> </w:t>
      </w:r>
      <w:r>
        <w:rPr/>
        <w:t>the responsibility to direct, control and rule with authority. On a collective effort, the body is</w:t>
      </w:r>
      <w:r>
        <w:rPr>
          <w:spacing w:val="1"/>
        </w:rPr>
        <w:t> </w:t>
      </w:r>
      <w:r>
        <w:rPr/>
        <w:t>empowered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regulate, determine,</w:t>
      </w:r>
      <w:r>
        <w:rPr>
          <w:spacing w:val="-1"/>
        </w:rPr>
        <w:t> </w:t>
      </w:r>
      <w:r>
        <w:rPr/>
        <w:t>restrain, curb</w:t>
      </w:r>
      <w:r>
        <w:rPr>
          <w:spacing w:val="1"/>
        </w:rPr>
        <w:t> </w:t>
      </w:r>
      <w:r>
        <w:rPr/>
        <w:t>and exercise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authority</w:t>
      </w:r>
      <w:r>
        <w:rPr>
          <w:spacing w:val="2"/>
        </w:rPr>
        <w:t> </w:t>
      </w:r>
      <w:r>
        <w:rPr/>
        <w:t>given</w:t>
      </w:r>
      <w:r>
        <w:rPr>
          <w:spacing w:val="-1"/>
        </w:rPr>
        <w:t> </w:t>
      </w:r>
      <w:r>
        <w:rPr/>
        <w:t>to it.</w:t>
      </w:r>
    </w:p>
    <w:p>
      <w:pPr>
        <w:pStyle w:val="BodyText"/>
        <w:spacing w:line="480" w:lineRule="auto" w:before="199"/>
        <w:ind w:right="830"/>
      </w:pPr>
      <w:r>
        <w:rPr/>
        <w:t>Solomon and Solomon (2004) defined corporate governance as the system of checks and</w:t>
      </w:r>
      <w:r>
        <w:rPr>
          <w:spacing w:val="1"/>
        </w:rPr>
        <w:t> </w:t>
      </w:r>
      <w:r>
        <w:rPr/>
        <w:t>balances, both internal and external, in companies, which ensures that companies discharge</w:t>
      </w:r>
      <w:r>
        <w:rPr>
          <w:spacing w:val="1"/>
        </w:rPr>
        <w:t> </w:t>
      </w:r>
      <w:r>
        <w:rPr/>
        <w:t>their</w:t>
      </w:r>
      <w:r>
        <w:rPr>
          <w:spacing w:val="-5"/>
        </w:rPr>
        <w:t> </w:t>
      </w:r>
      <w:r>
        <w:rPr/>
        <w:t>accountability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their</w:t>
      </w:r>
      <w:r>
        <w:rPr>
          <w:spacing w:val="-5"/>
        </w:rPr>
        <w:t> </w:t>
      </w:r>
      <w:r>
        <w:rPr/>
        <w:t>stakeholders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act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socially</w:t>
      </w:r>
      <w:r>
        <w:rPr>
          <w:spacing w:val="-3"/>
        </w:rPr>
        <w:t> </w:t>
      </w:r>
      <w:r>
        <w:rPr/>
        <w:t>responsible</w:t>
      </w:r>
      <w:r>
        <w:rPr>
          <w:spacing w:val="-1"/>
        </w:rPr>
        <w:t> </w:t>
      </w:r>
      <w:r>
        <w:rPr/>
        <w:t>way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areas of</w:t>
      </w:r>
      <w:r>
        <w:rPr>
          <w:spacing w:val="-58"/>
        </w:rPr>
        <w:t> </w:t>
      </w:r>
      <w:r>
        <w:rPr/>
        <w:t>their business activities. Anandarajah (2004) opined that there was no universally agreed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for what</w:t>
      </w:r>
      <w:r>
        <w:rPr>
          <w:spacing w:val="1"/>
        </w:rPr>
        <w:t> </w:t>
      </w:r>
      <w:r>
        <w:rPr/>
        <w:t>the term,</w:t>
      </w:r>
      <w:r>
        <w:rPr>
          <w:spacing w:val="1"/>
        </w:rPr>
        <w:t> </w:t>
      </w:r>
      <w:r>
        <w:rPr/>
        <w:t>corporate governance,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numerous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evolved owing to the multi-dimensional nature of the concept. A common assertion of most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generated by the separation of ownership and control (Wells, 2010). According to Uwuigbe,</w:t>
      </w:r>
      <w:r>
        <w:rPr>
          <w:spacing w:val="1"/>
        </w:rPr>
        <w:t> </w:t>
      </w:r>
      <w:r>
        <w:rPr/>
        <w:t>Olusanmi</w:t>
      </w:r>
      <w:r>
        <w:rPr>
          <w:spacing w:val="13"/>
        </w:rPr>
        <w:t> </w:t>
      </w:r>
      <w:r>
        <w:rPr/>
        <w:t>and</w:t>
      </w:r>
      <w:r>
        <w:rPr>
          <w:spacing w:val="15"/>
        </w:rPr>
        <w:t> </w:t>
      </w:r>
      <w:r>
        <w:rPr/>
        <w:t>Iyoha</w:t>
      </w:r>
      <w:r>
        <w:rPr>
          <w:spacing w:val="14"/>
        </w:rPr>
        <w:t> </w:t>
      </w:r>
      <w:r>
        <w:rPr/>
        <w:t>(2015)</w:t>
      </w:r>
      <w:r>
        <w:rPr>
          <w:spacing w:val="13"/>
        </w:rPr>
        <w:t> </w:t>
      </w:r>
      <w:r>
        <w:rPr/>
        <w:t>corporate</w:t>
      </w:r>
      <w:r>
        <w:rPr>
          <w:spacing w:val="12"/>
        </w:rPr>
        <w:t> </w:t>
      </w:r>
      <w:r>
        <w:rPr/>
        <w:t>governance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seen</w:t>
      </w:r>
      <w:r>
        <w:rPr>
          <w:spacing w:val="16"/>
        </w:rPr>
        <w:t> </w:t>
      </w:r>
      <w:r>
        <w:rPr/>
        <w:t>as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system</w:t>
      </w:r>
      <w:r>
        <w:rPr>
          <w:spacing w:val="13"/>
        </w:rPr>
        <w:t> </w:t>
      </w:r>
      <w:r>
        <w:rPr/>
        <w:t>or</w:t>
      </w:r>
      <w:r>
        <w:rPr>
          <w:spacing w:val="15"/>
        </w:rPr>
        <w:t> </w:t>
      </w:r>
      <w:r>
        <w:rPr/>
        <w:t>an</w:t>
      </w:r>
      <w:r>
        <w:rPr>
          <w:spacing w:val="13"/>
        </w:rPr>
        <w:t> </w:t>
      </w:r>
      <w:r>
        <w:rPr/>
        <w:t>arrangement</w:t>
      </w:r>
      <w:r>
        <w:rPr>
          <w:spacing w:val="13"/>
        </w:rPr>
        <w:t> </w:t>
      </w:r>
      <w:r>
        <w:rPr/>
        <w:t>that</w:t>
      </w:r>
    </w:p>
    <w:p>
      <w:pPr>
        <w:pStyle w:val="BodyText"/>
        <w:spacing w:before="1"/>
      </w:pPr>
      <w:r>
        <w:rPr/>
        <w:t>comprises</w:t>
      </w:r>
      <w:r>
        <w:rPr>
          <w:spacing w:val="84"/>
        </w:rPr>
        <w:t> </w:t>
      </w:r>
      <w:r>
        <w:rPr/>
        <w:t>a</w:t>
      </w:r>
      <w:r>
        <w:rPr>
          <w:spacing w:val="84"/>
        </w:rPr>
        <w:t> </w:t>
      </w:r>
      <w:r>
        <w:rPr/>
        <w:t>wide</w:t>
      </w:r>
      <w:r>
        <w:rPr>
          <w:spacing w:val="84"/>
        </w:rPr>
        <w:t> </w:t>
      </w:r>
      <w:r>
        <w:rPr/>
        <w:t>range</w:t>
      </w:r>
      <w:r>
        <w:rPr>
          <w:spacing w:val="84"/>
        </w:rPr>
        <w:t> </w:t>
      </w:r>
      <w:r>
        <w:rPr/>
        <w:t>of</w:t>
      </w:r>
      <w:r>
        <w:rPr>
          <w:spacing w:val="84"/>
        </w:rPr>
        <w:t> </w:t>
      </w:r>
      <w:r>
        <w:rPr/>
        <w:t>practices</w:t>
      </w:r>
      <w:r>
        <w:rPr>
          <w:spacing w:val="88"/>
        </w:rPr>
        <w:t> </w:t>
      </w:r>
      <w:r>
        <w:rPr/>
        <w:t>(accounting</w:t>
      </w:r>
      <w:r>
        <w:rPr>
          <w:spacing w:val="85"/>
        </w:rPr>
        <w:t> </w:t>
      </w:r>
      <w:r>
        <w:rPr/>
        <w:t>standards,</w:t>
      </w:r>
      <w:r>
        <w:rPr>
          <w:spacing w:val="84"/>
        </w:rPr>
        <w:t> </w:t>
      </w:r>
      <w:r>
        <w:rPr/>
        <w:t>rules</w:t>
      </w:r>
      <w:r>
        <w:rPr>
          <w:spacing w:val="87"/>
        </w:rPr>
        <w:t> </w:t>
      </w:r>
      <w:r>
        <w:rPr/>
        <w:t>concerning</w:t>
      </w:r>
      <w:r>
        <w:rPr>
          <w:spacing w:val="84"/>
        </w:rPr>
        <w:t> </w:t>
      </w:r>
      <w:r>
        <w:rPr/>
        <w:t>financial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t>disclosure,</w:t>
      </w:r>
      <w:r>
        <w:rPr>
          <w:spacing w:val="-4"/>
        </w:rPr>
        <w:t> </w:t>
      </w:r>
      <w:r>
        <w:rPr/>
        <w:t>executive</w:t>
      </w:r>
      <w:r>
        <w:rPr>
          <w:spacing w:val="-4"/>
        </w:rPr>
        <w:t> </w:t>
      </w:r>
      <w:r>
        <w:rPr/>
        <w:t>compensation,</w:t>
      </w:r>
      <w:r>
        <w:rPr>
          <w:spacing w:val="-4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composition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boards)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institutions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protect the</w:t>
      </w:r>
      <w:r>
        <w:rPr>
          <w:spacing w:val="-1"/>
        </w:rPr>
        <w:t> </w:t>
      </w:r>
      <w:r>
        <w:rPr/>
        <w:t>interest of a</w:t>
      </w:r>
      <w:r>
        <w:rPr>
          <w:spacing w:val="-1"/>
        </w:rPr>
        <w:t> </w:t>
      </w:r>
      <w:r>
        <w:rPr/>
        <w:t>corporation’s owners.</w:t>
      </w:r>
    </w:p>
    <w:p>
      <w:pPr>
        <w:pStyle w:val="BodyText"/>
        <w:spacing w:line="480" w:lineRule="auto" w:before="202"/>
        <w:ind w:right="829"/>
      </w:pPr>
      <w:r>
        <w:rPr/>
        <w:drawing>
          <wp:anchor distT="0" distB="0" distL="0" distR="0" allowOverlap="1" layoutInCell="1" locked="0" behindDoc="1" simplePos="0" relativeHeight="454003200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According to Aguilera, Defenders and de Castro, (2012) corporate Governance is a system by</w:t>
      </w:r>
      <w:r>
        <w:rPr>
          <w:spacing w:val="1"/>
        </w:rPr>
        <w:t> </w:t>
      </w:r>
      <w:r>
        <w:rPr/>
        <w:t>which organizations are directed and controlled. Boards of directors are responsible for the</w:t>
      </w:r>
      <w:r>
        <w:rPr>
          <w:spacing w:val="1"/>
        </w:rPr>
        <w:t> </w:t>
      </w:r>
      <w:r>
        <w:rPr/>
        <w:t>governance of their companies. The shareholders’ function in corporate governance is to</w:t>
      </w:r>
      <w:r>
        <w:rPr>
          <w:spacing w:val="1"/>
        </w:rPr>
        <w:t> </w:t>
      </w:r>
      <w:r>
        <w:rPr/>
        <w:t>appoint the directors and the auditors to give them the sense of satisfaction that an appropriate</w:t>
      </w:r>
      <w:r>
        <w:rPr>
          <w:spacing w:val="-57"/>
        </w:rPr>
        <w:t> </w:t>
      </w:r>
      <w:r>
        <w:rPr/>
        <w:t>governance structure is in place. The responsibilities of the board include supervising the</w:t>
      </w:r>
      <w:r>
        <w:rPr>
          <w:spacing w:val="1"/>
        </w:rPr>
        <w:t> </w:t>
      </w:r>
      <w:r>
        <w:rPr/>
        <w:t>management and the smooth running of the business, setting the strategic objectives of the</w:t>
      </w:r>
      <w:r>
        <w:rPr>
          <w:spacing w:val="1"/>
        </w:rPr>
        <w:t> </w:t>
      </w:r>
      <w:r>
        <w:rPr/>
        <w:t>company, providing the leadership to put them into effect, and reporting to shareholders on</w:t>
      </w:r>
      <w:r>
        <w:rPr>
          <w:spacing w:val="1"/>
        </w:rPr>
        <w:t> </w:t>
      </w:r>
      <w:r>
        <w:rPr/>
        <w:t>their</w:t>
      </w:r>
      <w:r>
        <w:rPr>
          <w:spacing w:val="-12"/>
        </w:rPr>
        <w:t> </w:t>
      </w:r>
      <w:r>
        <w:rPr/>
        <w:t>improvement</w:t>
      </w:r>
      <w:r>
        <w:rPr>
          <w:spacing w:val="-10"/>
        </w:rPr>
        <w:t> </w:t>
      </w:r>
      <w:r>
        <w:rPr/>
        <w:t>over</w:t>
      </w:r>
      <w:r>
        <w:rPr>
          <w:spacing w:val="-11"/>
        </w:rPr>
        <w:t> </w:t>
      </w:r>
      <w:r>
        <w:rPr/>
        <w:t>time.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board’s</w:t>
      </w:r>
      <w:r>
        <w:rPr>
          <w:spacing w:val="-10"/>
        </w:rPr>
        <w:t> </w:t>
      </w:r>
      <w:r>
        <w:rPr/>
        <w:t>actions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subject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stipulated</w:t>
      </w:r>
      <w:r>
        <w:rPr>
          <w:spacing w:val="-10"/>
        </w:rPr>
        <w:t> </w:t>
      </w:r>
      <w:r>
        <w:rPr/>
        <w:t>laws,</w:t>
      </w:r>
      <w:r>
        <w:rPr>
          <w:spacing w:val="-8"/>
        </w:rPr>
        <w:t> </w:t>
      </w:r>
      <w:r>
        <w:rPr/>
        <w:t>regulations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shareholders in general meetings</w:t>
      </w:r>
      <w:r>
        <w:rPr>
          <w:spacing w:val="-1"/>
        </w:rPr>
        <w:t> </w:t>
      </w:r>
      <w:r>
        <w:rPr/>
        <w:t>(Aguilera,</w:t>
      </w:r>
      <w:r>
        <w:rPr>
          <w:spacing w:val="2"/>
        </w:rPr>
        <w:t> </w:t>
      </w:r>
      <w:r>
        <w:rPr/>
        <w:t>et</w:t>
      </w:r>
      <w:r>
        <w:rPr>
          <w:spacing w:val="2"/>
        </w:rPr>
        <w:t> </w:t>
      </w:r>
      <w:r>
        <w:rPr/>
        <w:t>al 2012).</w:t>
      </w:r>
    </w:p>
    <w:p>
      <w:pPr>
        <w:pStyle w:val="BodyText"/>
        <w:spacing w:line="480" w:lineRule="auto" w:before="201"/>
        <w:ind w:right="829"/>
      </w:pPr>
      <w:r>
        <w:rPr/>
        <w:t>The Organization of Economic Cooperation and Development (OECD, 1999) also defines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firm’s governance as the structure through which companies could be directed as well as</w:t>
      </w:r>
      <w:r>
        <w:rPr>
          <w:spacing w:val="1"/>
        </w:rPr>
        <w:t> </w:t>
      </w:r>
      <w:r>
        <w:rPr/>
        <w:t>controlled.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identifies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responsibilities amidst dissimilar members connected to a company, for instance, the board,</w:t>
      </w:r>
      <w:r>
        <w:rPr>
          <w:spacing w:val="1"/>
        </w:rPr>
        <w:t> </w:t>
      </w:r>
      <w:r>
        <w:rPr/>
        <w:t>managers, shareholders as well as various stakeholders in addition to making known the</w:t>
      </w:r>
      <w:r>
        <w:rPr>
          <w:spacing w:val="1"/>
        </w:rPr>
        <w:t> </w:t>
      </w:r>
      <w:r>
        <w:rPr/>
        <w:t>regulations with measures put in place to arrive at resolutions related to the dealings of</w:t>
      </w:r>
      <w:r>
        <w:rPr>
          <w:spacing w:val="1"/>
        </w:rPr>
        <w:t> </w:t>
      </w:r>
      <w:r>
        <w:rPr/>
        <w:t>corporations. In so doing, the system by which the corporation’s intent is put in place is also</w:t>
      </w:r>
      <w:r>
        <w:rPr>
          <w:spacing w:val="1"/>
        </w:rPr>
        <w:t> </w:t>
      </w:r>
      <w:r>
        <w:rPr/>
        <w:t>provided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corporate</w:t>
      </w:r>
      <w:r>
        <w:rPr>
          <w:spacing w:val="-10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structure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form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attaining</w:t>
      </w:r>
      <w:r>
        <w:rPr>
          <w:spacing w:val="-8"/>
        </w:rPr>
        <w:t> </w:t>
      </w:r>
      <w:r>
        <w:rPr/>
        <w:t>this</w:t>
      </w:r>
      <w:r>
        <w:rPr>
          <w:spacing w:val="-11"/>
        </w:rPr>
        <w:t> </w:t>
      </w:r>
      <w:r>
        <w:rPr/>
        <w:t>intent,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observation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200"/>
        <w:ind w:right="831"/>
      </w:pPr>
      <w:r>
        <w:rPr/>
        <w:t>According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Hopt</w:t>
      </w:r>
      <w:r>
        <w:rPr>
          <w:spacing w:val="-9"/>
        </w:rPr>
        <w:t> </w:t>
      </w:r>
      <w:r>
        <w:rPr/>
        <w:t>(2011),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evolution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concept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corporate</w:t>
      </w:r>
      <w:r>
        <w:rPr>
          <w:spacing w:val="-10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has</w:t>
      </w:r>
      <w:r>
        <w:rPr>
          <w:spacing w:val="-8"/>
        </w:rPr>
        <w:t> </w:t>
      </w:r>
      <w:r>
        <w:rPr/>
        <w:t>had</w:t>
      </w:r>
      <w:r>
        <w:rPr>
          <w:spacing w:val="-9"/>
        </w:rPr>
        <w:t> </w:t>
      </w:r>
      <w:r>
        <w:rPr/>
        <w:t>trends,</w:t>
      </w:r>
      <w:r>
        <w:rPr>
          <w:spacing w:val="-58"/>
        </w:rPr>
        <w:t> </w:t>
      </w:r>
      <w:r>
        <w:rPr>
          <w:spacing w:val="-1"/>
        </w:rPr>
        <w:t>theories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models</w:t>
      </w:r>
      <w:r>
        <w:rPr>
          <w:spacing w:val="-14"/>
        </w:rPr>
        <w:t> </w:t>
      </w:r>
      <w:r>
        <w:rPr/>
        <w:t>which</w:t>
      </w:r>
      <w:r>
        <w:rPr>
          <w:spacing w:val="-15"/>
        </w:rPr>
        <w:t> </w:t>
      </w:r>
      <w:r>
        <w:rPr/>
        <w:t>have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picked</w:t>
      </w:r>
      <w:r>
        <w:rPr>
          <w:spacing w:val="-14"/>
        </w:rPr>
        <w:t> </w:t>
      </w:r>
      <w:r>
        <w:rPr/>
        <w:t>up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commentators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researchers.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direction</w:t>
      </w:r>
      <w:r>
        <w:rPr>
          <w:spacing w:val="-57"/>
        </w:rPr>
        <w:t> </w:t>
      </w:r>
      <w:r>
        <w:rPr/>
        <w:t>and</w:t>
      </w:r>
      <w:r>
        <w:rPr>
          <w:spacing w:val="-10"/>
        </w:rPr>
        <w:t> </w:t>
      </w:r>
      <w:r>
        <w:rPr/>
        <w:t>control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two</w:t>
      </w:r>
      <w:r>
        <w:rPr>
          <w:spacing w:val="-9"/>
        </w:rPr>
        <w:t> </w:t>
      </w:r>
      <w:r>
        <w:rPr/>
        <w:t>cornerstones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system</w:t>
      </w:r>
      <w:r>
        <w:rPr>
          <w:spacing w:val="-5"/>
        </w:rPr>
        <w:t> </w:t>
      </w:r>
      <w:r>
        <w:rPr/>
        <w:t>which</w:t>
      </w:r>
      <w:r>
        <w:rPr>
          <w:spacing w:val="-9"/>
        </w:rPr>
        <w:t> </w:t>
      </w:r>
      <w:r>
        <w:rPr/>
        <w:t>characterize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system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either</w:t>
      </w:r>
      <w:r>
        <w:rPr>
          <w:spacing w:val="-1"/>
        </w:rPr>
        <w:t> </w:t>
      </w:r>
      <w:r>
        <w:rPr/>
        <w:t>shareholder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stakeholder</w:t>
      </w:r>
      <w:r>
        <w:rPr>
          <w:spacing w:val="-4"/>
        </w:rPr>
        <w:t> </w:t>
      </w:r>
      <w:r>
        <w:rPr/>
        <w:t>oriented.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other</w:t>
      </w:r>
      <w:r>
        <w:rPr>
          <w:spacing w:val="-1"/>
        </w:rPr>
        <w:t> </w:t>
      </w:r>
      <w:r>
        <w:rPr/>
        <w:t>words,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encompasses</w:t>
      </w:r>
      <w:r>
        <w:rPr>
          <w:spacing w:val="-1"/>
        </w:rPr>
        <w:t> </w:t>
      </w:r>
      <w:r>
        <w:rPr/>
        <w:t>several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0371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mechanisms that serve to protect shareholders’ interests and reduce agency conflicts arising</w:t>
      </w:r>
      <w:r>
        <w:rPr>
          <w:spacing w:val="1"/>
        </w:rPr>
        <w:t> </w:t>
      </w:r>
      <w:r>
        <w:rPr/>
        <w:t>from the separation of ownership and control such as board independence, proper audits,</w:t>
      </w:r>
      <w:r>
        <w:rPr>
          <w:spacing w:val="1"/>
        </w:rPr>
        <w:t> </w:t>
      </w:r>
      <w:r>
        <w:rPr/>
        <w:t>nomination and remuneration committees; as well as capital structure and dividend payout</w:t>
      </w:r>
      <w:r>
        <w:rPr>
          <w:spacing w:val="1"/>
        </w:rPr>
        <w:t> </w:t>
      </w:r>
      <w:r>
        <w:rPr/>
        <w:t>policies</w:t>
      </w:r>
      <w:r>
        <w:rPr>
          <w:spacing w:val="-12"/>
        </w:rPr>
        <w:t> </w:t>
      </w:r>
      <w:r>
        <w:rPr/>
        <w:t>(Fatimoh,</w:t>
      </w:r>
      <w:r>
        <w:rPr>
          <w:spacing w:val="-11"/>
        </w:rPr>
        <w:t> </w:t>
      </w:r>
      <w:r>
        <w:rPr/>
        <w:t>2012).</w:t>
      </w:r>
      <w:r>
        <w:rPr>
          <w:spacing w:val="-10"/>
        </w:rPr>
        <w:t> </w:t>
      </w:r>
      <w:r>
        <w:rPr/>
        <w:t>It</w:t>
      </w:r>
      <w:r>
        <w:rPr>
          <w:spacing w:val="-8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seen</w:t>
      </w:r>
      <w:r>
        <w:rPr>
          <w:spacing w:val="-9"/>
        </w:rPr>
        <w:t> </w:t>
      </w:r>
      <w:r>
        <w:rPr/>
        <w:t>also</w:t>
      </w:r>
      <w:r>
        <w:rPr>
          <w:spacing w:val="-10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sum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processes,</w:t>
      </w:r>
      <w:r>
        <w:rPr>
          <w:spacing w:val="-11"/>
        </w:rPr>
        <w:t> </w:t>
      </w:r>
      <w:r>
        <w:rPr/>
        <w:t>structures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information</w:t>
      </w:r>
      <w:r>
        <w:rPr>
          <w:spacing w:val="-58"/>
        </w:rPr>
        <w:t> </w:t>
      </w:r>
      <w:r>
        <w:rPr>
          <w:spacing w:val="-1"/>
        </w:rPr>
        <w:t>used</w:t>
      </w:r>
      <w:r>
        <w:rPr>
          <w:spacing w:val="-15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directing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overseeing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affairs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an</w:t>
      </w:r>
      <w:r>
        <w:rPr>
          <w:spacing w:val="-15"/>
        </w:rPr>
        <w:t> </w:t>
      </w:r>
      <w:r>
        <w:rPr/>
        <w:t>organization</w:t>
      </w:r>
      <w:r>
        <w:rPr>
          <w:spacing w:val="-15"/>
        </w:rPr>
        <w:t> </w:t>
      </w:r>
      <w:r>
        <w:rPr/>
        <w:t>(Sanda,</w:t>
      </w:r>
      <w:r>
        <w:rPr>
          <w:spacing w:val="-14"/>
        </w:rPr>
        <w:t> </w:t>
      </w:r>
      <w:r>
        <w:rPr/>
        <w:t>Mikailu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Garba,</w:t>
      </w:r>
      <w:r>
        <w:rPr>
          <w:spacing w:val="-15"/>
        </w:rPr>
        <w:t> </w:t>
      </w:r>
      <w:r>
        <w:rPr/>
        <w:t>2005).</w:t>
      </w:r>
    </w:p>
    <w:p>
      <w:pPr>
        <w:pStyle w:val="BodyText"/>
        <w:spacing w:line="480" w:lineRule="auto" w:before="202"/>
        <w:ind w:right="827"/>
      </w:pPr>
      <w:r>
        <w:rPr/>
        <w:t>In</w:t>
      </w:r>
      <w:r>
        <w:rPr>
          <w:spacing w:val="-7"/>
        </w:rPr>
        <w:t> </w:t>
      </w:r>
      <w:r>
        <w:rPr/>
        <w:t>Nigeria,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legal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regulatory</w:t>
      </w:r>
      <w:r>
        <w:rPr>
          <w:spacing w:val="-6"/>
        </w:rPr>
        <w:t> </w:t>
      </w:r>
      <w:r>
        <w:rPr/>
        <w:t>framework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observance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was</w:t>
      </w:r>
      <w:r>
        <w:rPr>
          <w:spacing w:val="-58"/>
        </w:rPr>
        <w:t> </w:t>
      </w:r>
      <w:r>
        <w:rPr/>
        <w:t>secured</w:t>
      </w:r>
      <w:r>
        <w:rPr>
          <w:spacing w:val="-12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combination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voluntary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mandatory</w:t>
      </w:r>
      <w:r>
        <w:rPr>
          <w:spacing w:val="-11"/>
        </w:rPr>
        <w:t> </w:t>
      </w:r>
      <w:r>
        <w:rPr/>
        <w:t>mechanisms</w:t>
      </w:r>
      <w:r>
        <w:rPr>
          <w:spacing w:val="-11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Companies</w:t>
      </w:r>
      <w:r>
        <w:rPr>
          <w:spacing w:val="-58"/>
        </w:rPr>
        <w:t> </w:t>
      </w:r>
      <w:r>
        <w:rPr/>
        <w:t>and Allied Matters Act 2004 as amended, Investment and Security Act 2007, Securities and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2011,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codes.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Atedo</w:t>
      </w:r>
      <w:r>
        <w:rPr>
          <w:spacing w:val="1"/>
        </w:rPr>
        <w:t> </w:t>
      </w:r>
      <w:r>
        <w:rPr/>
        <w:t>Peterside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commissioned by the Securities &amp; Exchange Commission in Nigeria.</w:t>
      </w:r>
      <w:r>
        <w:rPr>
          <w:spacing w:val="1"/>
        </w:rPr>
        <w:t> </w:t>
      </w:r>
      <w:r>
        <w:rPr/>
        <w:t>It resulted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publication of the 2003 SEC Corporate Governance Code and presently, a revised SEC Code</w:t>
      </w:r>
      <w:r>
        <w:rPr>
          <w:spacing w:val="1"/>
        </w:rPr>
        <w:t> </w:t>
      </w:r>
      <w:r>
        <w:rPr/>
        <w:t>of 2011.</w:t>
      </w:r>
      <w:r>
        <w:rPr>
          <w:spacing w:val="1"/>
        </w:rPr>
        <w:t> </w:t>
      </w:r>
      <w:r>
        <w:rPr/>
        <w:t>Industry specific Codes were published by the regulators for companies under their</w:t>
      </w:r>
      <w:r>
        <w:rPr>
          <w:spacing w:val="1"/>
        </w:rPr>
        <w:t> </w:t>
      </w:r>
      <w:r>
        <w:rPr/>
        <w:t>domain. They included CBN Codes 2006 for banks and other financial institutions, PENCOM</w:t>
      </w:r>
      <w:r>
        <w:rPr>
          <w:spacing w:val="-57"/>
        </w:rPr>
        <w:t> </w:t>
      </w:r>
      <w:r>
        <w:rPr/>
        <w:t>Codes</w:t>
      </w:r>
      <w:r>
        <w:rPr>
          <w:spacing w:val="-1"/>
        </w:rPr>
        <w:t> </w:t>
      </w:r>
      <w:r>
        <w:rPr/>
        <w:t>2008 for</w:t>
      </w:r>
      <w:r>
        <w:rPr>
          <w:spacing w:val="-3"/>
        </w:rPr>
        <w:t> </w:t>
      </w:r>
      <w:r>
        <w:rPr/>
        <w:t>pension fund</w:t>
      </w:r>
      <w:r>
        <w:rPr>
          <w:spacing w:val="-1"/>
        </w:rPr>
        <w:t> </w:t>
      </w:r>
      <w:r>
        <w:rPr/>
        <w:t>administrators and</w:t>
      </w:r>
      <w:r>
        <w:rPr>
          <w:spacing w:val="-1"/>
        </w:rPr>
        <w:t> </w:t>
      </w:r>
      <w:r>
        <w:rPr/>
        <w:t>NAICOM Codes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insurance</w:t>
      </w:r>
      <w:r>
        <w:rPr>
          <w:spacing w:val="-1"/>
        </w:rPr>
        <w:t> </w:t>
      </w:r>
      <w:r>
        <w:rPr/>
        <w:t>companies.</w:t>
      </w:r>
    </w:p>
    <w:p>
      <w:pPr>
        <w:pStyle w:val="BodyText"/>
        <w:spacing w:line="480" w:lineRule="auto" w:before="201"/>
        <w:ind w:right="832"/>
      </w:pPr>
      <w:r>
        <w:rPr/>
        <w:t>Corporate governance is the policy and system an organization uses to control and secure the</w:t>
      </w:r>
      <w:r>
        <w:rPr>
          <w:spacing w:val="1"/>
        </w:rPr>
        <w:t> </w:t>
      </w:r>
      <w:r>
        <w:rPr/>
        <w:t>interests of internal and external stakeholders (Sayed, 2013). It often highlights the framework</w:t>
      </w:r>
      <w:r>
        <w:rPr>
          <w:spacing w:val="-57"/>
        </w:rPr>
        <w:t> </w:t>
      </w:r>
      <w:r>
        <w:rPr/>
        <w:t>of policies and rules for each individual in the industry.</w:t>
      </w:r>
      <w:r>
        <w:rPr>
          <w:spacing w:val="60"/>
        </w:rPr>
        <w:t> </w:t>
      </w:r>
      <w:r>
        <w:rPr/>
        <w:t>Consequently, corporate governance</w:t>
      </w:r>
      <w:r>
        <w:rPr>
          <w:spacing w:val="1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system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plan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which an</w:t>
      </w:r>
      <w:r>
        <w:rPr>
          <w:spacing w:val="-2"/>
        </w:rPr>
        <w:t> </w:t>
      </w:r>
      <w:r>
        <w:rPr/>
        <w:t>organization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properly</w:t>
      </w:r>
      <w:r>
        <w:rPr>
          <w:spacing w:val="-2"/>
        </w:rPr>
        <w:t> </w:t>
      </w:r>
      <w:r>
        <w:rPr/>
        <w:t>administered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2"/>
        </w:rPr>
        <w:t> </w:t>
      </w:r>
      <w:r>
        <w:rPr/>
        <w:t>appropriate</w:t>
      </w:r>
      <w:r>
        <w:rPr>
          <w:spacing w:val="-58"/>
        </w:rPr>
        <w:t> </w:t>
      </w:r>
      <w:r>
        <w:rPr/>
        <w:t>checks and balances 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 ways and manner organisations</w:t>
      </w:r>
      <w:r>
        <w:rPr>
          <w:spacing w:val="1"/>
        </w:rPr>
        <w:t> </w:t>
      </w:r>
      <w:r>
        <w:rPr/>
        <w:t>are effectively managed</w:t>
      </w:r>
      <w:r>
        <w:rPr>
          <w:spacing w:val="1"/>
        </w:rPr>
        <w:t> </w:t>
      </w:r>
      <w:r>
        <w:rPr/>
        <w:t>(Mmadus</w:t>
      </w:r>
      <w:r>
        <w:rPr>
          <w:spacing w:val="-1"/>
        </w:rPr>
        <w:t> </w:t>
      </w:r>
      <w:r>
        <w:rPr/>
        <w:t>&amp; Akomolafe,</w:t>
      </w:r>
      <w:r>
        <w:rPr>
          <w:spacing w:val="2"/>
        </w:rPr>
        <w:t> </w:t>
      </w:r>
      <w:r>
        <w:rPr/>
        <w:t>2014).</w:t>
      </w:r>
    </w:p>
    <w:p>
      <w:pPr>
        <w:pStyle w:val="BodyText"/>
        <w:spacing w:line="480" w:lineRule="auto" w:before="1"/>
        <w:ind w:right="829"/>
      </w:pPr>
      <w:r>
        <w:rPr/>
        <w:t>Anandarajah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opined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agreed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governance.</w:t>
      </w:r>
      <w:r>
        <w:rPr>
          <w:spacing w:val="43"/>
        </w:rPr>
        <w:t> </w:t>
      </w:r>
      <w:r>
        <w:rPr/>
        <w:t>Many</w:t>
      </w:r>
      <w:r>
        <w:rPr>
          <w:spacing w:val="-8"/>
        </w:rPr>
        <w:t> </w:t>
      </w:r>
      <w:r>
        <w:rPr/>
        <w:t>definitions</w:t>
      </w:r>
      <w:r>
        <w:rPr>
          <w:spacing w:val="-8"/>
        </w:rPr>
        <w:t> </w:t>
      </w:r>
      <w:r>
        <w:rPr/>
        <w:t>evolved</w:t>
      </w:r>
      <w:r>
        <w:rPr>
          <w:spacing w:val="-9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multi-dimensional</w:t>
      </w:r>
      <w:r>
        <w:rPr>
          <w:spacing w:val="-8"/>
        </w:rPr>
        <w:t> </w:t>
      </w:r>
      <w:r>
        <w:rPr/>
        <w:t>nature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concept.</w:t>
      </w:r>
      <w:r>
        <w:rPr>
          <w:spacing w:val="-6"/>
        </w:rPr>
        <w:t> </w:t>
      </w:r>
      <w:r>
        <w:rPr/>
        <w:t>We,</w:t>
      </w:r>
      <w:r>
        <w:rPr>
          <w:spacing w:val="-58"/>
        </w:rPr>
        <w:t> </w:t>
      </w:r>
      <w:r>
        <w:rPr/>
        <w:t>therefore,</w:t>
      </w:r>
      <w:r>
        <w:rPr>
          <w:spacing w:val="-14"/>
        </w:rPr>
        <w:t> </w:t>
      </w:r>
      <w:r>
        <w:rPr/>
        <w:t>highlighted</w:t>
      </w:r>
      <w:r>
        <w:rPr>
          <w:spacing w:val="-13"/>
        </w:rPr>
        <w:t> </w:t>
      </w:r>
      <w:r>
        <w:rPr/>
        <w:t>some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those</w:t>
      </w:r>
      <w:r>
        <w:rPr>
          <w:spacing w:val="-14"/>
        </w:rPr>
        <w:t> </w:t>
      </w:r>
      <w:r>
        <w:rPr/>
        <w:t>definitions</w:t>
      </w:r>
      <w:r>
        <w:rPr>
          <w:spacing w:val="-13"/>
        </w:rPr>
        <w:t> </w:t>
      </w:r>
      <w:r>
        <w:rPr/>
        <w:t>below.</w:t>
      </w:r>
      <w:r>
        <w:rPr>
          <w:spacing w:val="33"/>
        </w:rPr>
        <w:t> </w:t>
      </w:r>
      <w:r>
        <w:rPr/>
        <w:t>Anandarajah</w:t>
      </w:r>
      <w:r>
        <w:rPr>
          <w:spacing w:val="-14"/>
        </w:rPr>
        <w:t> </w:t>
      </w:r>
      <w:r>
        <w:rPr/>
        <w:t>(2004)</w:t>
      </w:r>
      <w:r>
        <w:rPr>
          <w:spacing w:val="-12"/>
        </w:rPr>
        <w:t> </w:t>
      </w:r>
      <w:r>
        <w:rPr/>
        <w:t>viewed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concept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0422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 corporate governance as a means of holding the balance between financial and social</w:t>
      </w:r>
      <w:r>
        <w:rPr>
          <w:spacing w:val="1"/>
        </w:rPr>
        <w:t> </w:t>
      </w:r>
      <w:r>
        <w:rPr/>
        <w:t>objectives as well as between individual and communal objectives. Corporate governance</w:t>
      </w:r>
      <w:r>
        <w:rPr>
          <w:spacing w:val="1"/>
        </w:rPr>
        <w:t> </w:t>
      </w:r>
      <w:r>
        <w:rPr/>
        <w:t>structure, on the one hand, supports the effective utilization of an organization’s resources and</w:t>
      </w:r>
      <w:r>
        <w:rPr>
          <w:spacing w:val="-57"/>
        </w:rPr>
        <w:t> </w:t>
      </w:r>
      <w:r>
        <w:rPr/>
        <w:t>similarly, on the other hand, demands accountability for the stewardship of those resources.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purpose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adjust,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much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possible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interests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people,</w:t>
      </w:r>
      <w:r>
        <w:rPr>
          <w:spacing w:val="-7"/>
        </w:rPr>
        <w:t> </w:t>
      </w:r>
      <w:r>
        <w:rPr/>
        <w:t>organizations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society. Corporate governance is defined as a framework for coordinating and controlling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(Cadbury,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segments:</w:t>
      </w:r>
      <w:r>
        <w:rPr>
          <w:spacing w:val="1"/>
        </w:rPr>
        <w:t> </w:t>
      </w:r>
      <w:r>
        <w:rPr/>
        <w:t>corporate,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organizations; and governance, which refers to the act, certainty or way of administering</w:t>
      </w:r>
      <w:r>
        <w:rPr>
          <w:spacing w:val="1"/>
        </w:rPr>
        <w:t> </w:t>
      </w:r>
      <w:r>
        <w:rPr/>
        <w:t>(Lanno,</w:t>
      </w:r>
      <w:r>
        <w:rPr>
          <w:spacing w:val="-1"/>
        </w:rPr>
        <w:t> </w:t>
      </w:r>
      <w:r>
        <w:rPr/>
        <w:t>1999).</w:t>
      </w:r>
    </w:p>
    <w:p>
      <w:pPr>
        <w:pStyle w:val="BodyText"/>
        <w:spacing w:line="480" w:lineRule="auto" w:before="2"/>
        <w:ind w:right="829"/>
      </w:pPr>
      <w:r>
        <w:rPr/>
        <w:t>A</w:t>
      </w:r>
      <w:r>
        <w:rPr>
          <w:spacing w:val="-10"/>
        </w:rPr>
        <w:t> </w:t>
      </w:r>
      <w:r>
        <w:rPr/>
        <w:t>common</w:t>
      </w:r>
      <w:r>
        <w:rPr>
          <w:spacing w:val="-9"/>
        </w:rPr>
        <w:t> </w:t>
      </w:r>
      <w:r>
        <w:rPr/>
        <w:t>assertion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most</w:t>
      </w:r>
      <w:r>
        <w:rPr>
          <w:spacing w:val="-8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definitions</w:t>
      </w:r>
      <w:r>
        <w:rPr>
          <w:spacing w:val="-7"/>
        </w:rPr>
        <w:t> </w:t>
      </w:r>
      <w:r>
        <w:rPr/>
        <w:t>implies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mechanism</w:t>
      </w:r>
      <w:r>
        <w:rPr>
          <w:spacing w:val="-8"/>
        </w:rPr>
        <w:t> </w:t>
      </w:r>
      <w:r>
        <w:rPr/>
        <w:t>targeted</w:t>
      </w:r>
      <w:r>
        <w:rPr>
          <w:spacing w:val="-9"/>
        </w:rPr>
        <w:t> </w:t>
      </w:r>
      <w:r>
        <w:rPr/>
        <w:t>to</w:t>
      </w:r>
      <w:r>
        <w:rPr>
          <w:spacing w:val="-58"/>
        </w:rPr>
        <w:t> </w:t>
      </w:r>
      <w:r>
        <w:rPr/>
        <w:t>minimize problems generated by the separation of ownership and control (Wells, 2010). This</w:t>
      </w:r>
      <w:r>
        <w:rPr>
          <w:spacing w:val="1"/>
        </w:rPr>
        <w:t> </w:t>
      </w:r>
      <w:r>
        <w:rPr/>
        <w:t>means that corporate governance has the role to examine which legal, economic and social</w:t>
      </w:r>
      <w:r>
        <w:rPr>
          <w:spacing w:val="1"/>
        </w:rPr>
        <w:t> </w:t>
      </w:r>
      <w:r>
        <w:rPr/>
        <w:t>mechanisms are the best in compelling corporations’ managers to look after the interest of</w:t>
      </w:r>
      <w:r>
        <w:rPr>
          <w:spacing w:val="1"/>
        </w:rPr>
        <w:t> </w:t>
      </w:r>
      <w:r>
        <w:rPr/>
        <w:t>shareholders and not themselves while running the corporations (Wells, 2010). Macey (2008)</w:t>
      </w:r>
      <w:r>
        <w:rPr>
          <w:spacing w:val="1"/>
        </w:rPr>
        <w:t> </w:t>
      </w:r>
      <w:r>
        <w:rPr/>
        <w:t>also defined corporate governance as being a variety of lawful and financial strategies that</w:t>
      </w:r>
      <w:r>
        <w:rPr>
          <w:spacing w:val="1"/>
        </w:rPr>
        <w:t> </w:t>
      </w:r>
      <w:r>
        <w:rPr/>
        <w:t>influenced the people involved in the management of organizations with publicly owned and</w:t>
      </w:r>
      <w:r>
        <w:rPr>
          <w:spacing w:val="1"/>
        </w:rPr>
        <w:t> </w:t>
      </w:r>
      <w:r>
        <w:rPr/>
        <w:t>traded</w:t>
      </w:r>
      <w:r>
        <w:rPr>
          <w:spacing w:val="-1"/>
        </w:rPr>
        <w:t> </w:t>
      </w:r>
      <w:r>
        <w:rPr/>
        <w:t>stocks to keep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much as</w:t>
      </w:r>
      <w:r>
        <w:rPr>
          <w:spacing w:val="-1"/>
        </w:rPr>
        <w:t> </w:t>
      </w:r>
      <w:r>
        <w:rPr/>
        <w:t>possible</w:t>
      </w:r>
      <w:r>
        <w:rPr>
          <w:spacing w:val="-1"/>
        </w:rPr>
        <w:t> </w:t>
      </w:r>
      <w:r>
        <w:rPr/>
        <w:t>the promises</w:t>
      </w:r>
      <w:r>
        <w:rPr>
          <w:spacing w:val="-1"/>
        </w:rPr>
        <w:t> </w:t>
      </w:r>
      <w:r>
        <w:rPr/>
        <w:t>they made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investors.</w:t>
      </w:r>
    </w:p>
    <w:p>
      <w:pPr>
        <w:pStyle w:val="BodyText"/>
        <w:spacing w:line="480" w:lineRule="auto" w:before="200"/>
        <w:ind w:right="831"/>
      </w:pPr>
      <w:r>
        <w:rPr/>
        <w:t>The</w:t>
      </w:r>
      <w:r>
        <w:rPr>
          <w:spacing w:val="-10"/>
        </w:rPr>
        <w:t> </w:t>
      </w:r>
      <w:r>
        <w:rPr/>
        <w:t>various</w:t>
      </w:r>
      <w:r>
        <w:rPr>
          <w:spacing w:val="-8"/>
        </w:rPr>
        <w:t> </w:t>
      </w:r>
      <w:r>
        <w:rPr/>
        <w:t>definitions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approaches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corporate</w:t>
      </w:r>
      <w:r>
        <w:rPr>
          <w:spacing w:val="-8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analysed</w:t>
      </w:r>
      <w:r>
        <w:rPr>
          <w:spacing w:val="-4"/>
        </w:rPr>
        <w:t> </w:t>
      </w:r>
      <w:r>
        <w:rPr/>
        <w:t>above</w:t>
      </w:r>
      <w:r>
        <w:rPr>
          <w:spacing w:val="-6"/>
        </w:rPr>
        <w:t> </w:t>
      </w:r>
      <w:r>
        <w:rPr/>
        <w:t>suggest</w:t>
      </w:r>
      <w:r>
        <w:rPr>
          <w:spacing w:val="-8"/>
        </w:rPr>
        <w:t> </w:t>
      </w:r>
      <w:r>
        <w:rPr/>
        <w:t>that</w:t>
      </w:r>
      <w:r>
        <w:rPr>
          <w:spacing w:val="-57"/>
        </w:rPr>
        <w:t> </w:t>
      </w:r>
      <w:r>
        <w:rPr/>
        <w:t>its purpose is to reduce deviance (defined as any actions by a firm’s management that are at</w:t>
      </w:r>
      <w:r>
        <w:rPr>
          <w:spacing w:val="1"/>
        </w:rPr>
        <w:t> </w:t>
      </w:r>
      <w:r>
        <w:rPr/>
        <w:t>variance with the legitimate expectations of investors) (Macey, 2008). Graham, Litan and</w:t>
      </w:r>
      <w:r>
        <w:rPr>
          <w:spacing w:val="1"/>
        </w:rPr>
        <w:t> </w:t>
      </w:r>
      <w:r>
        <w:rPr/>
        <w:t>Sukhtankar (2002) explained that the consequence of weak corporate governance was borne</w:t>
      </w:r>
      <w:r>
        <w:rPr>
          <w:spacing w:val="1"/>
        </w:rPr>
        <w:t> </w:t>
      </w:r>
      <w:r>
        <w:rPr/>
        <w:t>more vigorously by minority shareholders, particularly in emerging markets like most African</w:t>
      </w:r>
      <w:r>
        <w:rPr>
          <w:spacing w:val="-57"/>
        </w:rPr>
        <w:t> </w:t>
      </w:r>
      <w:r>
        <w:rPr/>
        <w:t>ones. Consequently, an organization with a proper corporate governance quality brings about</w:t>
      </w:r>
      <w:r>
        <w:rPr>
          <w:spacing w:val="1"/>
        </w:rPr>
        <w:t> </w:t>
      </w:r>
      <w:r>
        <w:rPr/>
        <w:t>fewer</w:t>
      </w:r>
      <w:r>
        <w:rPr>
          <w:spacing w:val="-2"/>
        </w:rPr>
        <w:t> </w:t>
      </w:r>
      <w:r>
        <w:rPr/>
        <w:t>agency challenges.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0473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Corporate governance can likewise be defined as a procedure and structure utilized for the</w:t>
      </w:r>
      <w:r>
        <w:rPr>
          <w:spacing w:val="1"/>
        </w:rPr>
        <w:t> </w:t>
      </w:r>
      <w:r>
        <w:rPr/>
        <w:t>direction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an</w:t>
      </w:r>
      <w:r>
        <w:rPr>
          <w:spacing w:val="-6"/>
        </w:rPr>
        <w:t> </w:t>
      </w:r>
      <w:r>
        <w:rPr/>
        <w:t>organization</w:t>
      </w:r>
      <w:r>
        <w:rPr>
          <w:spacing w:val="-8"/>
        </w:rPr>
        <w:t> </w:t>
      </w:r>
      <w:r>
        <w:rPr/>
        <w:t>so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enhance</w:t>
      </w:r>
      <w:r>
        <w:rPr>
          <w:spacing w:val="-10"/>
        </w:rPr>
        <w:t> </w:t>
      </w:r>
      <w:r>
        <w:rPr/>
        <w:t>business</w:t>
      </w:r>
      <w:r>
        <w:rPr>
          <w:spacing w:val="-7"/>
        </w:rPr>
        <w:t> </w:t>
      </w:r>
      <w:r>
        <w:rPr/>
        <w:t>success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accountability.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ultimate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realize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maximization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shareholders' wealth while taking into account the interest of other stakeholders (La Porta,</w:t>
      </w:r>
      <w:r>
        <w:rPr>
          <w:spacing w:val="1"/>
        </w:rPr>
        <w:t> </w:t>
      </w:r>
      <w:r>
        <w:rPr/>
        <w:t>Lopez-De Salinas, Shleifer&amp; Vishny, 2000). Similarly, Uwuigbe, Olusanmi and Iyoha (2015)</w:t>
      </w:r>
      <w:r>
        <w:rPr>
          <w:spacing w:val="1"/>
        </w:rPr>
        <w:t> </w:t>
      </w:r>
      <w:r>
        <w:rPr/>
        <w:t>saw corporate governance as a framework or a game plan that involved extensive practices</w:t>
      </w:r>
      <w:r>
        <w:rPr>
          <w:spacing w:val="1"/>
        </w:rPr>
        <w:t> </w:t>
      </w:r>
      <w:r>
        <w:rPr/>
        <w:t>(accounting standards, rules concerning accounting disclosure, executive remuneration, 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boards)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corporation’s owners. The idea for the concept is majorly to serve as a means of checks and</w:t>
      </w:r>
      <w:r>
        <w:rPr>
          <w:spacing w:val="1"/>
        </w:rPr>
        <w:t> </w:t>
      </w:r>
      <w:r>
        <w:rPr/>
        <w:t>balances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shareholders and</w:t>
      </w:r>
      <w:r>
        <w:rPr>
          <w:spacing w:val="-1"/>
        </w:rPr>
        <w:t> </w:t>
      </w:r>
      <w:r>
        <w:rPr/>
        <w:t>management thereby</w:t>
      </w:r>
      <w:r>
        <w:rPr>
          <w:spacing w:val="-1"/>
        </w:rPr>
        <w:t> </w:t>
      </w:r>
      <w:r>
        <w:rPr/>
        <w:t>reducing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agency</w:t>
      </w:r>
      <w:r>
        <w:rPr>
          <w:spacing w:val="-1"/>
        </w:rPr>
        <w:t> </w:t>
      </w:r>
      <w:r>
        <w:rPr/>
        <w:t>conflict.</w:t>
      </w:r>
    </w:p>
    <w:p>
      <w:pPr>
        <w:pStyle w:val="BodyText"/>
        <w:spacing w:line="480" w:lineRule="auto" w:before="203"/>
        <w:ind w:right="831"/>
      </w:pPr>
      <w:r>
        <w:rPr/>
        <w:t>A proper corporate governance framework is geared towards reducing the control rights of</w:t>
      </w:r>
      <w:r>
        <w:rPr>
          <w:spacing w:val="1"/>
        </w:rPr>
        <w:t> </w:t>
      </w:r>
      <w:r>
        <w:rPr/>
        <w:t>managers and enhancing their capacity to embark on investment choices that will ultimately</w:t>
      </w:r>
      <w:r>
        <w:rPr>
          <w:spacing w:val="1"/>
        </w:rPr>
        <w:t> </w:t>
      </w:r>
      <w:r>
        <w:rPr/>
        <w:t>maximize the wealth of shareholders (Shleifer &amp; Vishny, 1997). Therefore, firms with a better</w:t>
      </w:r>
      <w:r>
        <w:rPr>
          <w:spacing w:val="-57"/>
        </w:rPr>
        <w:t> </w:t>
      </w:r>
      <w:r>
        <w:rPr/>
        <w:t>corporate governance quality</w:t>
      </w:r>
      <w:r>
        <w:rPr>
          <w:spacing w:val="1"/>
        </w:rPr>
        <w:t> </w:t>
      </w:r>
      <w:r>
        <w:rPr/>
        <w:t>incur</w:t>
      </w:r>
      <w:r>
        <w:rPr>
          <w:spacing w:val="1"/>
        </w:rPr>
        <w:t> </w:t>
      </w:r>
      <w:r>
        <w:rPr/>
        <w:t>fewer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conflicts.</w:t>
      </w:r>
      <w:r>
        <w:rPr>
          <w:spacing w:val="1"/>
        </w:rPr>
        <w:t> </w:t>
      </w:r>
      <w:r>
        <w:rPr/>
        <w:t>Corporate governance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defined as a system by which companies are directed and managed for optimum performance,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it financial or</w:t>
      </w:r>
      <w:r>
        <w:rPr>
          <w:spacing w:val="-1"/>
        </w:rPr>
        <w:t> </w:t>
      </w:r>
      <w:r>
        <w:rPr/>
        <w:t>non-financial.</w:t>
      </w:r>
    </w:p>
    <w:p>
      <w:pPr>
        <w:pStyle w:val="Heading1"/>
        <w:numPr>
          <w:ilvl w:val="3"/>
          <w:numId w:val="19"/>
        </w:numPr>
        <w:tabs>
          <w:tab w:pos="1602" w:val="left" w:leader="none"/>
        </w:tabs>
        <w:spacing w:line="240" w:lineRule="auto" w:before="200" w:after="0"/>
        <w:ind w:left="1602" w:right="0" w:hanging="780"/>
        <w:jc w:val="both"/>
      </w:pPr>
      <w:bookmarkStart w:name="_bookmark24" w:id="37"/>
      <w:bookmarkEnd w:id="37"/>
      <w:r>
        <w:rPr>
          <w:b w:val="0"/>
        </w:rPr>
      </w:r>
      <w:bookmarkStart w:name="_bookmark24" w:id="38"/>
      <w:bookmarkEnd w:id="38"/>
      <w:r>
        <w:rPr/>
        <w:t>Co</w:t>
      </w:r>
      <w:r>
        <w:rPr/>
        <w:t>rporate</w:t>
      </w:r>
      <w:r>
        <w:rPr>
          <w:spacing w:val="-4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models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8"/>
      </w:pPr>
      <w:r>
        <w:rPr/>
        <w:t>Corporate governance practices, regulations, and models differ between countries. Generally,</w:t>
      </w:r>
      <w:r>
        <w:rPr>
          <w:spacing w:val="1"/>
        </w:rPr>
        <w:t> </w:t>
      </w:r>
      <w:r>
        <w:rPr/>
        <w:t>these corporate governance models are divided into two types based on different systems of</w:t>
      </w:r>
      <w:r>
        <w:rPr>
          <w:spacing w:val="1"/>
        </w:rPr>
        <w:t> </w:t>
      </w:r>
      <w:r>
        <w:rPr/>
        <w:t>corporate ownership (Aguilera, Defenders &amp; de Castro, 2012; Aguilera &amp; Jackson, 2010; La</w:t>
      </w:r>
      <w:r>
        <w:rPr>
          <w:spacing w:val="1"/>
        </w:rPr>
        <w:t> </w:t>
      </w:r>
      <w:r>
        <w:rPr/>
        <w:t>Porta, Lopez-de-Silanes, Shleifer, Vishny (2000); Shleifer &amp; Vishny, 1997). The first is the</w:t>
      </w:r>
      <w:r>
        <w:rPr>
          <w:spacing w:val="1"/>
        </w:rPr>
        <w:t> </w:t>
      </w:r>
      <w:r>
        <w:rPr/>
        <w:t>outsider model, and the second, the insider model. According to the researchers listed above,</w:t>
      </w:r>
      <w:r>
        <w:rPr>
          <w:spacing w:val="1"/>
        </w:rPr>
        <w:t> </w:t>
      </w:r>
      <w:r>
        <w:rPr/>
        <w:t>notable examples of the outsider model of corporate governance are the US and the UK ones.</w:t>
      </w:r>
      <w:r>
        <w:rPr>
          <w:spacing w:val="1"/>
        </w:rPr>
        <w:t> </w:t>
      </w:r>
      <w:r>
        <w:rPr/>
        <w:t>Therefore,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outsider</w:t>
      </w:r>
      <w:r>
        <w:rPr>
          <w:spacing w:val="7"/>
        </w:rPr>
        <w:t> </w:t>
      </w:r>
      <w:r>
        <w:rPr/>
        <w:t>model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also</w:t>
      </w:r>
      <w:r>
        <w:rPr>
          <w:spacing w:val="6"/>
        </w:rPr>
        <w:t> </w:t>
      </w:r>
      <w:r>
        <w:rPr/>
        <w:t>known</w:t>
      </w:r>
      <w:r>
        <w:rPr>
          <w:spacing w:val="5"/>
        </w:rPr>
        <w:t> </w:t>
      </w:r>
      <w:r>
        <w:rPr/>
        <w:t>as</w:t>
      </w:r>
      <w:r>
        <w:rPr>
          <w:spacing w:val="9"/>
        </w:rPr>
        <w:t> </w:t>
      </w:r>
      <w:r>
        <w:rPr/>
        <w:t>the</w:t>
      </w:r>
      <w:r>
        <w:rPr>
          <w:spacing w:val="5"/>
        </w:rPr>
        <w:t> </w:t>
      </w:r>
      <w:r>
        <w:rPr/>
        <w:t>Anglo-Saxon</w:t>
      </w:r>
      <w:r>
        <w:rPr>
          <w:spacing w:val="6"/>
        </w:rPr>
        <w:t> </w:t>
      </w:r>
      <w:r>
        <w:rPr/>
        <w:t>model.</w:t>
      </w:r>
      <w:r>
        <w:rPr>
          <w:spacing w:val="8"/>
        </w:rPr>
        <w:t> </w:t>
      </w:r>
      <w:r>
        <w:rPr/>
        <w:t>The</w:t>
      </w:r>
      <w:r>
        <w:rPr>
          <w:spacing w:val="4"/>
        </w:rPr>
        <w:t> </w:t>
      </w:r>
      <w:r>
        <w:rPr/>
        <w:t>insider</w:t>
      </w:r>
      <w:r>
        <w:rPr>
          <w:spacing w:val="5"/>
        </w:rPr>
        <w:t> </w:t>
      </w:r>
      <w:r>
        <w:rPr/>
        <w:t>model</w:t>
      </w:r>
      <w:r>
        <w:rPr>
          <w:spacing w:val="8"/>
        </w:rPr>
        <w:t> </w:t>
      </w:r>
      <w:r>
        <w:rPr/>
        <w:t>of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5"/>
      </w:pPr>
      <w:r>
        <w:rPr/>
        <w:t>corporate</w:t>
      </w:r>
      <w:r>
        <w:rPr>
          <w:spacing w:val="-10"/>
        </w:rPr>
        <w:t> </w:t>
      </w:r>
      <w:r>
        <w:rPr/>
        <w:t>governance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found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Europe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Asia-Pacific</w:t>
      </w:r>
      <w:r>
        <w:rPr>
          <w:spacing w:val="-9"/>
        </w:rPr>
        <w:t> </w:t>
      </w:r>
      <w:r>
        <w:rPr/>
        <w:t>region.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model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also</w:t>
      </w:r>
      <w:r>
        <w:rPr>
          <w:spacing w:val="-7"/>
        </w:rPr>
        <w:t> </w:t>
      </w:r>
      <w:r>
        <w:rPr/>
        <w:t>known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the Continental European model.</w:t>
      </w:r>
    </w:p>
    <w:p>
      <w:pPr>
        <w:pStyle w:val="BodyText"/>
        <w:spacing w:line="480" w:lineRule="auto" w:before="202"/>
        <w:ind w:right="829"/>
      </w:pPr>
      <w:r>
        <w:rPr/>
        <w:drawing>
          <wp:anchor distT="0" distB="0" distL="0" distR="0" allowOverlap="1" layoutInCell="1" locked="0" behindDoc="1" simplePos="0" relativeHeight="454005248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the Anglo-Saxon model, corporate ownership is widely held and there are large numbers of</w:t>
      </w:r>
      <w:r>
        <w:rPr>
          <w:spacing w:val="-57"/>
        </w:rPr>
        <w:t> </w:t>
      </w:r>
      <w:r>
        <w:rPr/>
        <w:t>shareholders. The managers in the Anglo-Saxon model are more powerful in the decision-</w:t>
      </w:r>
      <w:r>
        <w:rPr>
          <w:spacing w:val="1"/>
        </w:rPr>
        <w:t> </w:t>
      </w:r>
      <w:r>
        <w:rPr/>
        <w:t>making process as opposed to the Continental European model, due to dispersed ownership.</w:t>
      </w:r>
      <w:r>
        <w:rPr>
          <w:spacing w:val="1"/>
        </w:rPr>
        <w:t> </w:t>
      </w:r>
      <w:r>
        <w:rPr/>
        <w:t>Furthermore,</w:t>
      </w:r>
      <w:r>
        <w:rPr>
          <w:spacing w:val="-13"/>
        </w:rPr>
        <w:t> </w:t>
      </w:r>
      <w:r>
        <w:rPr/>
        <w:t>Bhasa</w:t>
      </w:r>
      <w:r>
        <w:rPr>
          <w:spacing w:val="-14"/>
        </w:rPr>
        <w:t> </w:t>
      </w:r>
      <w:r>
        <w:rPr/>
        <w:t>(2004)</w:t>
      </w:r>
      <w:r>
        <w:rPr>
          <w:spacing w:val="-13"/>
        </w:rPr>
        <w:t> </w:t>
      </w:r>
      <w:r>
        <w:rPr/>
        <w:t>found</w:t>
      </w:r>
      <w:r>
        <w:rPr>
          <w:spacing w:val="-13"/>
        </w:rPr>
        <w:t> </w:t>
      </w:r>
      <w:r>
        <w:rPr/>
        <w:t>better</w:t>
      </w:r>
      <w:r>
        <w:rPr>
          <w:spacing w:val="-13"/>
        </w:rPr>
        <w:t> </w:t>
      </w:r>
      <w:r>
        <w:rPr/>
        <w:t>investor</w:t>
      </w:r>
      <w:r>
        <w:rPr>
          <w:spacing w:val="-14"/>
        </w:rPr>
        <w:t> </w:t>
      </w:r>
      <w:r>
        <w:rPr/>
        <w:t>protection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more</w:t>
      </w:r>
      <w:r>
        <w:rPr>
          <w:spacing w:val="-12"/>
        </w:rPr>
        <w:t> </w:t>
      </w:r>
      <w:r>
        <w:rPr/>
        <w:t>professional</w:t>
      </w:r>
      <w:r>
        <w:rPr>
          <w:spacing w:val="-13"/>
        </w:rPr>
        <w:t> </w:t>
      </w:r>
      <w:r>
        <w:rPr/>
        <w:t>directors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managers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Anglo-Saxon</w:t>
      </w:r>
      <w:r>
        <w:rPr>
          <w:spacing w:val="-6"/>
        </w:rPr>
        <w:t> </w:t>
      </w:r>
      <w:r>
        <w:rPr/>
        <w:t>model.</w:t>
      </w:r>
      <w:r>
        <w:rPr>
          <w:spacing w:val="-5"/>
        </w:rPr>
        <w:t> </w:t>
      </w: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main</w:t>
      </w:r>
      <w:r>
        <w:rPr>
          <w:spacing w:val="-5"/>
        </w:rPr>
        <w:t> </w:t>
      </w:r>
      <w:r>
        <w:rPr/>
        <w:t>contributors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better</w:t>
      </w:r>
      <w:r>
        <w:rPr>
          <w:spacing w:val="-7"/>
        </w:rPr>
        <w:t> </w:t>
      </w:r>
      <w:r>
        <w:rPr/>
        <w:t>investor</w:t>
      </w:r>
      <w:r>
        <w:rPr>
          <w:spacing w:val="-6"/>
        </w:rPr>
        <w:t> </w:t>
      </w:r>
      <w:r>
        <w:rPr/>
        <w:t>protection</w:t>
      </w:r>
      <w:r>
        <w:rPr>
          <w:spacing w:val="-58"/>
        </w:rPr>
        <w:t> </w:t>
      </w:r>
      <w:r>
        <w:rPr/>
        <w:t>in this model is the powerful authority to provide strong shareholder protection. Corporate</w:t>
      </w:r>
      <w:r>
        <w:rPr>
          <w:spacing w:val="1"/>
        </w:rPr>
        <w:t> </w:t>
      </w:r>
      <w:r>
        <w:rPr/>
        <w:t>disclosures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generally</w:t>
      </w:r>
      <w:r>
        <w:rPr>
          <w:spacing w:val="-4"/>
        </w:rPr>
        <w:t> </w:t>
      </w:r>
      <w:r>
        <w:rPr/>
        <w:t>well</w:t>
      </w:r>
      <w:r>
        <w:rPr>
          <w:spacing w:val="-3"/>
        </w:rPr>
        <w:t> </w:t>
      </w:r>
      <w:r>
        <w:rPr/>
        <w:t>regulated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all</w:t>
      </w:r>
      <w:r>
        <w:rPr>
          <w:spacing w:val="-3"/>
        </w:rPr>
        <w:t> </w:t>
      </w:r>
      <w:r>
        <w:rPr/>
        <w:t>investors</w:t>
      </w:r>
      <w:r>
        <w:rPr>
          <w:spacing w:val="-3"/>
        </w:rPr>
        <w:t> </w:t>
      </w:r>
      <w:r>
        <w:rPr/>
        <w:t>receive</w:t>
      </w:r>
      <w:r>
        <w:rPr>
          <w:spacing w:val="-4"/>
        </w:rPr>
        <w:t> </w:t>
      </w:r>
      <w:r>
        <w:rPr/>
        <w:t>reliable</w:t>
      </w:r>
      <w:r>
        <w:rPr>
          <w:spacing w:val="-4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for their investment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making.</w:t>
      </w:r>
      <w:r>
        <w:rPr>
          <w:spacing w:val="1"/>
        </w:rPr>
        <w:t> </w:t>
      </w:r>
      <w:r>
        <w:rPr/>
        <w:t>Another distinction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Anglo-Saxon</w:t>
      </w:r>
      <w:r>
        <w:rPr>
          <w:spacing w:val="1"/>
        </w:rPr>
        <w:t> </w:t>
      </w:r>
      <w:r>
        <w:rPr/>
        <w:t>model,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opposed to the Continental European model, is frequent takeovers. According to Hillman and</w:t>
      </w:r>
      <w:r>
        <w:rPr>
          <w:spacing w:val="1"/>
        </w:rPr>
        <w:t> </w:t>
      </w:r>
      <w:r>
        <w:rPr/>
        <w:t>Dalziel</w:t>
      </w:r>
      <w:r>
        <w:rPr>
          <w:spacing w:val="-3"/>
        </w:rPr>
        <w:t> </w:t>
      </w:r>
      <w:r>
        <w:rPr/>
        <w:t>(2003),</w:t>
      </w:r>
      <w:r>
        <w:rPr>
          <w:spacing w:val="-5"/>
        </w:rPr>
        <w:t> </w:t>
      </w:r>
      <w:r>
        <w:rPr/>
        <w:t>external control</w:t>
      </w:r>
      <w:r>
        <w:rPr>
          <w:spacing w:val="-2"/>
        </w:rPr>
        <w:t> </w:t>
      </w:r>
      <w:r>
        <w:rPr/>
        <w:t>from</w:t>
      </w:r>
      <w:r>
        <w:rPr>
          <w:spacing w:val="-3"/>
        </w:rPr>
        <w:t> </w:t>
      </w:r>
      <w:r>
        <w:rPr/>
        <w:t>the capital</w:t>
      </w:r>
      <w:r>
        <w:rPr>
          <w:spacing w:val="-3"/>
        </w:rPr>
        <w:t> </w:t>
      </w:r>
      <w:r>
        <w:rPr/>
        <w:t>market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more</w:t>
      </w:r>
      <w:r>
        <w:rPr>
          <w:spacing w:val="-4"/>
        </w:rPr>
        <w:t> </w:t>
      </w:r>
      <w:r>
        <w:rPr/>
        <w:t>effective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board of directors in this model because corporations may be subject to a takeover if the</w:t>
      </w:r>
      <w:r>
        <w:rPr>
          <w:spacing w:val="1"/>
        </w:rPr>
        <w:t> </w:t>
      </w:r>
      <w:r>
        <w:rPr/>
        <w:t>managers are</w:t>
      </w:r>
      <w:r>
        <w:rPr>
          <w:spacing w:val="-2"/>
        </w:rPr>
        <w:t> </w:t>
      </w:r>
      <w:r>
        <w:rPr/>
        <w:t>unable to</w:t>
      </w:r>
      <w:r>
        <w:rPr>
          <w:spacing w:val="3"/>
        </w:rPr>
        <w:t> </w:t>
      </w:r>
      <w:r>
        <w:rPr/>
        <w:t>maximize</w:t>
      </w:r>
      <w:r>
        <w:rPr>
          <w:spacing w:val="-2"/>
        </w:rPr>
        <w:t> </w:t>
      </w:r>
      <w:r>
        <w:rPr/>
        <w:t>the corporation’s value.</w:t>
      </w:r>
    </w:p>
    <w:p>
      <w:pPr>
        <w:pStyle w:val="BodyText"/>
        <w:spacing w:line="480" w:lineRule="auto" w:before="201"/>
        <w:ind w:right="828"/>
      </w:pPr>
      <w:r>
        <w:rPr/>
        <w:t>In contrast, in the Continental European model, corporate ownership is concentrated with a</w:t>
      </w:r>
      <w:r>
        <w:rPr>
          <w:spacing w:val="1"/>
        </w:rPr>
        <w:t> </w:t>
      </w:r>
      <w:r>
        <w:rPr/>
        <w:t>single owner or a small group of shareholders having control of the corporation. Unlike the</w:t>
      </w:r>
      <w:r>
        <w:rPr>
          <w:spacing w:val="1"/>
        </w:rPr>
        <w:t> </w:t>
      </w:r>
      <w:r>
        <w:rPr>
          <w:spacing w:val="-1"/>
        </w:rPr>
        <w:t>Anglo-Saxon</w:t>
      </w:r>
      <w:r>
        <w:rPr>
          <w:spacing w:val="-15"/>
        </w:rPr>
        <w:t> </w:t>
      </w:r>
      <w:r>
        <w:rPr/>
        <w:t>model</w:t>
      </w:r>
      <w:r>
        <w:rPr>
          <w:spacing w:val="-15"/>
        </w:rPr>
        <w:t> </w:t>
      </w:r>
      <w:r>
        <w:rPr/>
        <w:t>where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board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directors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managers</w:t>
      </w:r>
      <w:r>
        <w:rPr>
          <w:spacing w:val="-15"/>
        </w:rPr>
        <w:t> </w:t>
      </w:r>
      <w:r>
        <w:rPr/>
        <w:t>mainly</w:t>
      </w:r>
      <w:r>
        <w:rPr>
          <w:spacing w:val="-11"/>
        </w:rPr>
        <w:t> </w:t>
      </w:r>
      <w:r>
        <w:rPr/>
        <w:t>focus</w:t>
      </w:r>
      <w:r>
        <w:rPr>
          <w:spacing w:val="-12"/>
        </w:rPr>
        <w:t> </w:t>
      </w:r>
      <w:r>
        <w:rPr/>
        <w:t>on</w:t>
      </w:r>
      <w:r>
        <w:rPr>
          <w:spacing w:val="-14"/>
        </w:rPr>
        <w:t> </w:t>
      </w:r>
      <w:r>
        <w:rPr/>
        <w:t>corporate</w:t>
      </w:r>
      <w:r>
        <w:rPr>
          <w:spacing w:val="-12"/>
        </w:rPr>
        <w:t> </w:t>
      </w:r>
      <w:r>
        <w:rPr/>
        <w:t>value</w:t>
      </w:r>
      <w:r>
        <w:rPr>
          <w:spacing w:val="-58"/>
        </w:rPr>
        <w:t> </w:t>
      </w:r>
      <w:r>
        <w:rPr/>
        <w:t>maximization for their shareholders, in this model the board of directors and managers have to</w:t>
      </w:r>
      <w:r>
        <w:rPr>
          <w:spacing w:val="-57"/>
        </w:rPr>
        <w:t> </w:t>
      </w:r>
      <w:r>
        <w:rPr/>
        <w:t>address broad stakeholders’ needs (Snyder, 2007). Bhasa (2004) contends that long-term</w:t>
      </w:r>
      <w:r>
        <w:rPr>
          <w:spacing w:val="1"/>
        </w:rPr>
        <w:t> </w:t>
      </w:r>
      <w:r>
        <w:rPr/>
        <w:t>shareholdings and substantial cross shareholdings between corporations are also common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substantial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shareholdings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corporations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takeover</w:t>
      </w:r>
      <w:r>
        <w:rPr>
          <w:spacing w:val="1"/>
        </w:rPr>
        <w:t> </w:t>
      </w:r>
      <w:r>
        <w:rPr/>
        <w:t>threats.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Anglo-Saxon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Continental</w:t>
      </w:r>
      <w:r>
        <w:rPr>
          <w:spacing w:val="-4"/>
        </w:rPr>
        <w:t> </w:t>
      </w:r>
      <w:r>
        <w:rPr/>
        <w:t>European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lies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disclosure</w:t>
      </w:r>
      <w:r>
        <w:rPr>
          <w:spacing w:val="-5"/>
        </w:rPr>
        <w:t> </w:t>
      </w:r>
      <w:r>
        <w:rPr/>
        <w:t>issues.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latter</w:t>
      </w:r>
      <w:r>
        <w:rPr>
          <w:spacing w:val="-5"/>
        </w:rPr>
        <w:t> </w:t>
      </w:r>
      <w:r>
        <w:rPr/>
        <w:t>model,</w:t>
      </w:r>
      <w:r>
        <w:rPr>
          <w:spacing w:val="-4"/>
        </w:rPr>
        <w:t> </w:t>
      </w:r>
      <w:r>
        <w:rPr/>
        <w:t>disclosures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rather</w:t>
      </w:r>
      <w:r>
        <w:rPr>
          <w:spacing w:val="-58"/>
        </w:rPr>
        <w:t> </w:t>
      </w:r>
      <w:r>
        <w:rPr/>
        <w:t>restricted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insiders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controlling</w:t>
      </w:r>
      <w:r>
        <w:rPr>
          <w:spacing w:val="-2"/>
        </w:rPr>
        <w:t> </w:t>
      </w:r>
      <w:r>
        <w:rPr/>
        <w:t>shareholders.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very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contrast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t>Anglo-Saxon model where disclosures are well-regulated to ensure that all investors receive</w:t>
      </w:r>
      <w:r>
        <w:rPr>
          <w:spacing w:val="1"/>
        </w:rPr>
        <w:t> </w:t>
      </w:r>
      <w:r>
        <w:rPr/>
        <w:t>similar</w:t>
      </w:r>
      <w:r>
        <w:rPr>
          <w:spacing w:val="-1"/>
        </w:rPr>
        <w:t> </w:t>
      </w:r>
      <w:r>
        <w:rPr/>
        <w:t>reliable information.</w:t>
      </w:r>
    </w:p>
    <w:p>
      <w:pPr>
        <w:pStyle w:val="Heading1"/>
        <w:numPr>
          <w:ilvl w:val="3"/>
          <w:numId w:val="19"/>
        </w:numPr>
        <w:tabs>
          <w:tab w:pos="1602" w:val="left" w:leader="none"/>
        </w:tabs>
        <w:spacing w:line="240" w:lineRule="auto" w:before="202" w:after="0"/>
        <w:ind w:left="1602" w:right="0" w:hanging="780"/>
        <w:jc w:val="left"/>
      </w:pPr>
      <w:bookmarkStart w:name="_bookmark25" w:id="39"/>
      <w:bookmarkEnd w:id="39"/>
      <w:r>
        <w:rPr>
          <w:b w:val="0"/>
        </w:rPr>
      </w:r>
      <w:bookmarkStart w:name="_bookmark25" w:id="40"/>
      <w:bookmarkEnd w:id="40"/>
      <w:r>
        <w:rPr/>
        <w:t>Co</w:t>
      </w:r>
      <w:r>
        <w:rPr/>
        <w:t>rporate</w:t>
      </w:r>
      <w:r>
        <w:rPr>
          <w:spacing w:val="-4"/>
        </w:rPr>
        <w:t> </w:t>
      </w:r>
      <w:r>
        <w:rPr/>
        <w:t>Governance Disclosures</w:t>
      </w:r>
      <w:r>
        <w:rPr>
          <w:spacing w:val="-1"/>
        </w:rPr>
        <w:t> </w:t>
      </w:r>
      <w:r>
        <w:rPr/>
        <w:t>in Annual</w:t>
      </w:r>
      <w:r>
        <w:rPr>
          <w:spacing w:val="-1"/>
        </w:rPr>
        <w:t> </w:t>
      </w:r>
      <w:r>
        <w:rPr/>
        <w:t>Reports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7"/>
      </w:pPr>
      <w:r>
        <w:rPr/>
        <w:drawing>
          <wp:anchor distT="0" distB="0" distL="0" distR="0" allowOverlap="1" layoutInCell="1" locked="0" behindDoc="1" simplePos="0" relativeHeight="454005760">
            <wp:simplePos x="0" y="0"/>
            <wp:positionH relativeFrom="page">
              <wp:posOffset>1261605</wp:posOffset>
            </wp:positionH>
            <wp:positionV relativeFrom="paragraph">
              <wp:posOffset>558712</wp:posOffset>
            </wp:positionV>
            <wp:extent cx="5133225" cy="5265293"/>
            <wp:effectExtent l="0" t="0" r="0" b="0"/>
            <wp:wrapNone/>
            <wp:docPr id="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Corporate Governance Disclosure (CGD) is the extent to which an organization transparently</w:t>
      </w:r>
      <w:r>
        <w:rPr>
          <w:spacing w:val="1"/>
        </w:rPr>
        <w:t> </w:t>
      </w:r>
      <w:r>
        <w:rPr/>
        <w:t>discloses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(UNCTAD,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agency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information asymmetry problems where market participants believe that managers tend to do</w:t>
      </w:r>
      <w:r>
        <w:rPr>
          <w:spacing w:val="1"/>
        </w:rPr>
        <w:t> </w:t>
      </w:r>
      <w:r>
        <w:rPr/>
        <w:t>things for their own benefit (Jensen &amp; Meckling, 1976). Accordingly, any mechanism that is</w:t>
      </w:r>
      <w:r>
        <w:rPr>
          <w:spacing w:val="1"/>
        </w:rPr>
        <w:t> </w:t>
      </w:r>
      <w:r>
        <w:rPr/>
        <w:t>intended to narrow this information asymmetry gap is profound to the success of the financial</w:t>
      </w:r>
      <w:r>
        <w:rPr>
          <w:spacing w:val="1"/>
        </w:rPr>
        <w:t> </w:t>
      </w:r>
      <w:r>
        <w:rPr/>
        <w:t>market (Ronen &amp; Yaari, 2002). One of the most effective mechanisms in bridging such a gap</w:t>
      </w:r>
      <w:r>
        <w:rPr>
          <w:spacing w:val="1"/>
        </w:rPr>
        <w:t> </w:t>
      </w:r>
      <w:r>
        <w:rPr/>
        <w:t>is keeping investors informed through disclosures.</w:t>
      </w:r>
      <w:r>
        <w:rPr>
          <w:spacing w:val="1"/>
        </w:rPr>
        <w:t> </w:t>
      </w:r>
      <w:r>
        <w:rPr/>
        <w:t>Disclosure, in general, is critical to the</w:t>
      </w:r>
      <w:r>
        <w:rPr>
          <w:spacing w:val="1"/>
        </w:rPr>
        <w:t> </w:t>
      </w:r>
      <w:r>
        <w:rPr/>
        <w:t>functioning of an efficient capital market (Healy &amp; Palepu, 2001). It is defined as “any</w:t>
      </w:r>
      <w:r>
        <w:rPr>
          <w:spacing w:val="1"/>
        </w:rPr>
        <w:t> </w:t>
      </w:r>
      <w:r>
        <w:rPr/>
        <w:t>deliberate release of financial information, whether numerical or qualitative, required or best</w:t>
      </w:r>
      <w:r>
        <w:rPr>
          <w:spacing w:val="1"/>
        </w:rPr>
        <w:t> </w:t>
      </w:r>
      <w:r>
        <w:rPr/>
        <w:t>practice, or via formal or informal channels” (Gibbins, Richardson &amp; Waterhouse, 1990).</w:t>
      </w:r>
      <w:r>
        <w:rPr>
          <w:spacing w:val="1"/>
        </w:rPr>
        <w:t> </w:t>
      </w:r>
      <w:r>
        <w:rPr/>
        <w:t>Arguably, while this definition is explanatory, it abstracts disclosure into the provision of</w:t>
      </w:r>
      <w:r>
        <w:rPr>
          <w:spacing w:val="1"/>
        </w:rPr>
        <w:t> </w:t>
      </w:r>
      <w:r>
        <w:rPr/>
        <w:t>financial information only. However, firms usually disclose various types of non-financial</w:t>
      </w:r>
      <w:r>
        <w:rPr>
          <w:spacing w:val="1"/>
        </w:rPr>
        <w:t> </w:t>
      </w:r>
      <w:r>
        <w:rPr/>
        <w:t>information which includes strategic information about the firm –for instance, new market</w:t>
      </w:r>
      <w:r>
        <w:rPr>
          <w:spacing w:val="1"/>
        </w:rPr>
        <w:t> </w:t>
      </w:r>
      <w:r>
        <w:rPr/>
        <w:t>entrance plans, intentions to expand into new product lines, and so on. In this vein, other</w:t>
      </w:r>
      <w:r>
        <w:rPr>
          <w:spacing w:val="1"/>
        </w:rPr>
        <w:t> </w:t>
      </w:r>
      <w:r>
        <w:rPr/>
        <w:t>researchers (Armitage &amp; Marston, 2008) recognised a broader scope of information when</w:t>
      </w:r>
      <w:r>
        <w:rPr>
          <w:spacing w:val="1"/>
        </w:rPr>
        <w:t> </w:t>
      </w:r>
      <w:r>
        <w:rPr/>
        <w:t>defining disclosure, arguing that disclosure involves the provision of information of all types</w:t>
      </w:r>
      <w:r>
        <w:rPr>
          <w:spacing w:val="1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firm,</w:t>
      </w:r>
      <w:r>
        <w:rPr>
          <w:spacing w:val="-11"/>
        </w:rPr>
        <w:t> </w:t>
      </w:r>
      <w:r>
        <w:rPr/>
        <w:t>both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public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general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restricted</w:t>
      </w:r>
      <w:r>
        <w:rPr>
          <w:spacing w:val="-10"/>
        </w:rPr>
        <w:t> </w:t>
      </w:r>
      <w:r>
        <w:rPr/>
        <w:t>groups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users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particular</w:t>
      </w:r>
      <w:r>
        <w:rPr>
          <w:spacing w:val="-58"/>
        </w:rPr>
        <w:t> </w:t>
      </w:r>
      <w:r>
        <w:rPr/>
        <w:t>(e.g.,</w:t>
      </w:r>
      <w:r>
        <w:rPr>
          <w:spacing w:val="-2"/>
        </w:rPr>
        <w:t> </w:t>
      </w:r>
      <w:r>
        <w:rPr/>
        <w:t>analysts and</w:t>
      </w:r>
      <w:r>
        <w:rPr>
          <w:spacing w:val="2"/>
        </w:rPr>
        <w:t> </w:t>
      </w:r>
      <w:r>
        <w:rPr/>
        <w:t>creditors).</w:t>
      </w:r>
    </w:p>
    <w:p>
      <w:pPr>
        <w:pStyle w:val="BodyText"/>
        <w:spacing w:line="477" w:lineRule="auto" w:before="202"/>
        <w:ind w:right="832"/>
      </w:pP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legal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view,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disclosure,</w:t>
      </w:r>
      <w:r>
        <w:rPr>
          <w:spacing w:val="1"/>
        </w:rPr>
        <w:t> </w:t>
      </w:r>
      <w:r>
        <w:rPr/>
        <w:t>namely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voluntary/best</w:t>
      </w:r>
      <w:r>
        <w:rPr>
          <w:spacing w:val="47"/>
        </w:rPr>
        <w:t> </w:t>
      </w:r>
      <w:r>
        <w:rPr/>
        <w:t>practice.</w:t>
      </w:r>
      <w:r>
        <w:rPr>
          <w:spacing w:val="51"/>
        </w:rPr>
        <w:t> </w:t>
      </w:r>
      <w:r>
        <w:rPr/>
        <w:t>Mandatory</w:t>
      </w:r>
      <w:r>
        <w:rPr>
          <w:spacing w:val="46"/>
        </w:rPr>
        <w:t> </w:t>
      </w:r>
      <w:r>
        <w:rPr/>
        <w:t>disclosure</w:t>
      </w:r>
      <w:r>
        <w:rPr>
          <w:spacing w:val="46"/>
        </w:rPr>
        <w:t> </w:t>
      </w:r>
      <w:r>
        <w:rPr/>
        <w:t>is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type</w:t>
      </w:r>
      <w:r>
        <w:rPr>
          <w:spacing w:val="48"/>
        </w:rPr>
        <w:t> </w:t>
      </w:r>
      <w:r>
        <w:rPr/>
        <w:t>of</w:t>
      </w:r>
      <w:r>
        <w:rPr>
          <w:spacing w:val="49"/>
        </w:rPr>
        <w:t> </w:t>
      </w:r>
      <w:r>
        <w:rPr/>
        <w:t>information</w:t>
      </w:r>
      <w:r>
        <w:rPr>
          <w:spacing w:val="46"/>
        </w:rPr>
        <w:t> </w:t>
      </w:r>
      <w:r>
        <w:rPr/>
        <w:t>firms</w:t>
      </w:r>
      <w:r>
        <w:rPr>
          <w:spacing w:val="47"/>
        </w:rPr>
        <w:t> </w:t>
      </w:r>
      <w:r>
        <w:rPr/>
        <w:t>are</w:t>
      </w:r>
      <w:r>
        <w:rPr>
          <w:spacing w:val="48"/>
        </w:rPr>
        <w:t> </w:t>
      </w:r>
      <w:r>
        <w:rPr/>
        <w:t>legally</w:t>
      </w:r>
    </w:p>
    <w:p>
      <w:pPr>
        <w:spacing w:after="0" w:line="477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0627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required to provide through regulated annual reports and accounts including the financial</w:t>
      </w:r>
      <w:r>
        <w:rPr>
          <w:spacing w:val="1"/>
        </w:rPr>
        <w:t> </w:t>
      </w:r>
      <w:r>
        <w:rPr/>
        <w:t>statements,</w:t>
      </w:r>
      <w:r>
        <w:rPr>
          <w:spacing w:val="1"/>
        </w:rPr>
        <w:t> </w:t>
      </w:r>
      <w:r>
        <w:rPr/>
        <w:t>footnotes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filings</w:t>
      </w:r>
      <w:r>
        <w:rPr>
          <w:spacing w:val="1"/>
        </w:rPr>
        <w:t> </w:t>
      </w:r>
      <w:r>
        <w:rPr/>
        <w:t>(Healy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Palepu,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Mandatory</w:t>
      </w:r>
      <w:r>
        <w:rPr>
          <w:spacing w:val="1"/>
        </w:rPr>
        <w:t> </w:t>
      </w:r>
      <w:r>
        <w:rPr/>
        <w:t>disclosure is determined either by company status as set out by law. The primary motive for</w:t>
      </w:r>
      <w:r>
        <w:rPr>
          <w:spacing w:val="1"/>
        </w:rPr>
        <w:t> </w:t>
      </w:r>
      <w:r>
        <w:rPr/>
        <w:t>such regulations is to manage and judge the management’s stewardship function on behalf of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shareholders</w:t>
      </w:r>
      <w:r>
        <w:rPr>
          <w:spacing w:val="-6"/>
        </w:rPr>
        <w:t> </w:t>
      </w:r>
      <w:r>
        <w:rPr/>
        <w:t>(Burton,</w:t>
      </w:r>
      <w:r>
        <w:rPr>
          <w:spacing w:val="-7"/>
        </w:rPr>
        <w:t> </w:t>
      </w:r>
      <w:r>
        <w:rPr/>
        <w:t>1981;</w:t>
      </w:r>
      <w:r>
        <w:rPr>
          <w:spacing w:val="-6"/>
        </w:rPr>
        <w:t> </w:t>
      </w:r>
      <w:r>
        <w:rPr/>
        <w:t>Kam,</w:t>
      </w:r>
      <w:r>
        <w:rPr>
          <w:spacing w:val="-4"/>
        </w:rPr>
        <w:t> </w:t>
      </w:r>
      <w:r>
        <w:rPr/>
        <w:t>1986).</w:t>
      </w:r>
      <w:r>
        <w:rPr>
          <w:spacing w:val="-6"/>
        </w:rPr>
        <w:t> </w:t>
      </w:r>
      <w:r>
        <w:rPr/>
        <w:t>Another</w:t>
      </w:r>
      <w:r>
        <w:rPr>
          <w:spacing w:val="-7"/>
        </w:rPr>
        <w:t> </w:t>
      </w:r>
      <w:r>
        <w:rPr/>
        <w:t>motive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ensure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provision of sufficient information to keep shareholders informed and enable them to make</w:t>
      </w:r>
      <w:r>
        <w:rPr>
          <w:spacing w:val="1"/>
        </w:rPr>
        <w:t> </w:t>
      </w:r>
      <w:r>
        <w:rPr/>
        <w:t>better-informed</w:t>
      </w:r>
      <w:r>
        <w:rPr>
          <w:spacing w:val="1"/>
        </w:rPr>
        <w:t> </w:t>
      </w:r>
      <w:r>
        <w:rPr/>
        <w:t>decisions</w:t>
      </w:r>
      <w:r>
        <w:rPr>
          <w:spacing w:val="1"/>
        </w:rPr>
        <w:t> </w:t>
      </w:r>
      <w:r>
        <w:rPr/>
        <w:t>(FASB,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minimum requirements is classified as best practice disclosure (Marston &amp; Shrives, 1991).</w:t>
      </w:r>
      <w:r>
        <w:rPr>
          <w:spacing w:val="1"/>
        </w:rPr>
        <w:t> </w:t>
      </w:r>
      <w:r>
        <w:rPr/>
        <w:t>Another distinction between mandatory and voluntary disclosure is based on the nature of the</w:t>
      </w:r>
      <w:r>
        <w:rPr>
          <w:spacing w:val="1"/>
        </w:rPr>
        <w:t> </w:t>
      </w:r>
      <w:r>
        <w:rPr/>
        <w:t>narrative.</w:t>
      </w:r>
    </w:p>
    <w:p>
      <w:pPr>
        <w:pStyle w:val="BodyText"/>
        <w:spacing w:line="480" w:lineRule="auto" w:before="203"/>
        <w:ind w:right="828"/>
      </w:pPr>
      <w:r>
        <w:rPr/>
        <w:t>Several approaches are often employed in computing a disclosure benchmark to be used in</w:t>
      </w:r>
      <w:r>
        <w:rPr>
          <w:spacing w:val="1"/>
        </w:rPr>
        <w:t> </w:t>
      </w:r>
      <w:r>
        <w:rPr/>
        <w:t>studies like this one. The first step involves constructing a disclosure index. The index is a list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criteria</w:t>
      </w:r>
      <w:r>
        <w:rPr>
          <w:spacing w:val="-3"/>
        </w:rPr>
        <w:t> </w:t>
      </w:r>
      <w:r>
        <w:rPr/>
        <w:t>against which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disclosure</w:t>
      </w:r>
      <w:r>
        <w:rPr>
          <w:spacing w:val="-3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evaluated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reach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disclosure</w:t>
      </w:r>
      <w:r>
        <w:rPr>
          <w:spacing w:val="-3"/>
        </w:rPr>
        <w:t> </w:t>
      </w:r>
      <w:r>
        <w:rPr/>
        <w:t>score.</w:t>
      </w:r>
      <w:r>
        <w:rPr>
          <w:spacing w:val="-1"/>
        </w:rPr>
        <w:t> </w:t>
      </w:r>
      <w:r>
        <w:rPr/>
        <w:t>To</w:t>
      </w:r>
      <w:r>
        <w:rPr>
          <w:spacing w:val="-58"/>
        </w:rPr>
        <w:t> </w:t>
      </w:r>
      <w:r>
        <w:rPr/>
        <w:t>construct these indices, some studies use questionnaires to determine important or relevant</w:t>
      </w:r>
      <w:r>
        <w:rPr>
          <w:spacing w:val="1"/>
        </w:rPr>
        <w:t> </w:t>
      </w:r>
      <w:r>
        <w:rPr/>
        <w:t>disclosure items, for instance, Ho and Wong (2001) and Willekens, Bauwhede, Gaeremynck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Van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Gucht</w:t>
      </w:r>
      <w:r>
        <w:rPr>
          <w:spacing w:val="-11"/>
        </w:rPr>
        <w:t> </w:t>
      </w:r>
      <w:r>
        <w:rPr/>
        <w:t>(2005),</w:t>
      </w:r>
      <w:r>
        <w:rPr>
          <w:spacing w:val="-10"/>
        </w:rPr>
        <w:t> </w:t>
      </w:r>
      <w:r>
        <w:rPr/>
        <w:t>Others</w:t>
      </w:r>
      <w:r>
        <w:rPr>
          <w:spacing w:val="-12"/>
        </w:rPr>
        <w:t> </w:t>
      </w:r>
      <w:r>
        <w:rPr/>
        <w:t>depend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some</w:t>
      </w:r>
      <w:r>
        <w:rPr>
          <w:spacing w:val="-8"/>
        </w:rPr>
        <w:t> </w:t>
      </w:r>
      <w:r>
        <w:rPr/>
        <w:t>principles</w:t>
      </w:r>
      <w:r>
        <w:rPr>
          <w:spacing w:val="-11"/>
        </w:rPr>
        <w:t> </w:t>
      </w:r>
      <w:r>
        <w:rPr/>
        <w:t>or</w:t>
      </w:r>
      <w:r>
        <w:rPr>
          <w:spacing w:val="-12"/>
        </w:rPr>
        <w:t> </w:t>
      </w:r>
      <w:r>
        <w:rPr/>
        <w:t>regulations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constructing</w:t>
      </w:r>
      <w:r>
        <w:rPr>
          <w:spacing w:val="-11"/>
        </w:rPr>
        <w:t> </w:t>
      </w:r>
      <w:r>
        <w:rPr/>
        <w:t>their</w:t>
      </w:r>
      <w:r>
        <w:rPr>
          <w:spacing w:val="-58"/>
        </w:rPr>
        <w:t> </w:t>
      </w:r>
      <w:r>
        <w:rPr>
          <w:spacing w:val="-1"/>
        </w:rPr>
        <w:t>disclosure</w:t>
      </w:r>
      <w:r>
        <w:rPr>
          <w:spacing w:val="-16"/>
        </w:rPr>
        <w:t> </w:t>
      </w:r>
      <w:r>
        <w:rPr>
          <w:spacing w:val="-1"/>
        </w:rPr>
        <w:t>indices.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example,</w:t>
      </w:r>
      <w:r>
        <w:rPr>
          <w:spacing w:val="-14"/>
        </w:rPr>
        <w:t> </w:t>
      </w:r>
      <w:r>
        <w:rPr/>
        <w:t>Celik</w:t>
      </w:r>
      <w:r>
        <w:rPr>
          <w:spacing w:val="-15"/>
        </w:rPr>
        <w:t> </w:t>
      </w:r>
      <w:r>
        <w:rPr/>
        <w:t>et</w:t>
      </w:r>
      <w:r>
        <w:rPr>
          <w:spacing w:val="-13"/>
        </w:rPr>
        <w:t> </w:t>
      </w:r>
      <w:r>
        <w:rPr/>
        <w:t>al.</w:t>
      </w:r>
      <w:r>
        <w:rPr>
          <w:spacing w:val="-9"/>
        </w:rPr>
        <w:t> </w:t>
      </w:r>
      <w:r>
        <w:rPr/>
        <w:t>(2006)</w:t>
      </w:r>
      <w:r>
        <w:rPr>
          <w:spacing w:val="-13"/>
        </w:rPr>
        <w:t> </w:t>
      </w:r>
      <w:r>
        <w:rPr/>
        <w:t>constructed</w:t>
      </w:r>
      <w:r>
        <w:rPr>
          <w:spacing w:val="-14"/>
        </w:rPr>
        <w:t> </w:t>
      </w:r>
      <w:r>
        <w:rPr/>
        <w:t>their</w:t>
      </w:r>
      <w:r>
        <w:rPr>
          <w:spacing w:val="-13"/>
        </w:rPr>
        <w:t> </w:t>
      </w:r>
      <w:r>
        <w:rPr/>
        <w:t>own</w:t>
      </w:r>
      <w:r>
        <w:rPr>
          <w:spacing w:val="-14"/>
        </w:rPr>
        <w:t> </w:t>
      </w:r>
      <w:r>
        <w:rPr/>
        <w:t>disclosure</w:t>
      </w:r>
      <w:r>
        <w:rPr>
          <w:spacing w:val="-16"/>
        </w:rPr>
        <w:t> </w:t>
      </w:r>
      <w:r>
        <w:rPr/>
        <w:t>score</w:t>
      </w:r>
      <w:r>
        <w:rPr>
          <w:spacing w:val="-16"/>
        </w:rPr>
        <w:t> </w:t>
      </w:r>
      <w:r>
        <w:rPr/>
        <w:t>based</w:t>
      </w:r>
      <w:r>
        <w:rPr>
          <w:spacing w:val="-58"/>
        </w:rPr>
        <w:t> </w:t>
      </w:r>
      <w:r>
        <w:rPr/>
        <w:t>on Financial Accounting Standards Board (FASB) requirements, Abraham and Cox (2007)</w:t>
      </w:r>
      <w:r>
        <w:rPr>
          <w:spacing w:val="1"/>
        </w:rPr>
        <w:t> </w:t>
      </w:r>
      <w:r>
        <w:rPr/>
        <w:t>used</w:t>
      </w:r>
      <w:r>
        <w:rPr>
          <w:spacing w:val="-9"/>
        </w:rPr>
        <w:t> </w:t>
      </w:r>
      <w:r>
        <w:rPr/>
        <w:t>principles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risks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UK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construct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disclosure</w:t>
      </w:r>
      <w:r>
        <w:rPr>
          <w:spacing w:val="-10"/>
        </w:rPr>
        <w:t> </w:t>
      </w:r>
      <w:r>
        <w:rPr/>
        <w:t>index;</w:t>
      </w:r>
      <w:r>
        <w:rPr>
          <w:spacing w:val="-3"/>
        </w:rPr>
        <w:t> </w:t>
      </w:r>
      <w:r>
        <w:rPr/>
        <w:t>McChlery,</w:t>
      </w:r>
      <w:r>
        <w:rPr>
          <w:spacing w:val="-8"/>
        </w:rPr>
        <w:t> </w:t>
      </w:r>
      <w:r>
        <w:rPr/>
        <w:t>Kouhy,</w:t>
      </w:r>
      <w:r>
        <w:rPr>
          <w:spacing w:val="-6"/>
        </w:rPr>
        <w:t> </w:t>
      </w:r>
      <w:r>
        <w:rPr/>
        <w:t>Paisey</w:t>
      </w:r>
      <w:r>
        <w:rPr>
          <w:spacing w:val="-57"/>
        </w:rPr>
        <w:t> </w:t>
      </w:r>
      <w:r>
        <w:rPr/>
        <w:t>and</w:t>
      </w:r>
      <w:r>
        <w:rPr>
          <w:spacing w:val="-14"/>
        </w:rPr>
        <w:t> </w:t>
      </w:r>
      <w:r>
        <w:rPr/>
        <w:t>Hussainey</w:t>
      </w:r>
      <w:r>
        <w:rPr>
          <w:spacing w:val="-13"/>
        </w:rPr>
        <w:t> </w:t>
      </w:r>
      <w:r>
        <w:rPr/>
        <w:t>(2011)</w:t>
      </w:r>
      <w:r>
        <w:rPr>
          <w:spacing w:val="-14"/>
        </w:rPr>
        <w:t> </w:t>
      </w:r>
      <w:r>
        <w:rPr/>
        <w:t>used</w:t>
      </w:r>
      <w:r>
        <w:rPr>
          <w:spacing w:val="-13"/>
        </w:rPr>
        <w:t> </w:t>
      </w:r>
      <w:r>
        <w:rPr/>
        <w:t>Statement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Recommended</w:t>
      </w:r>
      <w:r>
        <w:rPr>
          <w:spacing w:val="-14"/>
        </w:rPr>
        <w:t> </w:t>
      </w:r>
      <w:r>
        <w:rPr/>
        <w:t>Practice</w:t>
      </w:r>
      <w:r>
        <w:rPr>
          <w:spacing w:val="-13"/>
        </w:rPr>
        <w:t> </w:t>
      </w:r>
      <w:r>
        <w:rPr/>
        <w:t>(SORP)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evaluate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quality</w:t>
      </w:r>
      <w:r>
        <w:rPr>
          <w:spacing w:val="-58"/>
        </w:rPr>
        <w:t> </w:t>
      </w:r>
      <w:r>
        <w:rPr/>
        <w:t>of</w:t>
      </w:r>
      <w:r>
        <w:rPr>
          <w:spacing w:val="-10"/>
        </w:rPr>
        <w:t> </w:t>
      </w:r>
      <w:r>
        <w:rPr/>
        <w:t>voluntary</w:t>
      </w:r>
      <w:r>
        <w:rPr>
          <w:spacing w:val="-9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disclosed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oil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gas</w:t>
      </w:r>
      <w:r>
        <w:rPr>
          <w:spacing w:val="-8"/>
        </w:rPr>
        <w:t> </w:t>
      </w:r>
      <w:r>
        <w:rPr/>
        <w:t>reserves.</w:t>
      </w:r>
      <w:r>
        <w:rPr>
          <w:spacing w:val="-9"/>
        </w:rPr>
        <w:t> </w:t>
      </w:r>
      <w:r>
        <w:rPr/>
        <w:t>They</w:t>
      </w:r>
      <w:r>
        <w:rPr>
          <w:spacing w:val="-9"/>
        </w:rPr>
        <w:t> </w:t>
      </w:r>
      <w:r>
        <w:rPr/>
        <w:t>used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score</w:t>
      </w:r>
      <w:r>
        <w:rPr>
          <w:spacing w:val="-10"/>
        </w:rPr>
        <w:t> </w:t>
      </w:r>
      <w:r>
        <w:rPr/>
        <w:t>from</w:t>
      </w:r>
      <w:r>
        <w:rPr>
          <w:spacing w:val="-8"/>
        </w:rPr>
        <w:t> </w:t>
      </w:r>
      <w:r>
        <w:rPr/>
        <w:t>zero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three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represent the</w:t>
      </w:r>
      <w:r>
        <w:rPr>
          <w:spacing w:val="-1"/>
        </w:rPr>
        <w:t> </w:t>
      </w:r>
      <w:r>
        <w:rPr/>
        <w:t>quality of information disclosed.</w:t>
      </w:r>
    </w:p>
    <w:p>
      <w:pPr>
        <w:pStyle w:val="BodyText"/>
        <w:spacing w:line="480" w:lineRule="auto" w:before="201"/>
        <w:ind w:right="828"/>
      </w:pPr>
      <w:r>
        <w:rPr/>
        <w:t>Another approach utilised by some scholars involves developing self-constructed disclosure</w:t>
      </w:r>
      <w:r>
        <w:rPr>
          <w:spacing w:val="1"/>
        </w:rPr>
        <w:t> </w:t>
      </w:r>
      <w:r>
        <w:rPr/>
        <w:t>indices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light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reviewing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literature.</w:t>
      </w:r>
      <w:r>
        <w:rPr>
          <w:spacing w:val="3"/>
        </w:rPr>
        <w:t> </w:t>
      </w:r>
      <w:r>
        <w:rPr/>
        <w:t>Examples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such</w:t>
      </w:r>
      <w:r>
        <w:rPr>
          <w:spacing w:val="3"/>
        </w:rPr>
        <w:t> </w:t>
      </w:r>
      <w:r>
        <w:rPr/>
        <w:t>studies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Mangena</w:t>
      </w:r>
      <w:r>
        <w:rPr>
          <w:spacing w:val="9"/>
        </w:rPr>
        <w:t> </w:t>
      </w:r>
      <w:r>
        <w:rPr/>
        <w:t>and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0678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Pike (2005), Barako, Hancock and Izan (2006), Marshall and Weetman (2007) O’Sullivan,</w:t>
      </w:r>
      <w:r>
        <w:rPr>
          <w:spacing w:val="1"/>
        </w:rPr>
        <w:t> </w:t>
      </w:r>
      <w:r>
        <w:rPr/>
        <w:t>Percy and Stewart (2008) and Laksmana (2008). Self-constructed indices are either weighted</w:t>
      </w:r>
      <w:r>
        <w:rPr>
          <w:spacing w:val="1"/>
        </w:rPr>
        <w:t> </w:t>
      </w:r>
      <w:r>
        <w:rPr/>
        <w:t>or un-weighted. Weights are given based on financial analysts’ perceptions of certain items in</w:t>
      </w:r>
      <w:r>
        <w:rPr>
          <w:spacing w:val="1"/>
        </w:rPr>
        <w:t> </w:t>
      </w:r>
      <w:r>
        <w:rPr/>
        <w:t>the statements. It is argued that a weighted disclosure index reflects the perceived disclosure</w:t>
      </w:r>
      <w:r>
        <w:rPr>
          <w:spacing w:val="1"/>
        </w:rPr>
        <w:t> </w:t>
      </w:r>
      <w:r>
        <w:rPr/>
        <w:t>required by investors (Healy &amp; Palepu, 2001). An alternative view argues that weighted</w:t>
      </w:r>
      <w:r>
        <w:rPr>
          <w:spacing w:val="1"/>
        </w:rPr>
        <w:t> </w:t>
      </w:r>
      <w:r>
        <w:rPr/>
        <w:t>disclosure indices do not alter the results significantly because firms disclose important items</w:t>
      </w:r>
      <w:r>
        <w:rPr>
          <w:spacing w:val="1"/>
        </w:rPr>
        <w:t> </w:t>
      </w:r>
      <w:r>
        <w:rPr/>
        <w:t>as much as they disclose unimportant ones (Ho &amp; Wong 2001; Mangena &amp; Pike, 2005).</w:t>
      </w:r>
      <w:r>
        <w:rPr>
          <w:spacing w:val="1"/>
        </w:rPr>
        <w:t> </w:t>
      </w:r>
      <w:r>
        <w:rPr/>
        <w:t>Notably,</w:t>
      </w:r>
      <w:r>
        <w:rPr>
          <w:spacing w:val="-13"/>
        </w:rPr>
        <w:t> </w:t>
      </w:r>
      <w:r>
        <w:rPr/>
        <w:t>self-constructed</w:t>
      </w:r>
      <w:r>
        <w:rPr>
          <w:spacing w:val="-12"/>
        </w:rPr>
        <w:t> </w:t>
      </w:r>
      <w:r>
        <w:rPr/>
        <w:t>disclosure</w:t>
      </w:r>
      <w:r>
        <w:rPr>
          <w:spacing w:val="-14"/>
        </w:rPr>
        <w:t> </w:t>
      </w:r>
      <w:r>
        <w:rPr/>
        <w:t>scores</w:t>
      </w:r>
      <w:r>
        <w:rPr>
          <w:spacing w:val="-13"/>
        </w:rPr>
        <w:t> </w:t>
      </w:r>
      <w:r>
        <w:rPr/>
        <w:t>could</w:t>
      </w:r>
      <w:r>
        <w:rPr>
          <w:spacing w:val="-12"/>
        </w:rPr>
        <w:t> </w:t>
      </w:r>
      <w:r>
        <w:rPr/>
        <w:t>be</w:t>
      </w:r>
      <w:r>
        <w:rPr>
          <w:spacing w:val="-14"/>
        </w:rPr>
        <w:t> </w:t>
      </w:r>
      <w:r>
        <w:rPr/>
        <w:t>biased</w:t>
      </w:r>
      <w:r>
        <w:rPr>
          <w:spacing w:val="-12"/>
        </w:rPr>
        <w:t> </w:t>
      </w:r>
      <w:r>
        <w:rPr/>
        <w:t>unless</w:t>
      </w:r>
      <w:r>
        <w:rPr>
          <w:spacing w:val="-11"/>
        </w:rPr>
        <w:t> </w:t>
      </w:r>
      <w:r>
        <w:rPr/>
        <w:t>clear</w:t>
      </w:r>
      <w:r>
        <w:rPr>
          <w:spacing w:val="-13"/>
        </w:rPr>
        <w:t> </w:t>
      </w:r>
      <w:r>
        <w:rPr/>
        <w:t>justification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provided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elements included</w:t>
      </w:r>
      <w:r>
        <w:rPr>
          <w:spacing w:val="1"/>
        </w:rPr>
        <w:t> </w:t>
      </w:r>
      <w:r>
        <w:rPr/>
        <w:t>in the</w:t>
      </w:r>
      <w:r>
        <w:rPr>
          <w:spacing w:val="-1"/>
        </w:rPr>
        <w:t> </w:t>
      </w:r>
      <w:r>
        <w:rPr/>
        <w:t>proxy.</w:t>
      </w:r>
    </w:p>
    <w:p>
      <w:pPr>
        <w:pStyle w:val="BodyText"/>
        <w:spacing w:line="480" w:lineRule="auto" w:before="203"/>
        <w:ind w:right="828"/>
      </w:pPr>
      <w:r>
        <w:rPr/>
        <w:t>Lastly, another group of studies used disclosure indices developed and empirically tested in</w:t>
      </w:r>
      <w:r>
        <w:rPr>
          <w:spacing w:val="1"/>
        </w:rPr>
        <w:t> </w:t>
      </w:r>
      <w:r>
        <w:rPr/>
        <w:t>prior research. Such studies contended that those indices had been tested and were more likely</w:t>
      </w:r>
      <w:r>
        <w:rPr>
          <w:spacing w:val="-57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perceived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reliable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valid</w:t>
      </w:r>
      <w:r>
        <w:rPr>
          <w:spacing w:val="-4"/>
        </w:rPr>
        <w:t> </w:t>
      </w:r>
      <w:r>
        <w:rPr/>
        <w:t>indices.</w:t>
      </w:r>
      <w:r>
        <w:rPr>
          <w:spacing w:val="-4"/>
        </w:rPr>
        <w:t> </w:t>
      </w:r>
      <w:r>
        <w:rPr/>
        <w:t>However, care</w:t>
      </w:r>
      <w:r>
        <w:rPr>
          <w:spacing w:val="-5"/>
        </w:rPr>
        <w:t> </w:t>
      </w:r>
      <w:r>
        <w:rPr/>
        <w:t>should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taken</w:t>
      </w:r>
      <w:r>
        <w:rPr>
          <w:spacing w:val="-4"/>
        </w:rPr>
        <w:t> </w:t>
      </w:r>
      <w:r>
        <w:rPr/>
        <w:t>here,</w:t>
      </w:r>
      <w:r>
        <w:rPr>
          <w:spacing w:val="-2"/>
        </w:rPr>
        <w:t> </w:t>
      </w:r>
      <w:r>
        <w:rPr/>
        <w:t>especially,</w:t>
      </w:r>
      <w:r>
        <w:rPr>
          <w:spacing w:val="3"/>
        </w:rPr>
        <w:t> </w:t>
      </w:r>
      <w:r>
        <w:rPr/>
        <w:t>if</w:t>
      </w:r>
      <w:r>
        <w:rPr>
          <w:spacing w:val="-58"/>
        </w:rPr>
        <w:t> </w:t>
      </w:r>
      <w:r>
        <w:rPr/>
        <w:t>those indices were developed in specific contexts or country conditions. Examples of such</w:t>
      </w:r>
      <w:r>
        <w:rPr>
          <w:spacing w:val="1"/>
        </w:rPr>
        <w:t> </w:t>
      </w:r>
      <w:r>
        <w:rPr/>
        <w:t>studies</w:t>
      </w:r>
      <w:r>
        <w:rPr>
          <w:spacing w:val="-11"/>
        </w:rPr>
        <w:t> </w:t>
      </w:r>
      <w:r>
        <w:rPr/>
        <w:t>include:</w:t>
      </w:r>
      <w:r>
        <w:rPr>
          <w:spacing w:val="-10"/>
        </w:rPr>
        <w:t> </w:t>
      </w:r>
      <w:r>
        <w:rPr/>
        <w:t>Peters</w:t>
      </w:r>
      <w:r>
        <w:rPr>
          <w:spacing w:val="-9"/>
        </w:rPr>
        <w:t> </w:t>
      </w:r>
      <w:r>
        <w:rPr/>
        <w:t>et</w:t>
      </w:r>
      <w:r>
        <w:rPr>
          <w:spacing w:val="-7"/>
        </w:rPr>
        <w:t> </w:t>
      </w:r>
      <w:r>
        <w:rPr/>
        <w:t>al.</w:t>
      </w:r>
      <w:r>
        <w:rPr>
          <w:spacing w:val="-11"/>
        </w:rPr>
        <w:t> </w:t>
      </w:r>
      <w:r>
        <w:rPr/>
        <w:t>(2001)</w:t>
      </w:r>
      <w:r>
        <w:rPr>
          <w:spacing w:val="-9"/>
        </w:rPr>
        <w:t> </w:t>
      </w:r>
      <w:r>
        <w:rPr/>
        <w:t>who</w:t>
      </w:r>
      <w:r>
        <w:rPr>
          <w:spacing w:val="-11"/>
        </w:rPr>
        <w:t> </w:t>
      </w:r>
      <w:r>
        <w:rPr/>
        <w:t>use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disclosure</w:t>
      </w:r>
      <w:r>
        <w:rPr>
          <w:spacing w:val="-12"/>
        </w:rPr>
        <w:t> </w:t>
      </w:r>
      <w:r>
        <w:rPr/>
        <w:t>score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Peters</w:t>
      </w:r>
      <w:r>
        <w:rPr>
          <w:spacing w:val="-8"/>
        </w:rPr>
        <w:t> </w:t>
      </w:r>
      <w:r>
        <w:rPr/>
        <w:t>(2000);</w:t>
      </w:r>
      <w:r>
        <w:rPr>
          <w:spacing w:val="-10"/>
        </w:rPr>
        <w:t> </w:t>
      </w:r>
      <w:r>
        <w:rPr/>
        <w:t>Evans</w:t>
      </w:r>
      <w:r>
        <w:rPr>
          <w:spacing w:val="-6"/>
        </w:rPr>
        <w:t> </w:t>
      </w:r>
      <w:r>
        <w:rPr/>
        <w:t>(2004)</w:t>
      </w:r>
      <w:r>
        <w:rPr>
          <w:spacing w:val="-57"/>
        </w:rPr>
        <w:t> </w:t>
      </w:r>
      <w:r>
        <w:rPr/>
        <w:t>who</w:t>
      </w:r>
      <w:r>
        <w:rPr>
          <w:spacing w:val="-10"/>
        </w:rPr>
        <w:t> </w:t>
      </w:r>
      <w:r>
        <w:rPr/>
        <w:t>relies</w:t>
      </w:r>
      <w:r>
        <w:rPr>
          <w:spacing w:val="-9"/>
        </w:rPr>
        <w:t> </w:t>
      </w:r>
      <w:r>
        <w:rPr/>
        <w:t>on</w:t>
      </w:r>
      <w:r>
        <w:rPr>
          <w:spacing w:val="-10"/>
        </w:rPr>
        <w:t> </w:t>
      </w:r>
      <w:r>
        <w:rPr/>
        <w:t>Botosan’s</w:t>
      </w:r>
      <w:r>
        <w:rPr>
          <w:spacing w:val="-9"/>
        </w:rPr>
        <w:t> </w:t>
      </w:r>
      <w:r>
        <w:rPr/>
        <w:t>(1997)</w:t>
      </w:r>
      <w:r>
        <w:rPr>
          <w:spacing w:val="-10"/>
        </w:rPr>
        <w:t> </w:t>
      </w:r>
      <w:r>
        <w:rPr/>
        <w:t>disclosure</w:t>
      </w:r>
      <w:r>
        <w:rPr>
          <w:spacing w:val="-10"/>
        </w:rPr>
        <w:t> </w:t>
      </w:r>
      <w:r>
        <w:rPr/>
        <w:t>score;</w:t>
      </w:r>
      <w:r>
        <w:rPr>
          <w:spacing w:val="-9"/>
        </w:rPr>
        <w:t> </w:t>
      </w:r>
      <w:r>
        <w:rPr/>
        <w:t>Leventis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Weetman</w:t>
      </w:r>
      <w:r>
        <w:rPr>
          <w:spacing w:val="-6"/>
        </w:rPr>
        <w:t> </w:t>
      </w:r>
      <w:r>
        <w:rPr/>
        <w:t>(2004)</w:t>
      </w:r>
      <w:r>
        <w:rPr>
          <w:spacing w:val="-10"/>
        </w:rPr>
        <w:t> </w:t>
      </w:r>
      <w:r>
        <w:rPr/>
        <w:t>who</w:t>
      </w:r>
      <w:r>
        <w:rPr>
          <w:spacing w:val="-6"/>
        </w:rPr>
        <w:t> </w:t>
      </w:r>
      <w:r>
        <w:rPr/>
        <w:t>use</w:t>
      </w:r>
      <w:r>
        <w:rPr>
          <w:spacing w:val="-10"/>
        </w:rPr>
        <w:t> </w:t>
      </w:r>
      <w:r>
        <w:rPr/>
        <w:t>Meek,</w:t>
      </w:r>
      <w:r>
        <w:rPr>
          <w:spacing w:val="-57"/>
        </w:rPr>
        <w:t> </w:t>
      </w:r>
      <w:r>
        <w:rPr/>
        <w:t>Roberts and Gray (1995) index; Boesso and Kumar (2007) who use the disclosure score</w:t>
      </w:r>
      <w:r>
        <w:rPr>
          <w:spacing w:val="1"/>
        </w:rPr>
        <w:t> </w:t>
      </w:r>
      <w:r>
        <w:rPr/>
        <w:t>developed by Boesso (2003). In addition, Donnelly and Mulcahy (2008) use the disclosure</w:t>
      </w:r>
      <w:r>
        <w:rPr>
          <w:spacing w:val="1"/>
        </w:rPr>
        <w:t> </w:t>
      </w:r>
      <w:r>
        <w:rPr/>
        <w:t>score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Eng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Mak</w:t>
      </w:r>
      <w:r>
        <w:rPr>
          <w:spacing w:val="-11"/>
        </w:rPr>
        <w:t> </w:t>
      </w:r>
      <w:r>
        <w:rPr/>
        <w:t>(2003);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Li,</w:t>
      </w:r>
      <w:r>
        <w:rPr>
          <w:spacing w:val="-10"/>
        </w:rPr>
        <w:t> </w:t>
      </w:r>
      <w:r>
        <w:rPr/>
        <w:t>Zheng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Chang,</w:t>
      </w:r>
      <w:r>
        <w:rPr>
          <w:spacing w:val="-11"/>
        </w:rPr>
        <w:t> </w:t>
      </w:r>
      <w:r>
        <w:rPr/>
        <w:t>(2017)</w:t>
      </w:r>
      <w:r>
        <w:rPr>
          <w:spacing w:val="-12"/>
        </w:rPr>
        <w:t> </w:t>
      </w:r>
      <w:r>
        <w:rPr/>
        <w:t>who</w:t>
      </w:r>
      <w:r>
        <w:rPr>
          <w:spacing w:val="-12"/>
        </w:rPr>
        <w:t> </w:t>
      </w:r>
      <w:r>
        <w:rPr/>
        <w:t>rely</w:t>
      </w:r>
      <w:r>
        <w:rPr>
          <w:spacing w:val="-11"/>
        </w:rPr>
        <w:t> </w:t>
      </w:r>
      <w:r>
        <w:rPr/>
        <w:t>on</w:t>
      </w:r>
      <w:r>
        <w:rPr>
          <w:spacing w:val="-8"/>
        </w:rPr>
        <w:t> </w:t>
      </w:r>
      <w:r>
        <w:rPr/>
        <w:t>Haniffa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Cooke</w:t>
      </w:r>
      <w:r>
        <w:rPr>
          <w:spacing w:val="-58"/>
        </w:rPr>
        <w:t> </w:t>
      </w:r>
      <w:r>
        <w:rPr/>
        <w:t>(2005).</w:t>
      </w:r>
    </w:p>
    <w:p>
      <w:pPr>
        <w:pStyle w:val="BodyText"/>
        <w:spacing w:line="480" w:lineRule="auto" w:before="201"/>
        <w:ind w:right="832"/>
      </w:pPr>
      <w:r>
        <w:rPr/>
        <w:t>Furthermore,</w:t>
      </w:r>
      <w:r>
        <w:rPr>
          <w:spacing w:val="59"/>
        </w:rPr>
        <w:t> </w:t>
      </w:r>
      <w:r>
        <w:rPr/>
        <w:t>Standard</w:t>
      </w:r>
      <w:r>
        <w:rPr>
          <w:spacing w:val="60"/>
        </w:rPr>
        <w:t> </w:t>
      </w:r>
      <w:r>
        <w:rPr/>
        <w:t>and</w:t>
      </w:r>
      <w:r>
        <w:rPr>
          <w:spacing w:val="58"/>
        </w:rPr>
        <w:t> </w:t>
      </w:r>
      <w:r>
        <w:rPr/>
        <w:t>Poor</w:t>
      </w:r>
      <w:r>
        <w:rPr>
          <w:spacing w:val="58"/>
        </w:rPr>
        <w:t> </w:t>
      </w:r>
      <w:r>
        <w:rPr/>
        <w:t>(S&amp;P)</w:t>
      </w:r>
      <w:r>
        <w:rPr>
          <w:spacing w:val="58"/>
        </w:rPr>
        <w:t> </w:t>
      </w:r>
      <w:r>
        <w:rPr/>
        <w:t>developed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matrix</w:t>
      </w:r>
      <w:r>
        <w:rPr>
          <w:spacing w:val="3"/>
        </w:rPr>
        <w:t> </w:t>
      </w:r>
      <w:r>
        <w:rPr/>
        <w:t>called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governance,</w:t>
      </w:r>
      <w:r>
        <w:rPr>
          <w:spacing w:val="-58"/>
        </w:rPr>
        <w:t> </w:t>
      </w:r>
      <w:r>
        <w:rPr/>
        <w:t>accountability, management metrics, and analysis (GAMMA) score designed to reflects their</w:t>
      </w:r>
      <w:r>
        <w:rPr>
          <w:spacing w:val="1"/>
        </w:rPr>
        <w:t> </w:t>
      </w:r>
      <w:r>
        <w:rPr/>
        <w:t>opinion of the relative strength of a company’s corporate governance practices as an investor</w:t>
      </w:r>
      <w:r>
        <w:rPr>
          <w:spacing w:val="1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against</w:t>
      </w:r>
      <w:r>
        <w:rPr>
          <w:spacing w:val="-3"/>
        </w:rPr>
        <w:t> </w:t>
      </w:r>
      <w:r>
        <w:rPr/>
        <w:t>potential</w:t>
      </w:r>
      <w:r>
        <w:rPr>
          <w:spacing w:val="-4"/>
        </w:rPr>
        <w:t> </w:t>
      </w:r>
      <w:r>
        <w:rPr/>
        <w:t>governance-related</w:t>
      </w:r>
      <w:r>
        <w:rPr>
          <w:spacing w:val="-4"/>
        </w:rPr>
        <w:t> </w:t>
      </w:r>
      <w:r>
        <w:rPr/>
        <w:t>losses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failure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create</w:t>
      </w:r>
      <w:r>
        <w:rPr>
          <w:spacing w:val="-4"/>
        </w:rPr>
        <w:t> </w:t>
      </w:r>
      <w:r>
        <w:rPr/>
        <w:t>value.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measure</w:t>
      </w:r>
      <w:r>
        <w:rPr>
          <w:spacing w:val="-58"/>
        </w:rPr>
        <w:t> </w:t>
      </w:r>
      <w:r>
        <w:rPr/>
        <w:t>four</w:t>
      </w:r>
      <w:r>
        <w:rPr>
          <w:spacing w:val="50"/>
        </w:rPr>
        <w:t> </w:t>
      </w:r>
      <w:r>
        <w:rPr/>
        <w:t>individual</w:t>
      </w:r>
      <w:r>
        <w:rPr>
          <w:spacing w:val="51"/>
        </w:rPr>
        <w:t> </w:t>
      </w:r>
      <w:r>
        <w:rPr/>
        <w:t>components</w:t>
      </w:r>
      <w:r>
        <w:rPr>
          <w:spacing w:val="51"/>
        </w:rPr>
        <w:t> </w:t>
      </w:r>
      <w:r>
        <w:rPr/>
        <w:t>that</w:t>
      </w:r>
      <w:r>
        <w:rPr>
          <w:spacing w:val="51"/>
        </w:rPr>
        <w:t> </w:t>
      </w:r>
      <w:r>
        <w:rPr/>
        <w:t>contribute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0"/>
        </w:rPr>
        <w:t> </w:t>
      </w:r>
      <w:r>
        <w:rPr/>
        <w:t>overall</w:t>
      </w:r>
      <w:r>
        <w:rPr>
          <w:spacing w:val="52"/>
        </w:rPr>
        <w:t> </w:t>
      </w:r>
      <w:r>
        <w:rPr/>
        <w:t>corporate</w:t>
      </w:r>
      <w:r>
        <w:rPr>
          <w:spacing w:val="51"/>
        </w:rPr>
        <w:t> </w:t>
      </w:r>
      <w:r>
        <w:rPr/>
        <w:t>governance</w:t>
      </w:r>
      <w:r>
        <w:rPr>
          <w:spacing w:val="50"/>
        </w:rPr>
        <w:t> </w:t>
      </w:r>
      <w:r>
        <w:rPr/>
        <w:t>scores:</w:t>
      </w:r>
      <w:r>
        <w:rPr>
          <w:spacing w:val="53"/>
        </w:rPr>
        <w:t> </w:t>
      </w:r>
      <w:r>
        <w:rPr/>
        <w:t>i)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0729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ownership</w:t>
      </w:r>
      <w:r>
        <w:rPr>
          <w:spacing w:val="1"/>
        </w:rPr>
        <w:t> </w:t>
      </w:r>
      <w:r>
        <w:rPr/>
        <w:t>influences;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shareholder</w:t>
      </w:r>
      <w:r>
        <w:rPr>
          <w:spacing w:val="1"/>
        </w:rPr>
        <w:t> </w:t>
      </w:r>
      <w:r>
        <w:rPr/>
        <w:t>rights;</w:t>
      </w:r>
      <w:r>
        <w:rPr>
          <w:spacing w:val="1"/>
        </w:rPr>
        <w:t> </w:t>
      </w:r>
      <w:r>
        <w:rPr/>
        <w:t>iii)</w:t>
      </w:r>
      <w:r>
        <w:rPr>
          <w:spacing w:val="1"/>
        </w:rPr>
        <w:t> </w:t>
      </w:r>
      <w:r>
        <w:rPr/>
        <w:t>transparency,</w:t>
      </w:r>
      <w:r>
        <w:rPr>
          <w:spacing w:val="1"/>
        </w:rPr>
        <w:t> </w:t>
      </w:r>
      <w:r>
        <w:rPr/>
        <w:t>audit,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enterprise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management;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iv)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effectiveness,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compensation</w:t>
      </w:r>
      <w:r>
        <w:rPr>
          <w:spacing w:val="1"/>
        </w:rPr>
        <w:t> </w:t>
      </w:r>
      <w:r>
        <w:rPr/>
        <w:t>practices.</w:t>
      </w:r>
      <w:r>
        <w:rPr>
          <w:spacing w:val="-57"/>
        </w:rPr>
        <w:t> </w:t>
      </w:r>
      <w:r>
        <w:rPr/>
        <w:t>(Standard and Poor’s). The Standard and Poor’s metrics have been used as a basis for many</w:t>
      </w:r>
      <w:r>
        <w:rPr>
          <w:spacing w:val="1"/>
        </w:rPr>
        <w:t> </w:t>
      </w:r>
      <w:r>
        <w:rPr/>
        <w:t>frameworks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measure</w:t>
      </w:r>
      <w:r>
        <w:rPr>
          <w:spacing w:val="-9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transparency</w:t>
      </w:r>
      <w:r>
        <w:rPr>
          <w:spacing w:val="-7"/>
        </w:rPr>
        <w:t> </w:t>
      </w:r>
      <w:r>
        <w:rPr/>
        <w:t>rating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firms</w:t>
      </w:r>
      <w:r>
        <w:rPr>
          <w:spacing w:val="-7"/>
        </w:rPr>
        <w:t> </w:t>
      </w:r>
      <w:r>
        <w:rPr/>
        <w:t>(Khanchel</w:t>
      </w:r>
      <w:r>
        <w:rPr>
          <w:spacing w:val="-6"/>
        </w:rPr>
        <w:t> </w:t>
      </w:r>
      <w:r>
        <w:rPr/>
        <w:t>2007;</w:t>
      </w:r>
      <w:r>
        <w:rPr>
          <w:spacing w:val="-58"/>
        </w:rPr>
        <w:t> </w:t>
      </w:r>
      <w:r>
        <w:rPr/>
        <w:t>Tsamenyi, Enninful Adu</w:t>
      </w:r>
      <w:r>
        <w:rPr>
          <w:spacing w:val="1"/>
        </w:rPr>
        <w:t> </w:t>
      </w:r>
      <w:r>
        <w:rPr/>
        <w:t>&amp; Onumah 2007; Aksu &amp; Kosedag, 2006; Bushman &amp; Smith 2003;</w:t>
      </w:r>
      <w:r>
        <w:rPr>
          <w:spacing w:val="1"/>
        </w:rPr>
        <w:t> </w:t>
      </w:r>
      <w:r>
        <w:rPr/>
        <w:t>Patel,</w:t>
      </w:r>
      <w:r>
        <w:rPr>
          <w:spacing w:val="-1"/>
        </w:rPr>
        <w:t> </w:t>
      </w:r>
      <w:r>
        <w:rPr/>
        <w:t>Balic</w:t>
      </w:r>
      <w:r>
        <w:rPr>
          <w:spacing w:val="-1"/>
        </w:rPr>
        <w:t> </w:t>
      </w:r>
      <w:r>
        <w:rPr/>
        <w:t>&amp; Bwakira</w:t>
      </w:r>
      <w:r>
        <w:rPr>
          <w:spacing w:val="-2"/>
        </w:rPr>
        <w:t> </w:t>
      </w:r>
      <w:r>
        <w:rPr/>
        <w:t>2001).</w:t>
      </w:r>
    </w:p>
    <w:p>
      <w:pPr>
        <w:pStyle w:val="Heading1"/>
        <w:numPr>
          <w:ilvl w:val="3"/>
          <w:numId w:val="19"/>
        </w:numPr>
        <w:tabs>
          <w:tab w:pos="1602" w:val="left" w:leader="none"/>
        </w:tabs>
        <w:spacing w:line="240" w:lineRule="auto" w:before="203" w:after="0"/>
        <w:ind w:left="1602" w:right="0" w:hanging="780"/>
        <w:jc w:val="both"/>
      </w:pPr>
      <w:bookmarkStart w:name="_bookmark26" w:id="41"/>
      <w:bookmarkEnd w:id="41"/>
      <w:r>
        <w:rPr>
          <w:b w:val="0"/>
        </w:rPr>
      </w:r>
      <w:bookmarkStart w:name="_bookmark26" w:id="42"/>
      <w:bookmarkEnd w:id="42"/>
      <w:r>
        <w:rPr/>
        <w:t>Co</w:t>
      </w:r>
      <w:r>
        <w:rPr/>
        <w:t>rporate</w:t>
      </w:r>
      <w:r>
        <w:rPr>
          <w:spacing w:val="-4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Disclosure</w:t>
      </w:r>
      <w:r>
        <w:rPr>
          <w:spacing w:val="-3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2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8"/>
      </w:pPr>
      <w:r>
        <w:rPr/>
        <w:t>The</w:t>
      </w:r>
      <w:r>
        <w:rPr>
          <w:spacing w:val="-14"/>
        </w:rPr>
        <w:t> </w:t>
      </w:r>
      <w:r>
        <w:rPr/>
        <w:t>Code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Best</w:t>
      </w:r>
      <w:r>
        <w:rPr>
          <w:spacing w:val="-12"/>
        </w:rPr>
        <w:t> </w:t>
      </w:r>
      <w:r>
        <w:rPr/>
        <w:t>Practices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Corporate</w:t>
      </w:r>
      <w:r>
        <w:rPr>
          <w:spacing w:val="-11"/>
        </w:rPr>
        <w:t> </w:t>
      </w:r>
      <w:r>
        <w:rPr/>
        <w:t>Governance</w:t>
      </w:r>
      <w:r>
        <w:rPr>
          <w:spacing w:val="-13"/>
        </w:rPr>
        <w:t> </w:t>
      </w:r>
      <w:r>
        <w:rPr/>
        <w:t>in</w:t>
      </w:r>
      <w:r>
        <w:rPr>
          <w:spacing w:val="-9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(SEC,</w:t>
      </w:r>
      <w:r>
        <w:rPr>
          <w:spacing w:val="-12"/>
        </w:rPr>
        <w:t> </w:t>
      </w:r>
      <w:r>
        <w:rPr/>
        <w:t>2003)</w:t>
      </w:r>
      <w:r>
        <w:rPr>
          <w:spacing w:val="-13"/>
        </w:rPr>
        <w:t> </w:t>
      </w:r>
      <w:r>
        <w:rPr/>
        <w:t>was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first</w:t>
      </w:r>
      <w:r>
        <w:rPr>
          <w:spacing w:val="-12"/>
        </w:rPr>
        <w:t> </w:t>
      </w:r>
      <w:r>
        <w:rPr/>
        <w:t>Code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corporate</w:t>
      </w:r>
      <w:r>
        <w:rPr>
          <w:spacing w:val="-6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code</w:t>
      </w:r>
      <w:r>
        <w:rPr>
          <w:spacing w:val="-6"/>
        </w:rPr>
        <w:t> </w:t>
      </w:r>
      <w:r>
        <w:rPr/>
        <w:t>issued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Securities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Exchange</w:t>
      </w:r>
      <w:r>
        <w:rPr>
          <w:spacing w:val="-6"/>
        </w:rPr>
        <w:t> </w:t>
      </w:r>
      <w:r>
        <w:rPr/>
        <w:t>Commission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2003.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Code was applicable to all public companies registered in Nigeria. The happenings and rapid</w:t>
      </w:r>
      <w:r>
        <w:rPr>
          <w:spacing w:val="1"/>
        </w:rPr>
        <w:t> </w:t>
      </w:r>
      <w:r>
        <w:rPr/>
        <w:t>changes in the corporate world made the Code to become inadequate and that brought about</w:t>
      </w:r>
      <w:r>
        <w:rPr>
          <w:spacing w:val="1"/>
        </w:rPr>
        <w:t> </w:t>
      </w:r>
      <w:r>
        <w:rPr/>
        <w:t>some regulators of specific sectors issuing industry-specific corporate governance codes to</w:t>
      </w:r>
      <w:r>
        <w:rPr>
          <w:spacing w:val="1"/>
        </w:rPr>
        <w:t> </w:t>
      </w:r>
      <w:r>
        <w:rPr/>
        <w:t>address matters which were peculiar to their respective sectors. The first among them was the</w:t>
      </w:r>
      <w:r>
        <w:rPr>
          <w:spacing w:val="1"/>
        </w:rPr>
        <w:t> </w:t>
      </w:r>
      <w:r>
        <w:rPr/>
        <w:t>Code of Corporate Governance for Banks in Nigeria Post-Consolidation issued by the Central</w:t>
      </w:r>
      <w:r>
        <w:rPr>
          <w:spacing w:val="1"/>
        </w:rPr>
        <w:t> </w:t>
      </w:r>
      <w:r>
        <w:rPr/>
        <w:t>Bank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2006.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Code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meant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address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identified</w:t>
      </w:r>
      <w:r>
        <w:rPr>
          <w:spacing w:val="-10"/>
        </w:rPr>
        <w:t> </w:t>
      </w:r>
      <w:r>
        <w:rPr/>
        <w:t>weaknesses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banks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resolve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challenges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corporate</w:t>
      </w:r>
      <w:r>
        <w:rPr>
          <w:spacing w:val="-8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which</w:t>
      </w:r>
      <w:r>
        <w:rPr>
          <w:spacing w:val="-3"/>
        </w:rPr>
        <w:t> </w:t>
      </w:r>
      <w:r>
        <w:rPr/>
        <w:t>were</w:t>
      </w:r>
      <w:r>
        <w:rPr>
          <w:spacing w:val="-58"/>
        </w:rPr>
        <w:t> </w:t>
      </w:r>
      <w:r>
        <w:rPr/>
        <w:t>bound</w:t>
      </w:r>
      <w:r>
        <w:rPr>
          <w:spacing w:val="-1"/>
        </w:rPr>
        <w:t> </w:t>
      </w:r>
      <w:r>
        <w:rPr/>
        <w:t>to occur post-consolidation (CBN, 2006).</w:t>
      </w:r>
    </w:p>
    <w:p>
      <w:pPr>
        <w:pStyle w:val="BodyText"/>
        <w:spacing w:line="480" w:lineRule="auto" w:before="202"/>
        <w:ind w:right="829"/>
      </w:pP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3"/>
        </w:rPr>
        <w:t> </w:t>
      </w:r>
      <w:r>
        <w:rPr/>
        <w:t>regulator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issue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industry-specific</w:t>
      </w:r>
      <w:r>
        <w:rPr>
          <w:spacing w:val="1"/>
        </w:rPr>
        <w:t> </w:t>
      </w:r>
      <w:r>
        <w:rPr/>
        <w:t>corporate</w:t>
      </w:r>
      <w:r>
        <w:rPr>
          <w:spacing w:val="-5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was the</w:t>
      </w:r>
      <w:r>
        <w:rPr>
          <w:spacing w:val="-4"/>
        </w:rPr>
        <w:t> </w:t>
      </w:r>
      <w:r>
        <w:rPr/>
        <w:t>National</w:t>
      </w:r>
      <w:r>
        <w:rPr>
          <w:spacing w:val="-57"/>
        </w:rPr>
        <w:t> </w:t>
      </w:r>
      <w:r>
        <w:rPr/>
        <w:t>Pension Commission in 2008. The Code set out rules to guide pension fund administrators</w:t>
      </w:r>
      <w:r>
        <w:rPr>
          <w:spacing w:val="1"/>
        </w:rPr>
        <w:t> </w:t>
      </w:r>
      <w:r>
        <w:rPr/>
        <w:t>(including closed pension fund administrators) and pension fund custodians on the structures</w:t>
      </w:r>
      <w:r>
        <w:rPr>
          <w:spacing w:val="1"/>
        </w:rPr>
        <w:t> </w:t>
      </w:r>
      <w:r>
        <w:rPr/>
        <w:t>and processes to be used in achieving optimal governance processes (Pencom, 2008). In 2009,</w:t>
      </w:r>
      <w:r>
        <w:rPr>
          <w:spacing w:val="-57"/>
        </w:rPr>
        <w:t> </w:t>
      </w:r>
      <w:r>
        <w:rPr/>
        <w:t>the Code of Good Corporate Governance for the Insurance Industry in Nigeria was issued by</w:t>
      </w:r>
      <w:r>
        <w:rPr>
          <w:spacing w:val="1"/>
        </w:rPr>
        <w:t> </w:t>
      </w:r>
      <w:r>
        <w:rPr/>
        <w:t>the National Insurance Commission. The Code listed the following as the basic principles of</w:t>
      </w:r>
      <w:r>
        <w:rPr>
          <w:spacing w:val="1"/>
        </w:rPr>
        <w:t> </w:t>
      </w:r>
      <w:r>
        <w:rPr/>
        <w:t>good</w:t>
      </w:r>
      <w:r>
        <w:rPr>
          <w:spacing w:val="15"/>
        </w:rPr>
        <w:t> </w:t>
      </w:r>
      <w:r>
        <w:rPr/>
        <w:t>corporate</w:t>
      </w:r>
      <w:r>
        <w:rPr>
          <w:spacing w:val="15"/>
        </w:rPr>
        <w:t> </w:t>
      </w:r>
      <w:r>
        <w:rPr/>
        <w:t>governance: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proactive,</w:t>
      </w:r>
      <w:r>
        <w:rPr>
          <w:spacing w:val="17"/>
        </w:rPr>
        <w:t> </w:t>
      </w:r>
      <w:r>
        <w:rPr/>
        <w:t>responsible,</w:t>
      </w:r>
      <w:r>
        <w:rPr>
          <w:spacing w:val="15"/>
        </w:rPr>
        <w:t> </w:t>
      </w:r>
      <w:r>
        <w:rPr/>
        <w:t>responsive,</w:t>
      </w:r>
      <w:r>
        <w:rPr>
          <w:spacing w:val="17"/>
        </w:rPr>
        <w:t> </w:t>
      </w:r>
      <w:r>
        <w:rPr/>
        <w:t>accountable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committed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t>Board/Management; definite management succession plan; culture of compliance with rules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regulations;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insurance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requisite</w:t>
      </w:r>
      <w:r>
        <w:rPr>
          <w:spacing w:val="1"/>
        </w:rPr>
        <w:t> </w:t>
      </w:r>
      <w:r>
        <w:rPr/>
        <w:t>experience;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transparency;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shareholders’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(Naicom,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202"/>
        <w:ind w:right="830"/>
      </w:pPr>
      <w:r>
        <w:rPr/>
        <w:drawing>
          <wp:anchor distT="0" distB="0" distL="0" distR="0" allowOverlap="1" layoutInCell="1" locked="0" behindDoc="1" simplePos="0" relativeHeight="454007808">
            <wp:simplePos x="0" y="0"/>
            <wp:positionH relativeFrom="page">
              <wp:posOffset>1261605</wp:posOffset>
            </wp:positionH>
            <wp:positionV relativeFrom="paragraph">
              <wp:posOffset>376086</wp:posOffset>
            </wp:positionV>
            <wp:extent cx="5133225" cy="5265293"/>
            <wp:effectExtent l="0" t="0" r="0" b="0"/>
            <wp:wrapNone/>
            <wp:docPr id="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2011, the Securities and Exchange Commission issued the Code of Corporate Governance</w:t>
      </w:r>
      <w:r>
        <w:rPr>
          <w:spacing w:val="1"/>
        </w:rPr>
        <w:t> </w:t>
      </w:r>
      <w:r>
        <w:rPr/>
        <w:t>for public companies in Nigeria to address weaknesses identified in the 2003. The Code was</w:t>
      </w:r>
      <w:r>
        <w:rPr>
          <w:spacing w:val="1"/>
        </w:rPr>
        <w:t> </w:t>
      </w:r>
      <w:r>
        <w:rPr/>
        <w:t>expected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minimum</w:t>
      </w:r>
      <w:r>
        <w:rPr>
          <w:spacing w:val="-11"/>
        </w:rPr>
        <w:t> </w:t>
      </w:r>
      <w:r>
        <w:rPr/>
        <w:t>standards</w:t>
      </w:r>
      <w:r>
        <w:rPr>
          <w:spacing w:val="-13"/>
        </w:rPr>
        <w:t> </w:t>
      </w:r>
      <w:r>
        <w:rPr/>
        <w:t>expected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public</w:t>
      </w:r>
      <w:r>
        <w:rPr>
          <w:spacing w:val="-12"/>
        </w:rPr>
        <w:t> </w:t>
      </w:r>
      <w:r>
        <w:rPr/>
        <w:t>companies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comply</w:t>
      </w:r>
      <w:r>
        <w:rPr>
          <w:spacing w:val="-11"/>
        </w:rPr>
        <w:t> </w:t>
      </w:r>
      <w:r>
        <w:rPr/>
        <w:t>with.</w:t>
      </w:r>
      <w:r>
        <w:rPr>
          <w:spacing w:val="-58"/>
        </w:rPr>
        <w:t> </w:t>
      </w:r>
      <w:r>
        <w:rPr/>
        <w:t>Section</w:t>
      </w:r>
      <w:r>
        <w:rPr>
          <w:spacing w:val="1"/>
        </w:rPr>
        <w:t> </w:t>
      </w:r>
      <w:r>
        <w:rPr/>
        <w:t>34</w:t>
      </w:r>
      <w:r>
        <w:rPr>
          <w:spacing w:val="1"/>
        </w:rPr>
        <w:t> </w:t>
      </w:r>
      <w:r>
        <w:rPr/>
        <w:t>of the Sec</w:t>
      </w:r>
      <w:r>
        <w:rPr>
          <w:spacing w:val="1"/>
        </w:rPr>
        <w:t> </w:t>
      </w:r>
      <w:r>
        <w:rPr/>
        <w:t>(2011) Code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henceforth</w:t>
      </w:r>
      <w:r>
        <w:rPr>
          <w:spacing w:val="-4"/>
        </w:rPr>
        <w:t> </w:t>
      </w:r>
      <w:r>
        <w:rPr/>
        <w:t>be</w:t>
      </w:r>
      <w:r>
        <w:rPr>
          <w:spacing w:val="-5"/>
        </w:rPr>
        <w:t> </w:t>
      </w:r>
      <w:r>
        <w:rPr/>
        <w:t>included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annual</w:t>
      </w:r>
      <w:r>
        <w:rPr>
          <w:spacing w:val="-3"/>
        </w:rPr>
        <w:t> </w:t>
      </w:r>
      <w:r>
        <w:rPr/>
        <w:t>reports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companies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Some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items</w:t>
      </w:r>
      <w:r>
        <w:rPr>
          <w:spacing w:val="-58"/>
        </w:rPr>
        <w:t> </w:t>
      </w:r>
      <w:r>
        <w:rPr/>
        <w:t>were the capital structure of a company, corporate governance report, accounting and risk</w:t>
      </w:r>
      <w:r>
        <w:rPr>
          <w:spacing w:val="1"/>
        </w:rPr>
        <w:t> </w:t>
      </w:r>
      <w:r>
        <w:rPr/>
        <w:t>management</w:t>
      </w:r>
      <w:r>
        <w:rPr>
          <w:spacing w:val="-14"/>
        </w:rPr>
        <w:t> </w:t>
      </w:r>
      <w:r>
        <w:rPr/>
        <w:t>issues,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chairman’s</w:t>
      </w:r>
      <w:r>
        <w:rPr>
          <w:spacing w:val="-14"/>
        </w:rPr>
        <w:t> </w:t>
      </w:r>
      <w:r>
        <w:rPr/>
        <w:t>statement,</w:t>
      </w:r>
      <w:r>
        <w:rPr>
          <w:spacing w:val="-13"/>
        </w:rPr>
        <w:t> </w:t>
      </w:r>
      <w:r>
        <w:rPr/>
        <w:t>director’s</w:t>
      </w:r>
      <w:r>
        <w:rPr>
          <w:spacing w:val="-13"/>
        </w:rPr>
        <w:t> </w:t>
      </w:r>
      <w:r>
        <w:rPr/>
        <w:t>interest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contracts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company,</w:t>
      </w:r>
      <w:r>
        <w:rPr>
          <w:spacing w:val="-57"/>
        </w:rPr>
        <w:t> </w:t>
      </w:r>
      <w:r>
        <w:rPr/>
        <w:t>contracts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controlling</w:t>
      </w:r>
      <w:r>
        <w:rPr>
          <w:spacing w:val="-7"/>
        </w:rPr>
        <w:t> </w:t>
      </w:r>
      <w:r>
        <w:rPr/>
        <w:t>shareholders,</w:t>
      </w:r>
      <w:r>
        <w:rPr>
          <w:spacing w:val="-7"/>
        </w:rPr>
        <w:t> </w:t>
      </w:r>
      <w:r>
        <w:rPr/>
        <w:t>director’s</w:t>
      </w:r>
      <w:r>
        <w:rPr>
          <w:spacing w:val="-6"/>
        </w:rPr>
        <w:t> </w:t>
      </w:r>
      <w:r>
        <w:rPr/>
        <w:t>current</w:t>
      </w:r>
      <w:r>
        <w:rPr>
          <w:spacing w:val="-5"/>
        </w:rPr>
        <w:t> </w:t>
      </w:r>
      <w:r>
        <w:rPr/>
        <w:t>accounts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loans</w:t>
      </w:r>
      <w:r>
        <w:rPr>
          <w:spacing w:val="-7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company,</w:t>
      </w:r>
      <w:r>
        <w:rPr>
          <w:spacing w:val="-58"/>
        </w:rPr>
        <w:t> </w:t>
      </w:r>
      <w:r>
        <w:rPr/>
        <w:t>other related party transactions, the company’s remuneration policy and all material benefits</w:t>
      </w:r>
      <w:r>
        <w:rPr>
          <w:spacing w:val="1"/>
        </w:rPr>
        <w:t> </w:t>
      </w:r>
      <w:r>
        <w:rPr/>
        <w:t>and compensation paid to directors, audit committee report, a statement from the board with</w:t>
      </w:r>
      <w:r>
        <w:rPr>
          <w:spacing w:val="1"/>
        </w:rPr>
        <w:t> </w:t>
      </w:r>
      <w:r>
        <w:rPr/>
        <w:t>regards</w:t>
      </w:r>
      <w:r>
        <w:rPr>
          <w:spacing w:val="-9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company’s</w:t>
      </w:r>
      <w:r>
        <w:rPr>
          <w:spacing w:val="-9"/>
        </w:rPr>
        <w:t> </w:t>
      </w:r>
      <w:r>
        <w:rPr/>
        <w:t>degree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compliance</w:t>
      </w:r>
      <w:r>
        <w:rPr>
          <w:spacing w:val="-12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provisions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Sec</w:t>
      </w:r>
      <w:r>
        <w:rPr>
          <w:spacing w:val="-12"/>
        </w:rPr>
        <w:t> </w:t>
      </w:r>
      <w:r>
        <w:rPr/>
        <w:t>(2011)</w:t>
      </w:r>
      <w:r>
        <w:rPr>
          <w:spacing w:val="-11"/>
        </w:rPr>
        <w:t> </w:t>
      </w:r>
      <w:r>
        <w:rPr/>
        <w:t>Code,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where a company engaged a consultant to evaluate its compliance with the Sec (2011) Code,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consultant name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summary of the</w:t>
      </w:r>
      <w:r>
        <w:rPr>
          <w:spacing w:val="-3"/>
        </w:rPr>
        <w:t> </w:t>
      </w:r>
      <w:r>
        <w:rPr/>
        <w:t>report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conclusions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consultant.</w:t>
      </w:r>
    </w:p>
    <w:p>
      <w:pPr>
        <w:pStyle w:val="BodyText"/>
        <w:spacing w:line="480" w:lineRule="auto" w:before="201"/>
        <w:ind w:right="828"/>
      </w:pPr>
      <w:r>
        <w:rPr/>
        <w:t>Furthermore, the Sec (2011) Code recommended that the “Board should use its best judgment</w:t>
      </w:r>
      <w:r>
        <w:rPr>
          <w:spacing w:val="1"/>
        </w:rPr>
        <w:t> </w:t>
      </w:r>
      <w:r>
        <w:rPr/>
        <w:t>to</w:t>
      </w:r>
      <w:r>
        <w:rPr>
          <w:spacing w:val="-7"/>
        </w:rPr>
        <w:t> </w:t>
      </w:r>
      <w:r>
        <w:rPr/>
        <w:t>disclose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matter</w:t>
      </w:r>
      <w:r>
        <w:rPr>
          <w:spacing w:val="-9"/>
        </w:rPr>
        <w:t> </w:t>
      </w:r>
      <w:r>
        <w:rPr/>
        <w:t>even</w:t>
      </w:r>
      <w:r>
        <w:rPr>
          <w:spacing w:val="-9"/>
        </w:rPr>
        <w:t> </w:t>
      </w:r>
      <w:r>
        <w:rPr/>
        <w:t>though</w:t>
      </w:r>
      <w:r>
        <w:rPr>
          <w:spacing w:val="-7"/>
        </w:rPr>
        <w:t> </w:t>
      </w:r>
      <w:r>
        <w:rPr/>
        <w:t>not</w:t>
      </w:r>
      <w:r>
        <w:rPr>
          <w:spacing w:val="-7"/>
        </w:rPr>
        <w:t> </w:t>
      </w:r>
      <w:r>
        <w:rPr/>
        <w:t>specifically</w:t>
      </w:r>
      <w:r>
        <w:rPr>
          <w:spacing w:val="-8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Code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9"/>
        </w:rPr>
        <w:t> </w:t>
      </w:r>
      <w:r>
        <w:rPr/>
        <w:t>disclosed</w:t>
      </w:r>
      <w:r>
        <w:rPr>
          <w:spacing w:val="-8"/>
        </w:rPr>
        <w:t> </w:t>
      </w:r>
      <w:r>
        <w:rPr/>
        <w:t>if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opinion of the Board such matter is capable of affecting in a significant form the financial</w:t>
      </w:r>
      <w:r>
        <w:rPr>
          <w:spacing w:val="1"/>
        </w:rPr>
        <w:t> </w:t>
      </w:r>
      <w:r>
        <w:rPr/>
        <w:t>condition of the company or its status as a going concern.” In addition, the Code encouraged</w:t>
      </w:r>
      <w:r>
        <w:rPr>
          <w:spacing w:val="1"/>
        </w:rPr>
        <w:t> </w:t>
      </w:r>
      <w:r>
        <w:rPr/>
        <w:t>companies to have websites or investors portals where information could to be access by</w:t>
      </w:r>
      <w:r>
        <w:rPr>
          <w:spacing w:val="1"/>
        </w:rPr>
        <w:t> </w:t>
      </w:r>
      <w:r>
        <w:rPr/>
        <w:t>shareholders and other stakeholders. The Code enhanced the corporate governance practices</w:t>
      </w:r>
      <w:r>
        <w:rPr>
          <w:spacing w:val="1"/>
        </w:rPr>
        <w:t> </w:t>
      </w:r>
      <w:r>
        <w:rPr/>
        <w:t>and</w:t>
      </w:r>
      <w:r>
        <w:rPr>
          <w:spacing w:val="37"/>
        </w:rPr>
        <w:t> </w:t>
      </w:r>
      <w:r>
        <w:rPr/>
        <w:t>disclosure</w:t>
      </w:r>
      <w:r>
        <w:rPr>
          <w:spacing w:val="35"/>
        </w:rPr>
        <w:t> </w:t>
      </w:r>
      <w:r>
        <w:rPr/>
        <w:t>by</w:t>
      </w:r>
      <w:r>
        <w:rPr>
          <w:spacing w:val="37"/>
        </w:rPr>
        <w:t> </w:t>
      </w:r>
      <w:r>
        <w:rPr/>
        <w:t>making</w:t>
      </w:r>
      <w:r>
        <w:rPr>
          <w:spacing w:val="37"/>
        </w:rPr>
        <w:t> </w:t>
      </w:r>
      <w:r>
        <w:rPr/>
        <w:t>sure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intent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protecting</w:t>
      </w:r>
      <w:r>
        <w:rPr>
          <w:spacing w:val="37"/>
        </w:rPr>
        <w:t> </w:t>
      </w:r>
      <w:r>
        <w:rPr/>
        <w:t>investors</w:t>
      </w:r>
      <w:r>
        <w:rPr>
          <w:spacing w:val="40"/>
        </w:rPr>
        <w:t> </w:t>
      </w:r>
      <w:r>
        <w:rPr/>
        <w:t>was</w:t>
      </w:r>
      <w:r>
        <w:rPr>
          <w:spacing w:val="38"/>
        </w:rPr>
        <w:t> </w:t>
      </w:r>
      <w:r>
        <w:rPr/>
        <w:t>pushed</w:t>
      </w:r>
      <w:r>
        <w:rPr>
          <w:spacing w:val="37"/>
        </w:rPr>
        <w:t> </w:t>
      </w:r>
      <w:r>
        <w:rPr/>
        <w:t>forward.</w:t>
      </w:r>
      <w:r>
        <w:rPr>
          <w:spacing w:val="37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5"/>
      </w:pPr>
      <w:r>
        <w:rPr/>
        <w:t>revised SEC Code is sufficiently compliant with international best practices on disclosure and</w:t>
      </w:r>
      <w:r>
        <w:rPr>
          <w:spacing w:val="1"/>
        </w:rPr>
        <w:t> </w:t>
      </w:r>
      <w:r>
        <w:rPr/>
        <w:t>transparency.</w:t>
      </w:r>
    </w:p>
    <w:p>
      <w:pPr>
        <w:pStyle w:val="BodyText"/>
        <w:spacing w:line="480" w:lineRule="auto" w:before="202"/>
        <w:ind w:right="827"/>
      </w:pPr>
      <w:r>
        <w:rPr/>
        <w:drawing>
          <wp:anchor distT="0" distB="0" distL="0" distR="0" allowOverlap="1" layoutInCell="1" locked="0" behindDoc="1" simplePos="0" relativeHeight="454008320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 the 15th of January 2019, the Vice President of the Federal Republic of Nigeria and the</w:t>
      </w:r>
      <w:r>
        <w:rPr>
          <w:spacing w:val="1"/>
        </w:rPr>
        <w:t> </w:t>
      </w:r>
      <w:r>
        <w:rPr/>
        <w:t>Honourable</w:t>
      </w:r>
      <w:r>
        <w:rPr>
          <w:spacing w:val="1"/>
        </w:rPr>
        <w:t> </w:t>
      </w:r>
      <w:r>
        <w:rPr/>
        <w:t>Minister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unveiled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 Governance 2018 (The Code) issued by the Financial Reporting Council of Nigeria</w:t>
      </w:r>
      <w:r>
        <w:rPr>
          <w:spacing w:val="-57"/>
        </w:rPr>
        <w:t> </w:t>
      </w:r>
      <w:r>
        <w:rPr/>
        <w:t>(FRC). The Code was drafted pursuant to Sections 11(c) and 51(c) of the Financial Reporting</w:t>
      </w:r>
      <w:r>
        <w:rPr>
          <w:spacing w:val="1"/>
        </w:rPr>
        <w:t> </w:t>
      </w:r>
      <w:r>
        <w:rPr/>
        <w:t>Council of Nigeria Act which conferred upon the Financial Reporting Council the powers to</w:t>
      </w:r>
      <w:r>
        <w:rPr>
          <w:spacing w:val="1"/>
        </w:rPr>
        <w:t> </w:t>
      </w:r>
      <w:r>
        <w:rPr/>
        <w:t>ensure good corporate governance practices in the public and private sectors of the Nigerian</w:t>
      </w:r>
      <w:r>
        <w:rPr>
          <w:spacing w:val="1"/>
        </w:rPr>
        <w:t> </w:t>
      </w:r>
      <w:r>
        <w:rPr/>
        <w:t>economy through issuance of the Code. The Code was formulated to propel good corporate</w:t>
      </w:r>
      <w:r>
        <w:rPr>
          <w:spacing w:val="1"/>
        </w:rPr>
        <w:t> </w:t>
      </w:r>
      <w:r>
        <w:rPr/>
        <w:t>governance,</w:t>
      </w:r>
      <w:r>
        <w:rPr>
          <w:spacing w:val="-4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accountability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prosperity.</w:t>
      </w:r>
      <w:r>
        <w:rPr>
          <w:spacing w:val="-4"/>
        </w:rPr>
        <w:t> </w:t>
      </w:r>
      <w:r>
        <w:rPr/>
        <w:t>Furthermore,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Code</w:t>
      </w:r>
      <w:r>
        <w:rPr>
          <w:spacing w:val="-7"/>
        </w:rPr>
        <w:t> </w:t>
      </w:r>
      <w:r>
        <w:rPr/>
        <w:t>sought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institutionalize</w:t>
      </w:r>
      <w:r>
        <w:rPr>
          <w:spacing w:val="-8"/>
        </w:rPr>
        <w:t> </w:t>
      </w:r>
      <w:r>
        <w:rPr/>
        <w:t>corporate</w:t>
      </w:r>
      <w:r>
        <w:rPr>
          <w:spacing w:val="-8"/>
        </w:rPr>
        <w:t> </w:t>
      </w:r>
      <w:r>
        <w:rPr/>
        <w:t>governance</w:t>
      </w:r>
      <w:r>
        <w:rPr>
          <w:spacing w:val="-8"/>
        </w:rPr>
        <w:t> </w:t>
      </w:r>
      <w:r>
        <w:rPr/>
        <w:t>best</w:t>
      </w:r>
      <w:r>
        <w:rPr>
          <w:spacing w:val="-7"/>
        </w:rPr>
        <w:t> </w:t>
      </w:r>
      <w:r>
        <w:rPr/>
        <w:t>practices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promoting</w:t>
      </w:r>
      <w:r>
        <w:rPr>
          <w:spacing w:val="-10"/>
        </w:rPr>
        <w:t> </w:t>
      </w:r>
      <w:r>
        <w:rPr/>
        <w:t>public</w:t>
      </w:r>
      <w:r>
        <w:rPr>
          <w:spacing w:val="-8"/>
        </w:rPr>
        <w:t> </w:t>
      </w:r>
      <w:r>
        <w:rPr/>
        <w:t>awareness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essential</w:t>
      </w:r>
      <w:r>
        <w:rPr>
          <w:spacing w:val="-57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environment in companies. Furthermore, the aim of the Code was to rebuild public trust and</w:t>
      </w:r>
      <w:r>
        <w:rPr>
          <w:spacing w:val="1"/>
        </w:rPr>
        <w:t> </w:t>
      </w:r>
      <w:r>
        <w:rPr/>
        <w:t>confidence in the Nigerian economy resulting in increased trade and investment. Presumably,</w:t>
      </w:r>
      <w:r>
        <w:rPr>
          <w:spacing w:val="1"/>
        </w:rPr>
        <w:t> </w:t>
      </w:r>
      <w:r>
        <w:rPr/>
        <w:t>the mind-set behind the establishment of the Code is that Companies with effective boards,</w:t>
      </w:r>
      <w:r>
        <w:rPr>
          <w:spacing w:val="1"/>
        </w:rPr>
        <w:t> </w:t>
      </w:r>
      <w:r>
        <w:rPr/>
        <w:t>competent management and shareholder and stakeholder engagements are better positioned to</w:t>
      </w:r>
      <w:r>
        <w:rPr>
          <w:spacing w:val="-57"/>
        </w:rPr>
        <w:t> </w:t>
      </w:r>
      <w:r>
        <w:rPr/>
        <w:t>enhance</w:t>
      </w:r>
      <w:r>
        <w:rPr>
          <w:spacing w:val="-5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governance,</w:t>
      </w:r>
      <w:r>
        <w:rPr>
          <w:spacing w:val="-1"/>
        </w:rPr>
        <w:t> </w:t>
      </w:r>
      <w:r>
        <w:rPr/>
        <w:t>achieve</w:t>
      </w:r>
      <w:r>
        <w:rPr>
          <w:spacing w:val="-5"/>
        </w:rPr>
        <w:t> </w:t>
      </w:r>
      <w:r>
        <w:rPr/>
        <w:t>their</w:t>
      </w:r>
      <w:r>
        <w:rPr>
          <w:spacing w:val="-2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goals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contribute</w:t>
      </w:r>
      <w:r>
        <w:rPr>
          <w:spacing w:val="-3"/>
        </w:rPr>
        <w:t> </w:t>
      </w:r>
      <w:r>
        <w:rPr/>
        <w:t>meaningfully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society. The Code is to be applied in all companies and industries across Nigeria regardless of</w:t>
      </w:r>
      <w:r>
        <w:rPr>
          <w:spacing w:val="-57"/>
        </w:rPr>
        <w:t> </w:t>
      </w:r>
      <w:r>
        <w:rPr/>
        <w:t>their sizes and complexities. The implementation and monitoring of the Code will be the</w:t>
      </w:r>
      <w:r>
        <w:rPr>
          <w:spacing w:val="1"/>
        </w:rPr>
        <w:t> </w:t>
      </w:r>
      <w:r>
        <w:rPr/>
        <w:t>responsibility of the FRC of Nigeria through sectoral regulators and registered exchanges. The</w:t>
      </w:r>
      <w:r>
        <w:rPr>
          <w:spacing w:val="-57"/>
        </w:rPr>
        <w:t> </w:t>
      </w:r>
      <w:r>
        <w:rPr/>
        <w:t>FRC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8"/>
        </w:rPr>
        <w:t> </w:t>
      </w:r>
      <w:r>
        <w:rPr/>
        <w:t>restricted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only</w:t>
      </w:r>
      <w:r>
        <w:rPr>
          <w:spacing w:val="-7"/>
        </w:rPr>
        <w:t> </w:t>
      </w:r>
      <w:r>
        <w:rPr/>
        <w:t>monitoring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implementation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Code,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Council</w:t>
      </w:r>
      <w:r>
        <w:rPr>
          <w:spacing w:val="-6"/>
        </w:rPr>
        <w:t> </w:t>
      </w:r>
      <w:r>
        <w:rPr/>
        <w:t>may</w:t>
      </w:r>
      <w:r>
        <w:rPr>
          <w:spacing w:val="-7"/>
        </w:rPr>
        <w:t> </w:t>
      </w:r>
      <w:r>
        <w:rPr/>
        <w:t>also</w:t>
      </w:r>
      <w:r>
        <w:rPr>
          <w:spacing w:val="-58"/>
        </w:rPr>
        <w:t> </w:t>
      </w:r>
      <w:r>
        <w:rPr/>
        <w:t>conduct reviews on the Code where deviations from the Code persist. In fulfilment of the</w:t>
      </w:r>
      <w:r>
        <w:rPr>
          <w:spacing w:val="1"/>
        </w:rPr>
        <w:t> </w:t>
      </w:r>
      <w:r>
        <w:rPr/>
        <w:t>objectives and aims listed above, the Code is broken down into seven (7) parts and twenty –</w:t>
      </w:r>
      <w:r>
        <w:rPr>
          <w:spacing w:val="1"/>
        </w:rPr>
        <w:t> </w:t>
      </w:r>
      <w:r>
        <w:rPr/>
        <w:t>eight</w:t>
      </w:r>
      <w:r>
        <w:rPr>
          <w:spacing w:val="36"/>
        </w:rPr>
        <w:t> </w:t>
      </w:r>
      <w:r>
        <w:rPr/>
        <w:t>(28)</w:t>
      </w:r>
      <w:r>
        <w:rPr>
          <w:spacing w:val="35"/>
        </w:rPr>
        <w:t> </w:t>
      </w:r>
      <w:r>
        <w:rPr/>
        <w:t>principles</w:t>
      </w:r>
      <w:r>
        <w:rPr>
          <w:spacing w:val="37"/>
        </w:rPr>
        <w:t> </w:t>
      </w:r>
      <w:r>
        <w:rPr/>
        <w:t>which</w:t>
      </w:r>
      <w:r>
        <w:rPr>
          <w:spacing w:val="37"/>
        </w:rPr>
        <w:t> </w:t>
      </w:r>
      <w:r>
        <w:rPr/>
        <w:t>serve</w:t>
      </w:r>
      <w:r>
        <w:rPr>
          <w:spacing w:val="35"/>
        </w:rPr>
        <w:t> </w:t>
      </w:r>
      <w:r>
        <w:rPr/>
        <w:t>as</w:t>
      </w:r>
      <w:r>
        <w:rPr>
          <w:spacing w:val="37"/>
        </w:rPr>
        <w:t> </w:t>
      </w:r>
      <w:r>
        <w:rPr/>
        <w:t>a</w:t>
      </w:r>
      <w:r>
        <w:rPr>
          <w:spacing w:val="36"/>
        </w:rPr>
        <w:t> </w:t>
      </w:r>
      <w:r>
        <w:rPr/>
        <w:t>guide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Directors,</w:t>
      </w:r>
      <w:r>
        <w:rPr>
          <w:spacing w:val="37"/>
        </w:rPr>
        <w:t> </w:t>
      </w:r>
      <w:r>
        <w:rPr/>
        <w:t>Management,</w:t>
      </w:r>
      <w:r>
        <w:rPr>
          <w:spacing w:val="37"/>
        </w:rPr>
        <w:t> </w:t>
      </w:r>
      <w:r>
        <w:rPr/>
        <w:t>Shareholders</w:t>
      </w:r>
      <w:r>
        <w:rPr>
          <w:spacing w:val="37"/>
        </w:rPr>
        <w:t> </w:t>
      </w:r>
      <w:r>
        <w:rPr/>
        <w:t>and</w:t>
      </w:r>
    </w:p>
    <w:p>
      <w:pPr>
        <w:pStyle w:val="BodyText"/>
      </w:pPr>
      <w:r>
        <w:rPr/>
        <w:t>Stakeholders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how</w:t>
      </w:r>
      <w:r>
        <w:rPr>
          <w:spacing w:val="12"/>
        </w:rPr>
        <w:t> </w:t>
      </w:r>
      <w:r>
        <w:rPr/>
        <w:t>to</w:t>
      </w:r>
      <w:r>
        <w:rPr>
          <w:spacing w:val="13"/>
        </w:rPr>
        <w:t> </w:t>
      </w:r>
      <w:r>
        <w:rPr/>
        <w:t>effectively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efficiently</w:t>
      </w:r>
      <w:r>
        <w:rPr>
          <w:spacing w:val="13"/>
        </w:rPr>
        <w:t> </w:t>
      </w:r>
      <w:r>
        <w:rPr/>
        <w:t>run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operations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any</w:t>
      </w:r>
      <w:r>
        <w:rPr>
          <w:spacing w:val="12"/>
        </w:rPr>
        <w:t> </w:t>
      </w:r>
      <w:r>
        <w:rPr/>
        <w:t>company.</w:t>
      </w:r>
      <w:r>
        <w:rPr>
          <w:spacing w:val="7"/>
        </w:rPr>
        <w:t> </w:t>
      </w:r>
      <w:r>
        <w:rPr/>
        <w:t>While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0883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congratulating the FRC for their innovation and proactiveness, there are still areas of potential</w:t>
      </w:r>
      <w:r>
        <w:rPr>
          <w:spacing w:val="-57"/>
        </w:rPr>
        <w:t> </w:t>
      </w:r>
      <w:r>
        <w:rPr/>
        <w:t>uncertainty,</w:t>
      </w:r>
      <w:r>
        <w:rPr>
          <w:spacing w:val="-6"/>
        </w:rPr>
        <w:t> </w:t>
      </w:r>
      <w:r>
        <w:rPr/>
        <w:t>ambiguity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conflict.</w:t>
      </w:r>
      <w:r>
        <w:rPr>
          <w:spacing w:val="-6"/>
        </w:rPr>
        <w:t> </w:t>
      </w:r>
      <w:r>
        <w:rPr/>
        <w:t>One</w:t>
      </w:r>
      <w:r>
        <w:rPr>
          <w:spacing w:val="-8"/>
        </w:rPr>
        <w:t> </w:t>
      </w:r>
      <w:r>
        <w:rPr/>
        <w:t>overlap</w:t>
      </w:r>
      <w:r>
        <w:rPr>
          <w:spacing w:val="-6"/>
        </w:rPr>
        <w:t> </w:t>
      </w:r>
      <w:r>
        <w:rPr/>
        <w:t>seems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lack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sanctions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failure</w:t>
      </w:r>
      <w:r>
        <w:rPr>
          <w:spacing w:val="-8"/>
        </w:rPr>
        <w:t> </w:t>
      </w:r>
      <w:r>
        <w:rPr/>
        <w:t>to</w:t>
      </w:r>
      <w:r>
        <w:rPr>
          <w:spacing w:val="-58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sanctions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 of same in instances of failure to adhere to same will propel strict compliance</w:t>
      </w:r>
      <w:r>
        <w:rPr>
          <w:spacing w:val="1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Code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success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business.</w:t>
      </w:r>
      <w:r>
        <w:rPr>
          <w:spacing w:val="-8"/>
        </w:rPr>
        <w:t> </w:t>
      </w:r>
      <w:r>
        <w:rPr/>
        <w:t>Another</w:t>
      </w:r>
      <w:r>
        <w:rPr>
          <w:spacing w:val="-9"/>
        </w:rPr>
        <w:t> </w:t>
      </w:r>
      <w:r>
        <w:rPr/>
        <w:t>overlap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Code</w:t>
      </w:r>
      <w:r>
        <w:rPr>
          <w:spacing w:val="-10"/>
        </w:rPr>
        <w:t> </w:t>
      </w:r>
      <w:r>
        <w:rPr/>
        <w:t>seems</w:t>
      </w:r>
      <w:r>
        <w:rPr>
          <w:spacing w:val="-57"/>
        </w:rPr>
        <w:t> </w:t>
      </w:r>
      <w:r>
        <w:rPr/>
        <w:t>to be the lack of review time frame and process to ensure that the Code remains in line with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 best practices</w:t>
      </w:r>
      <w:r>
        <w:rPr>
          <w:spacing w:val="2"/>
        </w:rPr>
        <w:t> </w:t>
      </w:r>
      <w:r>
        <w:rPr/>
        <w:t>of doing business in</w:t>
      </w:r>
      <w:r>
        <w:rPr>
          <w:spacing w:val="-1"/>
        </w:rPr>
        <w:t> </w:t>
      </w:r>
      <w:r>
        <w:rPr/>
        <w:t>Nigeria.</w:t>
      </w:r>
    </w:p>
    <w:p>
      <w:pPr>
        <w:pStyle w:val="Heading1"/>
        <w:numPr>
          <w:ilvl w:val="3"/>
          <w:numId w:val="19"/>
        </w:numPr>
        <w:tabs>
          <w:tab w:pos="1602" w:val="left" w:leader="none"/>
        </w:tabs>
        <w:spacing w:line="240" w:lineRule="auto" w:before="203" w:after="0"/>
        <w:ind w:left="1602" w:right="0" w:hanging="780"/>
        <w:jc w:val="both"/>
      </w:pPr>
      <w:bookmarkStart w:name="_bookmark27" w:id="43"/>
      <w:bookmarkEnd w:id="43"/>
      <w:r>
        <w:rPr>
          <w:b w:val="0"/>
        </w:rPr>
      </w:r>
      <w:bookmarkStart w:name="_bookmark27" w:id="44"/>
      <w:bookmarkEnd w:id="44"/>
      <w:r>
        <w:rPr/>
        <w:t>Ext</w:t>
      </w:r>
      <w:r>
        <w:rPr/>
        <w:t>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Governance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8"/>
      </w:pPr>
      <w:r>
        <w:rPr/>
        <w:t>Collett and Hrasky (2005) analysed the relationships between voluntary disclosure of CG</w:t>
      </w:r>
      <w:r>
        <w:rPr>
          <w:spacing w:val="1"/>
        </w:rPr>
        <w:t> </w:t>
      </w:r>
      <w:r>
        <w:rPr/>
        <w:t>information by corporations and their intention to raise capital in the financial markets. A</w:t>
      </w:r>
      <w:r>
        <w:rPr>
          <w:spacing w:val="1"/>
        </w:rPr>
        <w:t> </w:t>
      </w:r>
      <w:r>
        <w:rPr/>
        <w:t>sample of 299 corporations listed on the ‘Australian’ Stock Exchanges was taken for the year</w:t>
      </w:r>
      <w:r>
        <w:rPr>
          <w:spacing w:val="1"/>
        </w:rPr>
        <w:t> </w:t>
      </w:r>
      <w:r>
        <w:rPr/>
        <w:t>1994, and connect-four database used for collection of AR of corporations. The study 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“only</w:t>
      </w:r>
      <w:r>
        <w:rPr>
          <w:spacing w:val="1"/>
        </w:rPr>
        <w:t> </w:t>
      </w:r>
      <w:r>
        <w:rPr/>
        <w:t>29</w:t>
      </w:r>
      <w:r>
        <w:rPr>
          <w:spacing w:val="1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corporations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CG</w:t>
      </w:r>
      <w:r>
        <w:rPr>
          <w:spacing w:val="1"/>
        </w:rPr>
        <w:t> </w:t>
      </w:r>
      <w:r>
        <w:rPr/>
        <w:t>disclosure,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disclosures</w:t>
      </w:r>
      <w:r>
        <w:rPr>
          <w:spacing w:val="-1"/>
        </w:rPr>
        <w:t> </w:t>
      </w:r>
      <w:r>
        <w:rPr/>
        <w:t>varied</w:t>
      </w:r>
      <w:r>
        <w:rPr>
          <w:spacing w:val="2"/>
        </w:rPr>
        <w:t> </w:t>
      </w:r>
      <w:r>
        <w:rPr/>
        <w:t>from corporation to</w:t>
      </w:r>
      <w:r>
        <w:rPr>
          <w:spacing w:val="2"/>
        </w:rPr>
        <w:t> </w:t>
      </w:r>
      <w:r>
        <w:rPr/>
        <w:t>corporation.</w:t>
      </w:r>
    </w:p>
    <w:p>
      <w:pPr>
        <w:pStyle w:val="BodyText"/>
        <w:spacing w:line="480" w:lineRule="auto" w:before="202"/>
        <w:ind w:right="830"/>
      </w:pPr>
      <w:r>
        <w:rPr/>
        <w:t>A</w:t>
      </w:r>
      <w:r>
        <w:rPr>
          <w:spacing w:val="-9"/>
        </w:rPr>
        <w:t> </w:t>
      </w:r>
      <w:r>
        <w:rPr/>
        <w:t>study</w:t>
      </w:r>
      <w:r>
        <w:rPr>
          <w:spacing w:val="-7"/>
        </w:rPr>
        <w:t> </w:t>
      </w:r>
      <w:r>
        <w:rPr/>
        <w:t>done</w:t>
      </w:r>
      <w:r>
        <w:rPr>
          <w:spacing w:val="-6"/>
        </w:rPr>
        <w:t> </w:t>
      </w:r>
      <w:r>
        <w:rPr/>
        <w:t>by</w:t>
      </w:r>
      <w:r>
        <w:rPr>
          <w:spacing w:val="-8"/>
        </w:rPr>
        <w:t> </w:t>
      </w:r>
      <w:r>
        <w:rPr/>
        <w:t>Maingot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Zeghal</w:t>
      </w:r>
      <w:r>
        <w:rPr>
          <w:spacing w:val="-6"/>
        </w:rPr>
        <w:t> </w:t>
      </w:r>
      <w:r>
        <w:rPr/>
        <w:t>(2008)</w:t>
      </w:r>
      <w:r>
        <w:rPr>
          <w:spacing w:val="-6"/>
        </w:rPr>
        <w:t> </w:t>
      </w:r>
      <w:r>
        <w:rPr/>
        <w:t>reported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disclosure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information</w:t>
      </w:r>
      <w:r>
        <w:rPr>
          <w:spacing w:val="-57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Canadian</w:t>
      </w:r>
      <w:r>
        <w:rPr>
          <w:spacing w:val="-7"/>
        </w:rPr>
        <w:t> </w:t>
      </w:r>
      <w:r>
        <w:rPr/>
        <w:t>banks.</w:t>
      </w:r>
      <w:r>
        <w:rPr>
          <w:spacing w:val="-7"/>
        </w:rPr>
        <w:t> </w:t>
      </w:r>
      <w:r>
        <w:rPr/>
        <w:t>The</w:t>
      </w:r>
      <w:r>
        <w:rPr>
          <w:spacing w:val="-10"/>
        </w:rPr>
        <w:t> </w:t>
      </w:r>
      <w:r>
        <w:rPr/>
        <w:t>authors</w:t>
      </w:r>
      <w:r>
        <w:rPr>
          <w:spacing w:val="-5"/>
        </w:rPr>
        <w:t> </w:t>
      </w:r>
      <w:r>
        <w:rPr/>
        <w:t>focused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disclosure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CG</w:t>
      </w:r>
      <w:r>
        <w:rPr>
          <w:spacing w:val="-9"/>
        </w:rPr>
        <w:t> </w:t>
      </w:r>
      <w:r>
        <w:rPr/>
        <w:t>practices</w:t>
      </w:r>
      <w:r>
        <w:rPr>
          <w:spacing w:val="-7"/>
        </w:rPr>
        <w:t> </w:t>
      </w:r>
      <w:r>
        <w:rPr/>
        <w:t>implemented</w:t>
      </w:r>
      <w:r>
        <w:rPr>
          <w:spacing w:val="-58"/>
        </w:rPr>
        <w:t> </w:t>
      </w:r>
      <w:r>
        <w:rPr/>
        <w:t>by eight banks. Their analysis indicated that “the bigger the bank, the more disclosure there</w:t>
      </w:r>
      <w:r>
        <w:rPr>
          <w:spacing w:val="1"/>
        </w:rPr>
        <w:t> </w:t>
      </w:r>
      <w:r>
        <w:rPr/>
        <w:t>was.</w:t>
      </w:r>
      <w:r>
        <w:rPr>
          <w:spacing w:val="-6"/>
        </w:rPr>
        <w:t> </w:t>
      </w:r>
      <w:r>
        <w:rPr/>
        <w:t>Overall,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results</w:t>
      </w:r>
      <w:r>
        <w:rPr>
          <w:spacing w:val="-5"/>
        </w:rPr>
        <w:t> </w:t>
      </w:r>
      <w:r>
        <w:rPr/>
        <w:t>suggested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choices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disclose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extent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disclosure</w:t>
      </w:r>
      <w:r>
        <w:rPr>
          <w:spacing w:val="-7"/>
        </w:rPr>
        <w:t> </w:t>
      </w:r>
      <w:r>
        <w:rPr/>
        <w:t>are</w:t>
      </w:r>
      <w:r>
        <w:rPr>
          <w:spacing w:val="-57"/>
        </w:rPr>
        <w:t> </w:t>
      </w:r>
      <w:r>
        <w:rPr/>
        <w:t>influenced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the strategic</w:t>
      </w:r>
      <w:r>
        <w:rPr>
          <w:spacing w:val="-1"/>
        </w:rPr>
        <w:t> </w:t>
      </w:r>
      <w:r>
        <w:rPr/>
        <w:t>considerations of</w:t>
      </w:r>
      <w:r>
        <w:rPr>
          <w:spacing w:val="1"/>
        </w:rPr>
        <w:t> </w:t>
      </w:r>
      <w:r>
        <w:rPr/>
        <w:t>management.</w:t>
      </w:r>
    </w:p>
    <w:p>
      <w:pPr>
        <w:pStyle w:val="BodyText"/>
        <w:spacing w:line="480" w:lineRule="auto" w:before="200"/>
        <w:ind w:right="826"/>
      </w:pPr>
      <w:r>
        <w:rPr/>
        <w:t>Werder,</w:t>
      </w:r>
      <w:r>
        <w:rPr>
          <w:spacing w:val="-13"/>
        </w:rPr>
        <w:t> </w:t>
      </w:r>
      <w:r>
        <w:rPr/>
        <w:t>Talaulicar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Kolat,</w:t>
      </w:r>
      <w:r>
        <w:rPr>
          <w:spacing w:val="-11"/>
        </w:rPr>
        <w:t> </w:t>
      </w:r>
      <w:r>
        <w:rPr/>
        <w:t>(2005)</w:t>
      </w:r>
      <w:r>
        <w:rPr>
          <w:spacing w:val="-12"/>
        </w:rPr>
        <w:t> </w:t>
      </w:r>
      <w:r>
        <w:rPr/>
        <w:t>found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firms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Frankfurt</w:t>
      </w:r>
      <w:r>
        <w:rPr>
          <w:spacing w:val="-11"/>
        </w:rPr>
        <w:t> </w:t>
      </w:r>
      <w:r>
        <w:rPr/>
        <w:t>Stock</w:t>
      </w:r>
      <w:r>
        <w:rPr>
          <w:spacing w:val="-11"/>
        </w:rPr>
        <w:t> </w:t>
      </w:r>
      <w:r>
        <w:rPr/>
        <w:t>Exchange</w:t>
      </w:r>
      <w:r>
        <w:rPr>
          <w:spacing w:val="-12"/>
        </w:rPr>
        <w:t> </w:t>
      </w:r>
      <w:r>
        <w:rPr/>
        <w:t>showed</w:t>
      </w:r>
      <w:r>
        <w:rPr>
          <w:spacing w:val="-58"/>
        </w:rPr>
        <w:t> </w:t>
      </w:r>
      <w:r>
        <w:rPr/>
        <w:t>high level of compliance with good corporate governance practices contained in the German</w:t>
      </w:r>
      <w:r>
        <w:rPr>
          <w:spacing w:val="1"/>
        </w:rPr>
        <w:t> </w:t>
      </w:r>
      <w:r>
        <w:rPr/>
        <w:t>Governance Code. They used a 2003 sample of 408 German listed firms. Similarly, Cromme</w:t>
      </w:r>
      <w:r>
        <w:rPr>
          <w:spacing w:val="1"/>
        </w:rPr>
        <w:t> </w:t>
      </w:r>
      <w:r>
        <w:rPr/>
        <w:t>(2005) reported that 75% of German listed firms complied with good corporate governance</w:t>
      </w:r>
      <w:r>
        <w:rPr>
          <w:spacing w:val="1"/>
        </w:rPr>
        <w:t> </w:t>
      </w:r>
      <w:r>
        <w:rPr/>
        <w:t>principles</w:t>
      </w:r>
      <w:r>
        <w:rPr>
          <w:spacing w:val="29"/>
        </w:rPr>
        <w:t> </w:t>
      </w:r>
      <w:r>
        <w:rPr/>
        <w:t>contained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8"/>
        </w:rPr>
        <w:t> </w:t>
      </w:r>
      <w:r>
        <w:rPr/>
        <w:t>German</w:t>
      </w:r>
      <w:r>
        <w:rPr>
          <w:spacing w:val="34"/>
        </w:rPr>
        <w:t> </w:t>
      </w:r>
      <w:r>
        <w:rPr/>
        <w:t>Governance</w:t>
      </w:r>
      <w:r>
        <w:rPr>
          <w:spacing w:val="32"/>
        </w:rPr>
        <w:t> </w:t>
      </w:r>
      <w:r>
        <w:rPr/>
        <w:t>Code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2003.</w:t>
      </w:r>
      <w:r>
        <w:rPr>
          <w:spacing w:val="29"/>
        </w:rPr>
        <w:t> </w:t>
      </w:r>
      <w:r>
        <w:rPr/>
        <w:t>Hegazy</w:t>
      </w:r>
      <w:r>
        <w:rPr>
          <w:spacing w:val="33"/>
        </w:rPr>
        <w:t> </w:t>
      </w:r>
      <w:r>
        <w:rPr/>
        <w:t>and</w:t>
      </w:r>
      <w:r>
        <w:rPr>
          <w:spacing w:val="30"/>
        </w:rPr>
        <w:t> </w:t>
      </w:r>
      <w:r>
        <w:rPr/>
        <w:t>Hegazy</w:t>
      </w:r>
      <w:r>
        <w:rPr>
          <w:spacing w:val="32"/>
        </w:rPr>
        <w:t> </w:t>
      </w:r>
      <w:r>
        <w:rPr/>
        <w:t>(2010)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t>found out that the average degree of compliance with the 2003 Combined Code among UK</w:t>
      </w:r>
      <w:r>
        <w:rPr>
          <w:spacing w:val="1"/>
        </w:rPr>
        <w:t> </w:t>
      </w:r>
      <w:r>
        <w:rPr/>
        <w:t>firms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around</w:t>
      </w:r>
      <w:r>
        <w:rPr>
          <w:spacing w:val="-11"/>
        </w:rPr>
        <w:t> </w:t>
      </w:r>
      <w:r>
        <w:rPr/>
        <w:t>70%.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employed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content</w:t>
      </w:r>
      <w:r>
        <w:rPr>
          <w:spacing w:val="-10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technique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analyse</w:t>
      </w:r>
      <w:r>
        <w:rPr>
          <w:spacing w:val="-10"/>
        </w:rPr>
        <w:t> </w:t>
      </w:r>
      <w:r>
        <w:rPr/>
        <w:t>annual</w:t>
      </w:r>
      <w:r>
        <w:rPr>
          <w:spacing w:val="-7"/>
        </w:rPr>
        <w:t> </w:t>
      </w:r>
      <w:r>
        <w:rPr/>
        <w:t>reports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the year</w:t>
      </w:r>
      <w:r>
        <w:rPr>
          <w:spacing w:val="-1"/>
        </w:rPr>
        <w:t> </w:t>
      </w:r>
      <w:r>
        <w:rPr/>
        <w:t>2008 of</w:t>
      </w:r>
      <w:r>
        <w:rPr>
          <w:spacing w:val="1"/>
        </w:rPr>
        <w:t> </w:t>
      </w:r>
      <w:r>
        <w:rPr/>
        <w:t>firms in the FTSE 100.</w:t>
      </w:r>
    </w:p>
    <w:p>
      <w:pPr>
        <w:pStyle w:val="BodyText"/>
        <w:spacing w:line="480" w:lineRule="auto" w:before="202"/>
        <w:ind w:right="829"/>
      </w:pPr>
      <w:r>
        <w:rPr/>
        <w:drawing>
          <wp:anchor distT="0" distB="0" distL="0" distR="0" allowOverlap="1" layoutInCell="1" locked="0" behindDoc="1" simplePos="0" relativeHeight="454009344">
            <wp:simplePos x="0" y="0"/>
            <wp:positionH relativeFrom="page">
              <wp:posOffset>1261605</wp:posOffset>
            </wp:positionH>
            <wp:positionV relativeFrom="paragraph">
              <wp:posOffset>726606</wp:posOffset>
            </wp:positionV>
            <wp:extent cx="5133225" cy="5265293"/>
            <wp:effectExtent l="0" t="0" r="0" b="0"/>
            <wp:wrapNone/>
            <wp:docPr id="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Hussainey and Al-Najjar (2012) used data for 130 UK listed non-financial firms from 2003 to</w:t>
      </w:r>
      <w:r>
        <w:rPr>
          <w:spacing w:val="1"/>
        </w:rPr>
        <w:t> </w:t>
      </w:r>
      <w:r>
        <w:rPr/>
        <w:t>2009. They found a high level of compliance with the Corporate Governance Quotient (CGQ)</w:t>
      </w:r>
      <w:r>
        <w:rPr>
          <w:spacing w:val="-57"/>
        </w:rPr>
        <w:t> </w:t>
      </w:r>
      <w:r>
        <w:rPr/>
        <w:t>index</w:t>
      </w:r>
      <w:r>
        <w:rPr>
          <w:spacing w:val="-14"/>
        </w:rPr>
        <w:t> </w:t>
      </w:r>
      <w:r>
        <w:rPr/>
        <w:t>among</w:t>
      </w:r>
      <w:r>
        <w:rPr>
          <w:spacing w:val="-13"/>
        </w:rPr>
        <w:t> </w:t>
      </w:r>
      <w:r>
        <w:rPr/>
        <w:t>UK</w:t>
      </w:r>
      <w:r>
        <w:rPr>
          <w:spacing w:val="-14"/>
        </w:rPr>
        <w:t> </w:t>
      </w:r>
      <w:r>
        <w:rPr/>
        <w:t>listed</w:t>
      </w:r>
      <w:r>
        <w:rPr>
          <w:spacing w:val="-14"/>
        </w:rPr>
        <w:t> </w:t>
      </w:r>
      <w:r>
        <w:rPr/>
        <w:t>firms.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findings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Hegazy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Hegazy</w:t>
      </w:r>
      <w:r>
        <w:rPr>
          <w:spacing w:val="-11"/>
        </w:rPr>
        <w:t> </w:t>
      </w:r>
      <w:r>
        <w:rPr/>
        <w:t>and</w:t>
      </w:r>
      <w:r>
        <w:rPr>
          <w:spacing w:val="-13"/>
        </w:rPr>
        <w:t> </w:t>
      </w:r>
      <w:r>
        <w:rPr/>
        <w:t>Hussainey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Al-Najjar</w:t>
      </w:r>
      <w:r>
        <w:rPr>
          <w:spacing w:val="-57"/>
        </w:rPr>
        <w:t> </w:t>
      </w:r>
      <w:r>
        <w:rPr/>
        <w:t>suggested that firms in the UK generally complied with the UK Combined Code, thereby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Allegrini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Greco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constructed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index</w:t>
      </w:r>
      <w:r>
        <w:rPr>
          <w:spacing w:val="-4"/>
        </w:rPr>
        <w:t> </w:t>
      </w:r>
      <w:r>
        <w:rPr/>
        <w:t>consisting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60</w:t>
      </w:r>
      <w:r>
        <w:rPr>
          <w:spacing w:val="-6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governance</w:t>
      </w:r>
      <w:r>
        <w:rPr>
          <w:spacing w:val="-6"/>
        </w:rPr>
        <w:t> </w:t>
      </w:r>
      <w:r>
        <w:rPr/>
        <w:t>provisions</w:t>
      </w:r>
      <w:r>
        <w:rPr>
          <w:spacing w:val="-6"/>
        </w:rPr>
        <w:t> </w:t>
      </w:r>
      <w:r>
        <w:rPr/>
        <w:t>extracted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2007</w:t>
      </w:r>
      <w:r>
        <w:rPr>
          <w:spacing w:val="-58"/>
        </w:rPr>
        <w:t> </w:t>
      </w:r>
      <w:r>
        <w:rPr/>
        <w:t>Italian</w:t>
      </w:r>
      <w:r>
        <w:rPr>
          <w:spacing w:val="-10"/>
        </w:rPr>
        <w:t> </w:t>
      </w:r>
      <w:r>
        <w:rPr/>
        <w:t>Civil</w:t>
      </w:r>
      <w:r>
        <w:rPr>
          <w:spacing w:val="-11"/>
        </w:rPr>
        <w:t> </w:t>
      </w:r>
      <w:r>
        <w:rPr/>
        <w:t>Governance</w:t>
      </w:r>
      <w:r>
        <w:rPr>
          <w:spacing w:val="-6"/>
        </w:rPr>
        <w:t> </w:t>
      </w:r>
      <w:r>
        <w:rPr/>
        <w:t>Code.</w:t>
      </w:r>
      <w:r>
        <w:rPr>
          <w:spacing w:val="-12"/>
        </w:rPr>
        <w:t> </w:t>
      </w:r>
      <w:r>
        <w:rPr/>
        <w:t>They</w:t>
      </w:r>
      <w:r>
        <w:rPr>
          <w:spacing w:val="-9"/>
        </w:rPr>
        <w:t> </w:t>
      </w:r>
      <w:r>
        <w:rPr/>
        <w:t>revealed</w:t>
      </w:r>
      <w:r>
        <w:rPr>
          <w:spacing w:val="-12"/>
        </w:rPr>
        <w:t> </w:t>
      </w:r>
      <w:r>
        <w:rPr/>
        <w:t>that</w:t>
      </w:r>
      <w:r>
        <w:rPr>
          <w:spacing w:val="-7"/>
        </w:rPr>
        <w:t> </w:t>
      </w:r>
      <w:r>
        <w:rPr/>
        <w:t>Italian</w:t>
      </w:r>
      <w:r>
        <w:rPr>
          <w:spacing w:val="-10"/>
        </w:rPr>
        <w:t> </w:t>
      </w:r>
      <w:r>
        <w:rPr/>
        <w:t>listed</w:t>
      </w:r>
      <w:r>
        <w:rPr>
          <w:spacing w:val="-11"/>
        </w:rPr>
        <w:t> </w:t>
      </w:r>
      <w:r>
        <w:rPr/>
        <w:t>companies</w:t>
      </w:r>
      <w:r>
        <w:rPr>
          <w:spacing w:val="-12"/>
        </w:rPr>
        <w:t> </w:t>
      </w:r>
      <w:r>
        <w:rPr/>
        <w:t>increased</w:t>
      </w:r>
      <w:r>
        <w:rPr>
          <w:spacing w:val="-11"/>
        </w:rPr>
        <w:t> </w:t>
      </w:r>
      <w:r>
        <w:rPr/>
        <w:t>their</w:t>
      </w:r>
      <w:r>
        <w:rPr>
          <w:spacing w:val="-11"/>
        </w:rPr>
        <w:t> </w:t>
      </w:r>
      <w:r>
        <w:rPr/>
        <w:t>level</w:t>
      </w:r>
      <w:r>
        <w:rPr>
          <w:spacing w:val="-57"/>
        </w:rPr>
        <w:t> </w:t>
      </w:r>
      <w:r>
        <w:rPr/>
        <w:t>of governance practices and voluntary disclosure in their annual reports. Similarly, Salterio et</w:t>
      </w:r>
      <w:r>
        <w:rPr>
          <w:spacing w:val="1"/>
        </w:rPr>
        <w:t> </w:t>
      </w:r>
      <w:r>
        <w:rPr/>
        <w:t>al. (2013) examined the level of compliance with corporate governance recommendations</w:t>
      </w:r>
      <w:r>
        <w:rPr>
          <w:spacing w:val="1"/>
        </w:rPr>
        <w:t> </w:t>
      </w:r>
      <w:r>
        <w:rPr/>
        <w:t>imposed by the Canadian Securities Administrators using 742 Canadian listed firms. They</w:t>
      </w:r>
      <w:r>
        <w:rPr>
          <w:spacing w:val="1"/>
        </w:rPr>
        <w:t> </w:t>
      </w:r>
      <w:r>
        <w:rPr/>
        <w:t>found out that, on average, 82% of the firms complied with some of the recommended good</w:t>
      </w:r>
      <w:r>
        <w:rPr>
          <w:spacing w:val="1"/>
        </w:rPr>
        <w:t> </w:t>
      </w:r>
      <w:r>
        <w:rPr/>
        <w:t>corporate governance practices, whilst 39% of the firms were completely compliant with all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recommendations.</w:t>
      </w:r>
    </w:p>
    <w:p>
      <w:pPr>
        <w:pStyle w:val="BodyText"/>
        <w:spacing w:line="480" w:lineRule="auto" w:before="201"/>
        <w:ind w:right="829"/>
      </w:pPr>
      <w:r>
        <w:rPr/>
        <w:t>Ararat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Ugur</w:t>
      </w:r>
      <w:r>
        <w:rPr>
          <w:spacing w:val="-9"/>
        </w:rPr>
        <w:t> </w:t>
      </w:r>
      <w:r>
        <w:rPr/>
        <w:t>(2003)</w:t>
      </w:r>
      <w:r>
        <w:rPr>
          <w:spacing w:val="-12"/>
        </w:rPr>
        <w:t> </w:t>
      </w:r>
      <w:r>
        <w:rPr/>
        <w:t>provide</w:t>
      </w:r>
      <w:r>
        <w:rPr>
          <w:spacing w:val="-12"/>
        </w:rPr>
        <w:t> </w:t>
      </w:r>
      <w:r>
        <w:rPr/>
        <w:t>an</w:t>
      </w:r>
      <w:r>
        <w:rPr>
          <w:spacing w:val="-9"/>
        </w:rPr>
        <w:t> </w:t>
      </w:r>
      <w:r>
        <w:rPr/>
        <w:t>overview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Turkish</w:t>
      </w:r>
      <w:r>
        <w:rPr>
          <w:spacing w:val="-10"/>
        </w:rPr>
        <w:t> </w:t>
      </w:r>
      <w:r>
        <w:rPr/>
        <w:t>corporate</w:t>
      </w:r>
      <w:r>
        <w:rPr>
          <w:spacing w:val="-11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system.</w:t>
      </w:r>
      <w:r>
        <w:rPr>
          <w:spacing w:val="-10"/>
        </w:rPr>
        <w:t> </w:t>
      </w:r>
      <w:r>
        <w:rPr/>
        <w:t>They</w:t>
      </w:r>
      <w:r>
        <w:rPr>
          <w:spacing w:val="-58"/>
        </w:rPr>
        <w:t> </w:t>
      </w:r>
      <w:r>
        <w:rPr/>
        <w:t>explained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shortcomings,</w:t>
      </w:r>
      <w:r>
        <w:rPr>
          <w:spacing w:val="-11"/>
        </w:rPr>
        <w:t> </w:t>
      </w:r>
      <w:r>
        <w:rPr/>
        <w:t>including</w:t>
      </w:r>
      <w:r>
        <w:rPr>
          <w:spacing w:val="-12"/>
        </w:rPr>
        <w:t> </w:t>
      </w:r>
      <w:r>
        <w:rPr/>
        <w:t>weak</w:t>
      </w:r>
      <w:r>
        <w:rPr>
          <w:spacing w:val="-11"/>
        </w:rPr>
        <w:t> </w:t>
      </w:r>
      <w:r>
        <w:rPr/>
        <w:t>supervision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enforcement</w:t>
      </w:r>
      <w:r>
        <w:rPr>
          <w:spacing w:val="-11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regulatory</w:t>
      </w:r>
      <w:r>
        <w:rPr>
          <w:spacing w:val="-58"/>
        </w:rPr>
        <w:t> </w:t>
      </w:r>
      <w:r>
        <w:rPr/>
        <w:t>authorities,</w:t>
      </w:r>
      <w:r>
        <w:rPr>
          <w:spacing w:val="-9"/>
        </w:rPr>
        <w:t> </w:t>
      </w:r>
      <w:r>
        <w:rPr/>
        <w:t>resulted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low</w:t>
      </w:r>
      <w:r>
        <w:rPr>
          <w:spacing w:val="-9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compliance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rules</w:t>
      </w:r>
      <w:r>
        <w:rPr>
          <w:spacing w:val="-8"/>
        </w:rPr>
        <w:t> </w:t>
      </w:r>
      <w:r>
        <w:rPr/>
        <w:t>contained</w:t>
      </w:r>
      <w:r>
        <w:rPr>
          <w:spacing w:val="-58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Turkish</w:t>
      </w:r>
      <w:r>
        <w:rPr>
          <w:spacing w:val="-2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Code</w:t>
      </w:r>
      <w:r>
        <w:rPr>
          <w:spacing w:val="-2"/>
        </w:rPr>
        <w:t> </w:t>
      </w:r>
      <w:r>
        <w:rPr/>
        <w:t>among Turkish</w:t>
      </w:r>
      <w:r>
        <w:rPr>
          <w:spacing w:val="-2"/>
        </w:rPr>
        <w:t> </w:t>
      </w:r>
      <w:r>
        <w:rPr/>
        <w:t>listed</w:t>
      </w:r>
      <w:r>
        <w:rPr>
          <w:spacing w:val="-2"/>
        </w:rPr>
        <w:t> </w:t>
      </w:r>
      <w:r>
        <w:rPr/>
        <w:t>firms.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sample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160</w:t>
      </w:r>
      <w:r>
        <w:rPr>
          <w:spacing w:val="-57"/>
        </w:rPr>
        <w:t> </w:t>
      </w:r>
      <w:r>
        <w:rPr/>
        <w:t>listed companies in 2002, Krambia-Kapardis and Psaros (2006) reported that only a small</w:t>
      </w:r>
      <w:r>
        <w:rPr>
          <w:spacing w:val="1"/>
        </w:rPr>
        <w:t> </w:t>
      </w:r>
      <w:r>
        <w:rPr/>
        <w:t>minority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Cypriot</w:t>
      </w:r>
      <w:r>
        <w:rPr>
          <w:spacing w:val="-7"/>
        </w:rPr>
        <w:t> </w:t>
      </w:r>
      <w:r>
        <w:rPr/>
        <w:t>listed</w:t>
      </w:r>
      <w:r>
        <w:rPr>
          <w:spacing w:val="-8"/>
        </w:rPr>
        <w:t> </w:t>
      </w:r>
      <w:r>
        <w:rPr/>
        <w:t>firms</w:t>
      </w:r>
      <w:r>
        <w:rPr>
          <w:spacing w:val="-8"/>
        </w:rPr>
        <w:t> </w:t>
      </w:r>
      <w:r>
        <w:rPr/>
        <w:t>complied</w:t>
      </w:r>
      <w:r>
        <w:rPr>
          <w:spacing w:val="-6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provisions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local</w:t>
      </w:r>
      <w:r>
        <w:rPr>
          <w:spacing w:val="-6"/>
        </w:rPr>
        <w:t> </w:t>
      </w:r>
      <w:r>
        <w:rPr/>
        <w:t>corporate</w:t>
      </w:r>
      <w:r>
        <w:rPr>
          <w:spacing w:val="-6"/>
        </w:rPr>
        <w:t> </w:t>
      </w:r>
      <w:r>
        <w:rPr/>
        <w:t>governance</w:t>
      </w:r>
      <w:r>
        <w:rPr>
          <w:spacing w:val="-58"/>
        </w:rPr>
        <w:t> </w:t>
      </w:r>
      <w:r>
        <w:rPr/>
        <w:t>code. A possible explanation for the low level of compliance is the study period, which</w:t>
      </w:r>
      <w:r>
        <w:rPr>
          <w:spacing w:val="1"/>
        </w:rPr>
        <w:t> </w:t>
      </w:r>
      <w:r>
        <w:rPr/>
        <w:t>coincided</w:t>
      </w:r>
      <w:r>
        <w:rPr>
          <w:spacing w:val="8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release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Cyprus</w:t>
      </w:r>
      <w:r>
        <w:rPr>
          <w:spacing w:val="10"/>
        </w:rPr>
        <w:t> </w:t>
      </w:r>
      <w:r>
        <w:rPr/>
        <w:t>Corporate</w:t>
      </w:r>
      <w:r>
        <w:rPr>
          <w:spacing w:val="8"/>
        </w:rPr>
        <w:t> </w:t>
      </w:r>
      <w:r>
        <w:rPr/>
        <w:t>Governance</w:t>
      </w:r>
      <w:r>
        <w:rPr>
          <w:spacing w:val="7"/>
        </w:rPr>
        <w:t> </w:t>
      </w:r>
      <w:r>
        <w:rPr/>
        <w:t>Code</w:t>
      </w:r>
      <w:r>
        <w:rPr>
          <w:spacing w:val="7"/>
        </w:rPr>
        <w:t> </w:t>
      </w:r>
      <w:r>
        <w:rPr/>
        <w:t>in</w:t>
      </w:r>
      <w:r>
        <w:rPr>
          <w:spacing w:val="9"/>
        </w:rPr>
        <w:t> </w:t>
      </w:r>
      <w:r>
        <w:rPr/>
        <w:t>2002.</w:t>
      </w:r>
      <w:r>
        <w:rPr>
          <w:spacing w:val="11"/>
        </w:rPr>
        <w:t> </w:t>
      </w:r>
      <w:r>
        <w:rPr/>
        <w:t>It</w:t>
      </w:r>
      <w:r>
        <w:rPr>
          <w:spacing w:val="9"/>
        </w:rPr>
        <w:t> </w:t>
      </w:r>
      <w:r>
        <w:rPr/>
        <w:t>implied</w:t>
      </w:r>
      <w:r>
        <w:rPr>
          <w:spacing w:val="9"/>
        </w:rPr>
        <w:t> </w:t>
      </w:r>
      <w:r>
        <w:rPr/>
        <w:t>that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3"/>
      </w:pPr>
      <w:r>
        <w:rPr/>
        <w:t>the corporate governance reforms did not have sufficient time to result in improved corporate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practices.</w:t>
      </w:r>
    </w:p>
    <w:p>
      <w:pPr>
        <w:pStyle w:val="BodyText"/>
        <w:spacing w:line="480" w:lineRule="auto" w:before="202"/>
        <w:ind w:right="828"/>
      </w:pPr>
      <w:r>
        <w:rPr/>
        <w:drawing>
          <wp:anchor distT="0" distB="0" distL="0" distR="0" allowOverlap="1" layoutInCell="1" locked="0" behindDoc="1" simplePos="0" relativeHeight="454009856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context,</w:t>
      </w:r>
      <w:r>
        <w:rPr>
          <w:spacing w:val="1"/>
        </w:rPr>
        <w:t> </w:t>
      </w:r>
      <w:r>
        <w:rPr/>
        <w:t>Tsamenyi,</w:t>
      </w:r>
      <w:r>
        <w:rPr>
          <w:spacing w:val="1"/>
        </w:rPr>
        <w:t> </w:t>
      </w:r>
      <w:r>
        <w:rPr/>
        <w:t>Enninful-Adu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Onumah,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Constructed a corporate governance index to examine the level of compliance among 22 listed</w:t>
      </w:r>
      <w:r>
        <w:rPr>
          <w:spacing w:val="-57"/>
        </w:rPr>
        <w:t> </w:t>
      </w:r>
      <w:r>
        <w:rPr/>
        <w:t>firms in Ghana from 2001 to 2002. The average disclosure and transparency score was 52%.</w:t>
      </w:r>
      <w:r>
        <w:rPr>
          <w:spacing w:val="1"/>
        </w:rPr>
        <w:t> </w:t>
      </w:r>
      <w:r>
        <w:rPr/>
        <w:t>Samaha (2012) find a low level of voluntary corporate disclosure among Egyptian firms using</w:t>
      </w:r>
      <w:r>
        <w:rPr>
          <w:spacing w:val="-57"/>
        </w:rPr>
        <w:t> </w:t>
      </w:r>
      <w:r>
        <w:rPr/>
        <w:t>a 2009 sample of 100 Egyptian listed firms. They used a disclosure index consisting of 53</w:t>
      </w:r>
      <w:r>
        <w:rPr>
          <w:spacing w:val="1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provisions.</w:t>
      </w:r>
      <w:r>
        <w:rPr>
          <w:spacing w:val="-5"/>
        </w:rPr>
        <w:t> </w:t>
      </w:r>
      <w:r>
        <w:rPr/>
        <w:t>Sharma,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Singh</w:t>
      </w:r>
      <w:r>
        <w:rPr>
          <w:spacing w:val="-6"/>
        </w:rPr>
        <w:t> </w:t>
      </w:r>
      <w:r>
        <w:rPr/>
        <w:t>(2009)</w:t>
      </w:r>
      <w:r>
        <w:rPr>
          <w:spacing w:val="-4"/>
        </w:rPr>
        <w:t> </w:t>
      </w:r>
      <w:r>
        <w:rPr/>
        <w:t>examined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degree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voluntary</w:t>
      </w:r>
      <w:r>
        <w:rPr>
          <w:spacing w:val="-6"/>
        </w:rPr>
        <w:t> </w:t>
      </w:r>
      <w:r>
        <w:rPr/>
        <w:t>disclosure</w:t>
      </w:r>
      <w:r>
        <w:rPr>
          <w:spacing w:val="-58"/>
        </w:rPr>
        <w:t> </w:t>
      </w:r>
      <w:r>
        <w:rPr/>
        <w:t>with Executive Stock Option (ESO) plans released in 2007 by the Brazilian stock market</w:t>
      </w:r>
      <w:r>
        <w:rPr>
          <w:spacing w:val="1"/>
        </w:rPr>
        <w:t> </w:t>
      </w:r>
      <w:r>
        <w:rPr/>
        <w:t>authority. Using 68 publicly traded firms, they found out that the firms disclosed very limited</w:t>
      </w:r>
      <w:r>
        <w:rPr>
          <w:spacing w:val="1"/>
        </w:rPr>
        <w:t> </w:t>
      </w:r>
      <w:r>
        <w:rPr/>
        <w:t>information about the ESO plans. Specifically, on average, the firms complied with 10 out of</w:t>
      </w:r>
      <w:r>
        <w:rPr>
          <w:spacing w:val="1"/>
        </w:rPr>
        <w:t> </w:t>
      </w:r>
      <w:r>
        <w:rPr/>
        <w:t>23</w:t>
      </w:r>
      <w:r>
        <w:rPr>
          <w:spacing w:val="-13"/>
        </w:rPr>
        <w:t> </w:t>
      </w:r>
      <w:r>
        <w:rPr/>
        <w:t>recommended</w:t>
      </w:r>
      <w:r>
        <w:rPr>
          <w:spacing w:val="-13"/>
        </w:rPr>
        <w:t> </w:t>
      </w:r>
      <w:r>
        <w:rPr/>
        <w:t>provisions.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contrast,</w:t>
      </w:r>
      <w:r>
        <w:rPr>
          <w:spacing w:val="-13"/>
        </w:rPr>
        <w:t> </w:t>
      </w:r>
      <w:r>
        <w:rPr/>
        <w:t>other</w:t>
      </w:r>
      <w:r>
        <w:rPr>
          <w:spacing w:val="-15"/>
        </w:rPr>
        <w:t> </w:t>
      </w:r>
      <w:r>
        <w:rPr/>
        <w:t>studies</w:t>
      </w:r>
      <w:r>
        <w:rPr>
          <w:spacing w:val="-13"/>
        </w:rPr>
        <w:t> </w:t>
      </w:r>
      <w:r>
        <w:rPr/>
        <w:t>found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relative</w:t>
      </w:r>
      <w:r>
        <w:rPr>
          <w:spacing w:val="-13"/>
        </w:rPr>
        <w:t> </w:t>
      </w:r>
      <w:r>
        <w:rPr/>
        <w:t>improvement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level</w:t>
      </w:r>
      <w:r>
        <w:rPr>
          <w:spacing w:val="-58"/>
        </w:rPr>
        <w:t> </w:t>
      </w:r>
      <w:r>
        <w:rPr/>
        <w:t>of compliance in some developing countries following the release of a corporate governance</w:t>
      </w:r>
      <w:r>
        <w:rPr>
          <w:spacing w:val="1"/>
        </w:rPr>
        <w:t> </w:t>
      </w:r>
      <w:r>
        <w:rPr/>
        <w:t>code.</w:t>
      </w:r>
    </w:p>
    <w:p>
      <w:pPr>
        <w:pStyle w:val="BodyText"/>
        <w:spacing w:line="480" w:lineRule="auto" w:before="201"/>
        <w:ind w:right="828"/>
      </w:pP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Alves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Mendes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publication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Portuguese</w:t>
      </w:r>
      <w:r>
        <w:rPr>
          <w:spacing w:val="1"/>
        </w:rPr>
        <w:t> </w:t>
      </w:r>
      <w:r>
        <w:rPr/>
        <w:t>Corporate Governance Code in 1999 led to a significant increase in the level of voluntary</w:t>
      </w:r>
      <w:r>
        <w:rPr>
          <w:spacing w:val="1"/>
        </w:rPr>
        <w:t> </w:t>
      </w:r>
      <w:r>
        <w:rPr/>
        <w:t>corporate disclosure. Similarly, when corporate</w:t>
      </w:r>
      <w:r>
        <w:rPr>
          <w:spacing w:val="1"/>
        </w:rPr>
        <w:t> </w:t>
      </w:r>
      <w:r>
        <w:rPr/>
        <w:t>governance principles</w:t>
      </w:r>
      <w:r>
        <w:rPr>
          <w:spacing w:val="1"/>
        </w:rPr>
        <w:t> </w:t>
      </w:r>
      <w:r>
        <w:rPr/>
        <w:t>were 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Kenya in 1999, there was a gradual increase in the level of compliance by all 54 listed firms</w:t>
      </w:r>
      <w:r>
        <w:rPr>
          <w:spacing w:val="1"/>
        </w:rPr>
        <w:t> </w:t>
      </w:r>
      <w:r>
        <w:rPr/>
        <w:t>(Barako et al., 2006). In the same vein, Chalevas (2011) discovered that compliance with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Greek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2003.</w:t>
      </w:r>
      <w:r>
        <w:rPr>
          <w:spacing w:val="1"/>
        </w:rPr>
        <w:t> </w:t>
      </w:r>
      <w:r>
        <w:rPr/>
        <w:t>Similarly, Ntim, Opong, Danbolt, and Thomas (2012) examined the influence of the King II</w:t>
      </w:r>
      <w:r>
        <w:rPr>
          <w:spacing w:val="1"/>
        </w:rPr>
        <w:t> </w:t>
      </w:r>
      <w:r>
        <w:rPr/>
        <w:t>Report on corporate governance practices in 169 South African listed firms. They constructed</w:t>
      </w:r>
      <w:r>
        <w:rPr>
          <w:spacing w:val="1"/>
        </w:rPr>
        <w:t> </w:t>
      </w:r>
      <w:r>
        <w:rPr/>
        <w:t>an</w:t>
      </w:r>
      <w:r>
        <w:rPr>
          <w:spacing w:val="4"/>
        </w:rPr>
        <w:t> </w:t>
      </w:r>
      <w:r>
        <w:rPr/>
        <w:t>index</w:t>
      </w:r>
      <w:r>
        <w:rPr>
          <w:spacing w:val="4"/>
        </w:rPr>
        <w:t> </w:t>
      </w:r>
      <w:r>
        <w:rPr/>
        <w:t>consisting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50</w:t>
      </w:r>
      <w:r>
        <w:rPr>
          <w:spacing w:val="4"/>
        </w:rPr>
        <w:t> </w:t>
      </w:r>
      <w:r>
        <w:rPr/>
        <w:t>corporate</w:t>
      </w:r>
      <w:r>
        <w:rPr>
          <w:spacing w:val="3"/>
        </w:rPr>
        <w:t> </w:t>
      </w:r>
      <w:r>
        <w:rPr/>
        <w:t>governance</w:t>
      </w:r>
      <w:r>
        <w:rPr>
          <w:spacing w:val="3"/>
        </w:rPr>
        <w:t> </w:t>
      </w:r>
      <w:r>
        <w:rPr/>
        <w:t>provisions.</w:t>
      </w:r>
      <w:r>
        <w:rPr>
          <w:spacing w:val="4"/>
        </w:rPr>
        <w:t> </w:t>
      </w:r>
      <w:r>
        <w:rPr/>
        <w:t>Their</w:t>
      </w:r>
      <w:r>
        <w:rPr>
          <w:spacing w:val="4"/>
        </w:rPr>
        <w:t> </w:t>
      </w:r>
      <w:r>
        <w:rPr/>
        <w:t>results</w:t>
      </w:r>
      <w:r>
        <w:rPr>
          <w:spacing w:val="4"/>
        </w:rPr>
        <w:t> </w:t>
      </w:r>
      <w:r>
        <w:rPr/>
        <w:t>suggested</w:t>
      </w:r>
      <w:r>
        <w:rPr>
          <w:spacing w:val="4"/>
        </w:rPr>
        <w:t> </w:t>
      </w:r>
      <w:r>
        <w:rPr/>
        <w:t>that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4"/>
      </w:pPr>
      <w:r>
        <w:rPr/>
        <w:t>corporate</w:t>
      </w:r>
      <w:r>
        <w:rPr>
          <w:spacing w:val="-5"/>
        </w:rPr>
        <w:t> </w:t>
      </w:r>
      <w:r>
        <w:rPr/>
        <w:t>governance</w:t>
      </w:r>
      <w:r>
        <w:rPr>
          <w:spacing w:val="-4"/>
        </w:rPr>
        <w:t> </w:t>
      </w:r>
      <w:r>
        <w:rPr/>
        <w:t>standards</w:t>
      </w:r>
      <w:r>
        <w:rPr>
          <w:spacing w:val="-4"/>
        </w:rPr>
        <w:t> </w:t>
      </w:r>
      <w:r>
        <w:rPr/>
        <w:t>had</w:t>
      </w:r>
      <w:r>
        <w:rPr>
          <w:spacing w:val="-4"/>
        </w:rPr>
        <w:t> </w:t>
      </w:r>
      <w:r>
        <w:rPr/>
        <w:t>generally</w:t>
      </w:r>
      <w:r>
        <w:rPr>
          <w:spacing w:val="-4"/>
        </w:rPr>
        <w:t> </w:t>
      </w:r>
      <w:r>
        <w:rPr/>
        <w:t>improved</w:t>
      </w:r>
      <w:r>
        <w:rPr>
          <w:spacing w:val="-4"/>
        </w:rPr>
        <w:t> </w:t>
      </w:r>
      <w:r>
        <w:rPr/>
        <w:t>since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release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report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2002.</w:t>
      </w:r>
      <w:r>
        <w:rPr>
          <w:spacing w:val="-58"/>
        </w:rPr>
        <w:t> </w:t>
      </w:r>
      <w:r>
        <w:rPr/>
        <w:t>More</w:t>
      </w:r>
      <w:r>
        <w:rPr>
          <w:spacing w:val="-3"/>
        </w:rPr>
        <w:t> </w:t>
      </w:r>
      <w:r>
        <w:rPr/>
        <w:t>precisely, the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of compliance</w:t>
      </w:r>
      <w:r>
        <w:rPr>
          <w:spacing w:val="-2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from 47%</w:t>
      </w:r>
      <w:r>
        <w:rPr>
          <w:spacing w:val="-1"/>
        </w:rPr>
        <w:t> </w:t>
      </w:r>
      <w:r>
        <w:rPr/>
        <w:t>in 2002 to</w:t>
      </w:r>
      <w:r>
        <w:rPr>
          <w:spacing w:val="-1"/>
        </w:rPr>
        <w:t> </w:t>
      </w:r>
      <w:r>
        <w:rPr/>
        <w:t>69%</w:t>
      </w:r>
      <w:r>
        <w:rPr>
          <w:spacing w:val="-1"/>
        </w:rPr>
        <w:t> </w:t>
      </w:r>
      <w:r>
        <w:rPr/>
        <w:t>in 2006.</w:t>
      </w:r>
    </w:p>
    <w:p>
      <w:pPr>
        <w:pStyle w:val="BodyText"/>
        <w:spacing w:line="480" w:lineRule="auto" w:before="202"/>
        <w:ind w:right="826"/>
      </w:pPr>
      <w:r>
        <w:rPr/>
        <w:drawing>
          <wp:anchor distT="0" distB="0" distL="0" distR="0" allowOverlap="1" layoutInCell="1" locked="0" behindDoc="1" simplePos="0" relativeHeight="454010368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Islam (2010) examined the CG practices in the listed financial public limited ten companies in</w:t>
      </w:r>
      <w:r>
        <w:rPr>
          <w:spacing w:val="-57"/>
        </w:rPr>
        <w:t> </w:t>
      </w:r>
      <w:r>
        <w:rPr/>
        <w:t>‘Bangladesh’ by considering 30 disclosure items. A CG disclosure index (CGDI) has been</w:t>
      </w:r>
      <w:r>
        <w:rPr>
          <w:spacing w:val="1"/>
        </w:rPr>
        <w:t> </w:t>
      </w:r>
      <w:r>
        <w:rPr/>
        <w:t>computed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hypotheses</w:t>
      </w:r>
      <w:r>
        <w:rPr>
          <w:spacing w:val="-6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2"/>
        </w:rPr>
        <w:t> </w:t>
      </w:r>
      <w:r>
        <w:rPr/>
        <w:t>tested.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multiple</w:t>
      </w:r>
      <w:r>
        <w:rPr>
          <w:spacing w:val="-5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showed</w:t>
      </w:r>
      <w:r>
        <w:rPr>
          <w:spacing w:val="-57"/>
        </w:rPr>
        <w:t> </w:t>
      </w:r>
      <w:r>
        <w:rPr/>
        <w:t>that</w:t>
      </w:r>
      <w:r>
        <w:rPr>
          <w:spacing w:val="-4"/>
        </w:rPr>
        <w:t> </w:t>
      </w:r>
      <w:r>
        <w:rPr/>
        <w:t>“CGDI</w:t>
      </w:r>
      <w:r>
        <w:rPr>
          <w:spacing w:val="-7"/>
        </w:rPr>
        <w:t> </w:t>
      </w:r>
      <w:r>
        <w:rPr/>
        <w:t>is</w:t>
      </w:r>
      <w:r>
        <w:rPr>
          <w:spacing w:val="-3"/>
        </w:rPr>
        <w:t> </w:t>
      </w:r>
      <w:r>
        <w:rPr/>
        <w:t>significantly</w:t>
      </w:r>
      <w:r>
        <w:rPr>
          <w:spacing w:val="-3"/>
        </w:rPr>
        <w:t> </w:t>
      </w:r>
      <w:r>
        <w:rPr/>
        <w:t>influenced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log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net</w:t>
      </w:r>
      <w:r>
        <w:rPr>
          <w:spacing w:val="-3"/>
        </w:rPr>
        <w:t> </w:t>
      </w:r>
      <w:r>
        <w:rPr/>
        <w:t>asset</w:t>
      </w:r>
      <w:r>
        <w:rPr>
          <w:spacing w:val="-3"/>
        </w:rPr>
        <w:t> </w:t>
      </w:r>
      <w:r>
        <w:rPr/>
        <w:t>value,</w:t>
      </w:r>
      <w:r>
        <w:rPr>
          <w:spacing w:val="-4"/>
        </w:rPr>
        <w:t> </w:t>
      </w:r>
      <w:r>
        <w:rPr/>
        <w:t>EPS,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size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board.</w:t>
      </w:r>
      <w:r>
        <w:rPr>
          <w:spacing w:val="-58"/>
        </w:rPr>
        <w:t> </w:t>
      </w:r>
      <w:r>
        <w:rPr/>
        <w:t>Age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stock</w:t>
      </w:r>
      <w:r>
        <w:rPr>
          <w:spacing w:val="-11"/>
        </w:rPr>
        <w:t> </w:t>
      </w:r>
      <w:r>
        <w:rPr/>
        <w:t>allotment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not</w:t>
      </w:r>
      <w:r>
        <w:rPr>
          <w:spacing w:val="-11"/>
        </w:rPr>
        <w:t> </w:t>
      </w:r>
      <w:r>
        <w:rPr/>
        <w:t>found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have</w:t>
      </w:r>
      <w:r>
        <w:rPr>
          <w:spacing w:val="-11"/>
        </w:rPr>
        <w:t> </w:t>
      </w:r>
      <w:r>
        <w:rPr/>
        <w:t>any</w:t>
      </w:r>
      <w:r>
        <w:rPr>
          <w:spacing w:val="-11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impact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CG</w:t>
      </w:r>
      <w:r>
        <w:rPr>
          <w:spacing w:val="-9"/>
        </w:rPr>
        <w:t> </w:t>
      </w:r>
      <w:r>
        <w:rPr/>
        <w:t>disclosure.</w:t>
      </w:r>
      <w:r>
        <w:rPr>
          <w:spacing w:val="-12"/>
        </w:rPr>
        <w:t> </w:t>
      </w:r>
      <w:r>
        <w:rPr/>
        <w:t>Elsayed</w:t>
      </w:r>
      <w:r>
        <w:rPr>
          <w:spacing w:val="-58"/>
        </w:rPr>
        <w:t> </w:t>
      </w:r>
      <w:r>
        <w:rPr/>
        <w:t>and Hoque (2010), as part of study, identified a set of perceived international ‘environmental</w:t>
      </w:r>
      <w:r>
        <w:rPr>
          <w:spacing w:val="1"/>
        </w:rPr>
        <w:t> </w:t>
      </w:r>
      <w:r>
        <w:rPr/>
        <w:t>factors’ and examined how these factors influence a corporation’s voluntary disclosure levels.</w:t>
      </w:r>
      <w:r>
        <w:rPr>
          <w:spacing w:val="-57"/>
        </w:rPr>
        <w:t> </w:t>
      </w:r>
      <w:r>
        <w:rPr/>
        <w:t>Based on the data collected from 100 ‘Egyptian’ non-financial listed companies, the results of</w:t>
      </w:r>
      <w:r>
        <w:rPr>
          <w:spacing w:val="-57"/>
        </w:rPr>
        <w:t> </w:t>
      </w:r>
      <w:r>
        <w:rPr/>
        <w:t>multiple- Voluntary corporate governance disclosures in the annual reports regression analysis</w:t>
      </w:r>
      <w:r>
        <w:rPr>
          <w:spacing w:val="-57"/>
        </w:rPr>
        <w:t> </w:t>
      </w:r>
      <w:r>
        <w:rPr/>
        <w:t>indicated that “the level of a corporation’s voluntary disclosure is positively and significantly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its</w:t>
      </w:r>
      <w:r>
        <w:rPr>
          <w:spacing w:val="-1"/>
        </w:rPr>
        <w:t> </w:t>
      </w:r>
      <w:r>
        <w:rPr/>
        <w:t>perceived influence.”</w:t>
      </w:r>
    </w:p>
    <w:p>
      <w:pPr>
        <w:pStyle w:val="BodyText"/>
        <w:spacing w:line="480" w:lineRule="auto" w:before="201"/>
        <w:ind w:right="828"/>
      </w:pPr>
      <w:r>
        <w:rPr/>
        <w:t>Moreover, Zhang, Li and Zhang, (2011) in their ‘Chinese’ study empirically analysed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CG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disclosure of companies’ information, with data of Chinese electronic listed companies. Their</w:t>
      </w:r>
      <w:r>
        <w:rPr>
          <w:spacing w:val="1"/>
        </w:rPr>
        <w:t> </w:t>
      </w:r>
      <w:r>
        <w:rPr>
          <w:spacing w:val="-1"/>
        </w:rPr>
        <w:t>findings</w:t>
      </w:r>
      <w:r>
        <w:rPr>
          <w:spacing w:val="-14"/>
        </w:rPr>
        <w:t> </w:t>
      </w:r>
      <w:r>
        <w:rPr>
          <w:spacing w:val="-1"/>
        </w:rPr>
        <w:t>suggested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share</w:t>
      </w:r>
      <w:r>
        <w:rPr>
          <w:spacing w:val="-17"/>
        </w:rPr>
        <w:t> </w:t>
      </w:r>
      <w:r>
        <w:rPr/>
        <w:t>ratio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circulation</w:t>
      </w:r>
      <w:r>
        <w:rPr>
          <w:spacing w:val="-14"/>
        </w:rPr>
        <w:t> </w:t>
      </w:r>
      <w:r>
        <w:rPr/>
        <w:t>stock,</w:t>
      </w:r>
      <w:r>
        <w:rPr>
          <w:spacing w:val="-15"/>
        </w:rPr>
        <w:t> </w:t>
      </w:r>
      <w:r>
        <w:rPr/>
        <w:t>percentages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independent</w:t>
      </w:r>
      <w:r>
        <w:rPr>
          <w:spacing w:val="-14"/>
        </w:rPr>
        <w:t> </w:t>
      </w:r>
      <w:r>
        <w:rPr/>
        <w:t>directors,</w:t>
      </w:r>
      <w:r>
        <w:rPr>
          <w:spacing w:val="-57"/>
        </w:rPr>
        <w:t> </w:t>
      </w:r>
      <w:r>
        <w:rPr>
          <w:spacing w:val="-1"/>
        </w:rPr>
        <w:t>separation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/>
        <w:t>chairman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board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CEO,</w:t>
      </w:r>
      <w:r>
        <w:rPr>
          <w:spacing w:val="-13"/>
        </w:rPr>
        <w:t> </w:t>
      </w:r>
      <w:r>
        <w:rPr/>
        <w:t>corporation</w:t>
      </w:r>
      <w:r>
        <w:rPr>
          <w:spacing w:val="-15"/>
        </w:rPr>
        <w:t> </w:t>
      </w:r>
      <w:r>
        <w:rPr/>
        <w:t>size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profitability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positively</w:t>
      </w:r>
      <w:r>
        <w:rPr>
          <w:spacing w:val="-1"/>
        </w:rPr>
        <w:t> </w:t>
      </w:r>
      <w:r>
        <w:rPr/>
        <w:t>related to voluntary disclosure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spacing w:line="480" w:lineRule="auto" w:before="200"/>
        <w:ind w:right="828"/>
      </w:pPr>
      <w:r>
        <w:rPr/>
        <w:t>Rouf’s (2011) study was based on a sample of 120 listed non-financial companies in ‘Dhaka’</w:t>
      </w:r>
      <w:r>
        <w:rPr>
          <w:spacing w:val="1"/>
        </w:rPr>
        <w:t> </w:t>
      </w:r>
      <w:r>
        <w:rPr/>
        <w:t>Stock Exchanges in 2007. He used ordinary least-squares regression model to examine the</w:t>
      </w:r>
      <w:r>
        <w:rPr>
          <w:spacing w:val="1"/>
        </w:rPr>
        <w:t> </w:t>
      </w:r>
      <w:r>
        <w:rPr/>
        <w:t>relationship between explanatory variables and voluntary disclosure. Using an unweighted</w:t>
      </w:r>
      <w:r>
        <w:rPr>
          <w:spacing w:val="1"/>
        </w:rPr>
        <w:t> </w:t>
      </w:r>
      <w:r>
        <w:rPr/>
        <w:t>relative</w:t>
      </w:r>
      <w:r>
        <w:rPr>
          <w:spacing w:val="-12"/>
        </w:rPr>
        <w:t> </w:t>
      </w:r>
      <w:r>
        <w:rPr/>
        <w:t>disclosure</w:t>
      </w:r>
      <w:r>
        <w:rPr>
          <w:spacing w:val="-12"/>
        </w:rPr>
        <w:t> </w:t>
      </w:r>
      <w:r>
        <w:rPr/>
        <w:t>index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measuring</w:t>
      </w:r>
      <w:r>
        <w:rPr>
          <w:spacing w:val="-11"/>
        </w:rPr>
        <w:t> </w:t>
      </w:r>
      <w:r>
        <w:rPr/>
        <w:t>voluntary</w:t>
      </w:r>
      <w:r>
        <w:rPr>
          <w:spacing w:val="-11"/>
        </w:rPr>
        <w:t> </w:t>
      </w:r>
      <w:r>
        <w:rPr/>
        <w:t>disclosure,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empirical</w:t>
      </w:r>
      <w:r>
        <w:rPr>
          <w:spacing w:val="-9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indicated</w:t>
      </w:r>
      <w:r>
        <w:rPr>
          <w:spacing w:val="-12"/>
        </w:rPr>
        <w:t> </w:t>
      </w:r>
      <w:r>
        <w:rPr/>
        <w:t>that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t>“a</w:t>
      </w:r>
      <w:r>
        <w:rPr>
          <w:spacing w:val="-5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association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size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voluntary</w:t>
      </w:r>
      <w:r>
        <w:rPr>
          <w:spacing w:val="-4"/>
        </w:rPr>
        <w:t> </w:t>
      </w:r>
      <w:r>
        <w:rPr/>
        <w:t>disclosure,</w:t>
      </w:r>
      <w:r>
        <w:rPr>
          <w:spacing w:val="2"/>
        </w:rPr>
        <w:t> </w:t>
      </w:r>
      <w:r>
        <w:rPr/>
        <w:t>board</w:t>
      </w:r>
      <w:r>
        <w:rPr>
          <w:spacing w:val="-1"/>
        </w:rPr>
        <w:t> </w:t>
      </w:r>
      <w:r>
        <w:rPr/>
        <w:t>leadership</w:t>
      </w:r>
      <w:r>
        <w:rPr>
          <w:spacing w:val="-4"/>
        </w:rPr>
        <w:t> </w:t>
      </w:r>
      <w:r>
        <w:rPr/>
        <w:t>structure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voluntary disclosure and between</w:t>
      </w:r>
      <w:r>
        <w:rPr>
          <w:spacing w:val="-1"/>
        </w:rPr>
        <w:t> </w:t>
      </w:r>
      <w:r>
        <w:rPr/>
        <w:t>board</w:t>
      </w:r>
      <w:r>
        <w:rPr>
          <w:spacing w:val="1"/>
        </w:rPr>
        <w:t> </w:t>
      </w:r>
      <w:r>
        <w:rPr/>
        <w:t>audit</w:t>
      </w:r>
      <w:r>
        <w:rPr>
          <w:spacing w:val="-1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disclosure”.</w:t>
      </w:r>
    </w:p>
    <w:p>
      <w:pPr>
        <w:pStyle w:val="BodyText"/>
        <w:spacing w:line="480" w:lineRule="auto" w:before="202"/>
        <w:ind w:right="826"/>
      </w:pPr>
      <w:r>
        <w:rPr/>
        <w:drawing>
          <wp:anchor distT="0" distB="0" distL="0" distR="0" allowOverlap="1" layoutInCell="1" locked="0" behindDoc="1" simplePos="0" relativeHeight="454010880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Ntim et al. (2012), constructed a broad VCGD index containing 50 CG provisions from the</w:t>
      </w:r>
      <w:r>
        <w:rPr>
          <w:spacing w:val="1"/>
        </w:rPr>
        <w:t> </w:t>
      </w:r>
      <w:r>
        <w:rPr/>
        <w:t>2002</w:t>
      </w:r>
      <w:r>
        <w:rPr>
          <w:spacing w:val="-12"/>
        </w:rPr>
        <w:t> </w:t>
      </w:r>
      <w:r>
        <w:rPr/>
        <w:t>King</w:t>
      </w:r>
      <w:r>
        <w:rPr>
          <w:spacing w:val="-11"/>
        </w:rPr>
        <w:t> </w:t>
      </w:r>
      <w:r>
        <w:rPr/>
        <w:t>Report</w:t>
      </w:r>
      <w:r>
        <w:rPr>
          <w:spacing w:val="-11"/>
        </w:rPr>
        <w:t> </w:t>
      </w:r>
      <w:r>
        <w:rPr/>
        <w:t>using</w:t>
      </w:r>
      <w:r>
        <w:rPr>
          <w:spacing w:val="-11"/>
        </w:rPr>
        <w:t> </w:t>
      </w:r>
      <w:r>
        <w:rPr/>
        <w:t>a</w:t>
      </w:r>
      <w:r>
        <w:rPr>
          <w:spacing w:val="-14"/>
        </w:rPr>
        <w:t> </w:t>
      </w:r>
      <w:r>
        <w:rPr/>
        <w:t>sample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169</w:t>
      </w:r>
      <w:r>
        <w:rPr>
          <w:spacing w:val="-11"/>
        </w:rPr>
        <w:t> </w:t>
      </w:r>
      <w:r>
        <w:rPr/>
        <w:t>‘South</w:t>
      </w:r>
      <w:r>
        <w:rPr>
          <w:spacing w:val="-11"/>
        </w:rPr>
        <w:t> </w:t>
      </w:r>
      <w:r>
        <w:rPr/>
        <w:t>African’</w:t>
      </w:r>
      <w:r>
        <w:rPr>
          <w:spacing w:val="-12"/>
        </w:rPr>
        <w:t> </w:t>
      </w:r>
      <w:r>
        <w:rPr/>
        <w:t>listed</w:t>
      </w:r>
      <w:r>
        <w:rPr>
          <w:spacing w:val="-11"/>
        </w:rPr>
        <w:t> </w:t>
      </w:r>
      <w:r>
        <w:rPr/>
        <w:t>corporations</w:t>
      </w:r>
      <w:r>
        <w:rPr>
          <w:spacing w:val="-7"/>
        </w:rPr>
        <w:t> </w:t>
      </w:r>
      <w:r>
        <w:rPr/>
        <w:t>from</w:t>
      </w:r>
      <w:r>
        <w:rPr>
          <w:spacing w:val="-12"/>
        </w:rPr>
        <w:t> </w:t>
      </w:r>
      <w:r>
        <w:rPr/>
        <w:t>2002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2006.</w:t>
      </w:r>
      <w:r>
        <w:rPr>
          <w:spacing w:val="-57"/>
        </w:rPr>
        <w:t> </w:t>
      </w:r>
      <w:r>
        <w:rPr/>
        <w:t>The authors concluded that “block ownership is negatively associated with voluntary CG</w:t>
      </w:r>
      <w:r>
        <w:rPr>
          <w:spacing w:val="1"/>
        </w:rPr>
        <w:t> </w:t>
      </w:r>
      <w:r>
        <w:rPr/>
        <w:t>disclosure, while board size, audit firm size, cross-listing, the presence of a CG committee,</w:t>
      </w:r>
      <w:r>
        <w:rPr>
          <w:spacing w:val="1"/>
        </w:rPr>
        <w:t> </w:t>
      </w:r>
      <w:r>
        <w:rPr/>
        <w:t>government ownership and institutional ownership are positively related to voluntary CG</w:t>
      </w:r>
      <w:r>
        <w:rPr>
          <w:spacing w:val="1"/>
        </w:rPr>
        <w:t> </w:t>
      </w:r>
      <w:r>
        <w:rPr/>
        <w:t>disclosure”.</w:t>
      </w:r>
    </w:p>
    <w:p>
      <w:pPr>
        <w:pStyle w:val="BodyText"/>
        <w:spacing w:line="480" w:lineRule="auto" w:before="200"/>
        <w:ind w:right="827"/>
      </w:pPr>
      <w:r>
        <w:rPr/>
        <w:t>A study performed by Al-Moataz and Hussainey (2012), examined the relation between some</w:t>
      </w:r>
      <w:r>
        <w:rPr>
          <w:spacing w:val="1"/>
        </w:rPr>
        <w:t> </w:t>
      </w:r>
      <w:r>
        <w:rPr/>
        <w:t>corporate governance (CG) mechanisms and the disclosure-level of CG information in the</w:t>
      </w:r>
      <w:r>
        <w:rPr>
          <w:spacing w:val="1"/>
        </w:rPr>
        <w:t> </w:t>
      </w:r>
      <w:r>
        <w:rPr/>
        <w:t>‘Saudi</w:t>
      </w:r>
      <w:r>
        <w:rPr>
          <w:spacing w:val="-7"/>
        </w:rPr>
        <w:t> </w:t>
      </w:r>
      <w:r>
        <w:rPr/>
        <w:t>Arabian’</w:t>
      </w:r>
      <w:r>
        <w:rPr>
          <w:spacing w:val="-7"/>
        </w:rPr>
        <w:t> </w:t>
      </w:r>
      <w:r>
        <w:rPr/>
        <w:t>listed</w:t>
      </w:r>
      <w:r>
        <w:rPr>
          <w:spacing w:val="-5"/>
        </w:rPr>
        <w:t> </w:t>
      </w:r>
      <w:r>
        <w:rPr/>
        <w:t>companies.</w:t>
      </w:r>
      <w:r>
        <w:rPr>
          <w:spacing w:val="-6"/>
        </w:rPr>
        <w:t> </w:t>
      </w:r>
      <w:r>
        <w:rPr/>
        <w:t>Using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sample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97</w:t>
      </w:r>
      <w:r>
        <w:rPr>
          <w:spacing w:val="-6"/>
        </w:rPr>
        <w:t> </w:t>
      </w:r>
      <w:r>
        <w:rPr/>
        <w:t>financial</w:t>
      </w:r>
      <w:r>
        <w:rPr>
          <w:spacing w:val="-4"/>
        </w:rPr>
        <w:t> </w:t>
      </w:r>
      <w:r>
        <w:rPr/>
        <w:t>reports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accounts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listed</w:t>
      </w:r>
      <w:r>
        <w:rPr>
          <w:spacing w:val="-58"/>
        </w:rPr>
        <w:t> </w:t>
      </w:r>
      <w:r>
        <w:rPr>
          <w:spacing w:val="-1"/>
        </w:rPr>
        <w:t>companies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2006</w:t>
      </w:r>
      <w:r>
        <w:rPr>
          <w:spacing w:val="-15"/>
        </w:rPr>
        <w:t> </w:t>
      </w:r>
      <w:r>
        <w:rPr/>
        <w:t>and</w:t>
      </w:r>
      <w:r>
        <w:rPr>
          <w:spacing w:val="-14"/>
        </w:rPr>
        <w:t> </w:t>
      </w:r>
      <w:r>
        <w:rPr/>
        <w:t>2007,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study</w:t>
      </w:r>
      <w:r>
        <w:rPr>
          <w:spacing w:val="-14"/>
        </w:rPr>
        <w:t> </w:t>
      </w:r>
      <w:r>
        <w:rPr/>
        <w:t>used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content</w:t>
      </w:r>
      <w:r>
        <w:rPr>
          <w:spacing w:val="-15"/>
        </w:rPr>
        <w:t> </w:t>
      </w:r>
      <w:r>
        <w:rPr/>
        <w:t>analysis</w:t>
      </w:r>
      <w:r>
        <w:rPr>
          <w:spacing w:val="-15"/>
        </w:rPr>
        <w:t> </w:t>
      </w:r>
      <w:r>
        <w:rPr/>
        <w:t>approach</w:t>
      </w:r>
      <w:r>
        <w:rPr>
          <w:spacing w:val="-15"/>
        </w:rPr>
        <w:t> </w:t>
      </w:r>
      <w:r>
        <w:rPr/>
        <w:t>to</w:t>
      </w:r>
      <w:r>
        <w:rPr>
          <w:spacing w:val="-11"/>
        </w:rPr>
        <w:t> </w:t>
      </w:r>
      <w:r>
        <w:rPr/>
        <w:t>analyse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content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reports.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audit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profitability,</w:t>
      </w:r>
      <w:r>
        <w:rPr>
          <w:spacing w:val="-6"/>
        </w:rPr>
        <w:t> </w:t>
      </w:r>
      <w:r>
        <w:rPr/>
        <w:t>liquidity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gearing</w:t>
      </w:r>
      <w:r>
        <w:rPr>
          <w:spacing w:val="-4"/>
        </w:rPr>
        <w:t> </w:t>
      </w:r>
      <w:r>
        <w:rPr/>
        <w:t>are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main</w:t>
      </w:r>
      <w:r>
        <w:rPr>
          <w:spacing w:val="-4"/>
        </w:rPr>
        <w:t> </w:t>
      </w:r>
      <w:r>
        <w:rPr/>
        <w:t>determinants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CG</w:t>
      </w:r>
      <w:r>
        <w:rPr>
          <w:spacing w:val="-7"/>
        </w:rPr>
        <w:t> </w:t>
      </w:r>
      <w:r>
        <w:rPr/>
        <w:t>disclosure</w:t>
      </w:r>
      <w:r>
        <w:rPr>
          <w:spacing w:val="-7"/>
        </w:rPr>
        <w:t> </w:t>
      </w:r>
      <w:r>
        <w:rPr/>
        <w:t>in</w:t>
      </w:r>
      <w:r>
        <w:rPr>
          <w:spacing w:val="-3"/>
        </w:rPr>
        <w:t> </w:t>
      </w:r>
      <w:r>
        <w:rPr/>
        <w:t>Saudi</w:t>
      </w:r>
      <w:r>
        <w:rPr>
          <w:spacing w:val="-5"/>
        </w:rPr>
        <w:t> </w:t>
      </w:r>
      <w:r>
        <w:rPr/>
        <w:t>Arabia.</w:t>
      </w:r>
      <w:r>
        <w:rPr>
          <w:spacing w:val="-58"/>
        </w:rPr>
        <w:t> </w:t>
      </w:r>
      <w:r>
        <w:rPr/>
        <w:t>They</w:t>
      </w:r>
      <w:r>
        <w:rPr>
          <w:spacing w:val="-4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find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statistically</w:t>
      </w:r>
      <w:r>
        <w:rPr>
          <w:spacing w:val="-4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association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firm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CG</w:t>
      </w:r>
      <w:r>
        <w:rPr>
          <w:spacing w:val="-4"/>
        </w:rPr>
        <w:t> </w:t>
      </w:r>
      <w:r>
        <w:rPr/>
        <w:t>disclosure.</w:t>
      </w:r>
      <w:r>
        <w:rPr>
          <w:spacing w:val="-57"/>
        </w:rPr>
        <w:t> </w:t>
      </w:r>
      <w:r>
        <w:rPr/>
        <w:t>There</w:t>
      </w:r>
      <w:r>
        <w:rPr>
          <w:spacing w:val="-6"/>
        </w:rPr>
        <w:t> </w:t>
      </w:r>
      <w:r>
        <w:rPr/>
        <w:t>is</w:t>
      </w:r>
      <w:r>
        <w:rPr>
          <w:spacing w:val="-3"/>
        </w:rPr>
        <w:t> </w:t>
      </w:r>
      <w:r>
        <w:rPr/>
        <w:t>no</w:t>
      </w:r>
      <w:r>
        <w:rPr>
          <w:spacing w:val="-4"/>
        </w:rPr>
        <w:t> </w:t>
      </w:r>
      <w:r>
        <w:rPr/>
        <w:t>denying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fact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transparency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an</w:t>
      </w:r>
      <w:r>
        <w:rPr>
          <w:spacing w:val="-4"/>
        </w:rPr>
        <w:t> </w:t>
      </w:r>
      <w:r>
        <w:rPr/>
        <w:t>important</w:t>
      </w:r>
      <w:r>
        <w:rPr>
          <w:spacing w:val="-1"/>
        </w:rPr>
        <w:t> </w:t>
      </w:r>
      <w:r>
        <w:rPr/>
        <w:t>component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well-functioning</w:t>
      </w:r>
      <w:r>
        <w:rPr>
          <w:spacing w:val="-58"/>
        </w:rPr>
        <w:t> </w:t>
      </w:r>
      <w:r>
        <w:rPr/>
        <w:t>system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CG.</w:t>
      </w:r>
      <w:r>
        <w:rPr>
          <w:spacing w:val="-8"/>
        </w:rPr>
        <w:t> </w:t>
      </w:r>
      <w:r>
        <w:rPr/>
        <w:t>Even</w:t>
      </w:r>
      <w:r>
        <w:rPr>
          <w:spacing w:val="-8"/>
        </w:rPr>
        <w:t> </w:t>
      </w:r>
      <w:r>
        <w:rPr/>
        <w:t>though,</w:t>
      </w:r>
      <w:r>
        <w:rPr>
          <w:spacing w:val="-8"/>
        </w:rPr>
        <w:t> </w:t>
      </w:r>
      <w:r>
        <w:rPr/>
        <w:t>most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developing</w:t>
      </w:r>
      <w:r>
        <w:rPr>
          <w:spacing w:val="-8"/>
        </w:rPr>
        <w:t> </w:t>
      </w:r>
      <w:r>
        <w:rPr/>
        <w:t>countries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have</w:t>
      </w:r>
      <w:r>
        <w:rPr>
          <w:spacing w:val="-9"/>
        </w:rPr>
        <w:t> </w:t>
      </w:r>
      <w:r>
        <w:rPr/>
        <w:t>strong</w:t>
      </w:r>
      <w:r>
        <w:rPr>
          <w:spacing w:val="-8"/>
        </w:rPr>
        <w:t> </w:t>
      </w:r>
      <w:r>
        <w:rPr/>
        <w:t>policy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CG,</w:t>
      </w:r>
      <w:r>
        <w:rPr>
          <w:spacing w:val="-57"/>
        </w:rPr>
        <w:t> </w:t>
      </w:r>
      <w:r>
        <w:rPr/>
        <w:t>India as a developing country has not fallen behind. They found a limited number of studies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looked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CG</w:t>
      </w:r>
      <w:r>
        <w:rPr>
          <w:spacing w:val="-2"/>
        </w:rPr>
        <w:t> </w:t>
      </w:r>
      <w:r>
        <w:rPr/>
        <w:t>disclosure</w:t>
      </w:r>
      <w:r>
        <w:rPr>
          <w:spacing w:val="-3"/>
        </w:rPr>
        <w:t> </w:t>
      </w:r>
      <w:r>
        <w:rPr/>
        <w:t>practices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Indian</w:t>
      </w:r>
      <w:r>
        <w:rPr>
          <w:spacing w:val="2"/>
        </w:rPr>
        <w:t> </w:t>
      </w:r>
      <w:r>
        <w:rPr/>
        <w:t>companies,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relevance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our study.</w:t>
      </w:r>
    </w:p>
    <w:p>
      <w:pPr>
        <w:pStyle w:val="BodyText"/>
        <w:spacing w:line="480" w:lineRule="auto" w:before="201"/>
        <w:ind w:right="831"/>
      </w:pPr>
      <w:r>
        <w:rPr/>
        <w:t>Gupta, Nair and Gogula (2003) analysed the CG reporting practices of 30 selected Indian</w:t>
      </w:r>
      <w:r>
        <w:rPr>
          <w:spacing w:val="1"/>
        </w:rPr>
        <w:t> </w:t>
      </w:r>
      <w:r>
        <w:rPr/>
        <w:t>corporations listed in BSE. The CG section of the annual reports for the years 2001–2002 and</w:t>
      </w:r>
      <w:r>
        <w:rPr>
          <w:spacing w:val="1"/>
        </w:rPr>
        <w:t> </w:t>
      </w:r>
      <w:r>
        <w:rPr/>
        <w:t>2002–2003 had been analysed with the content analysis, and least square regression technique</w:t>
      </w:r>
      <w:r>
        <w:rPr>
          <w:spacing w:val="-57"/>
        </w:rPr>
        <w:t> </w:t>
      </w:r>
      <w:r>
        <w:rPr/>
        <w:t>was used for data analysis. Their study found variations in the reporting practices of the</w:t>
      </w:r>
      <w:r>
        <w:rPr>
          <w:spacing w:val="1"/>
        </w:rPr>
        <w:t> </w:t>
      </w:r>
      <w:r>
        <w:rPr/>
        <w:t>corporations,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in</w:t>
      </w:r>
      <w:r>
        <w:rPr>
          <w:spacing w:val="49"/>
        </w:rPr>
        <w:t> </w:t>
      </w:r>
      <w:r>
        <w:rPr/>
        <w:t>certain</w:t>
      </w:r>
      <w:r>
        <w:rPr>
          <w:spacing w:val="46"/>
        </w:rPr>
        <w:t> </w:t>
      </w:r>
      <w:r>
        <w:rPr/>
        <w:t>cases,</w:t>
      </w:r>
      <w:r>
        <w:rPr>
          <w:spacing w:val="49"/>
        </w:rPr>
        <w:t> </w:t>
      </w:r>
      <w:r>
        <w:rPr/>
        <w:t>omission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mandatory</w:t>
      </w:r>
      <w:r>
        <w:rPr>
          <w:spacing w:val="50"/>
        </w:rPr>
        <w:t> </w:t>
      </w:r>
      <w:r>
        <w:rPr/>
        <w:t>requirements</w:t>
      </w:r>
      <w:r>
        <w:rPr>
          <w:spacing w:val="48"/>
        </w:rPr>
        <w:t> </w:t>
      </w:r>
      <w:r>
        <w:rPr/>
        <w:t>as</w:t>
      </w:r>
      <w:r>
        <w:rPr>
          <w:spacing w:val="47"/>
        </w:rPr>
        <w:t> </w:t>
      </w:r>
      <w:r>
        <w:rPr/>
        <w:t>per</w:t>
      </w:r>
      <w:r>
        <w:rPr>
          <w:spacing w:val="48"/>
        </w:rPr>
        <w:t> </w:t>
      </w:r>
      <w:r>
        <w:rPr/>
        <w:t>clause</w:t>
      </w:r>
      <w:r>
        <w:rPr>
          <w:spacing w:val="46"/>
        </w:rPr>
        <w:t> </w:t>
      </w:r>
      <w:r>
        <w:rPr/>
        <w:t>49.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1139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Similarly,</w:t>
      </w:r>
      <w:r>
        <w:rPr>
          <w:spacing w:val="-14"/>
        </w:rPr>
        <w:t> </w:t>
      </w:r>
      <w:r>
        <w:rPr/>
        <w:t>Bhattacharyya</w:t>
      </w:r>
      <w:r>
        <w:rPr>
          <w:spacing w:val="-10"/>
        </w:rPr>
        <w:t> </w:t>
      </w:r>
      <w:r>
        <w:rPr/>
        <w:t>and</w:t>
      </w:r>
      <w:r>
        <w:rPr>
          <w:spacing w:val="-13"/>
        </w:rPr>
        <w:t> </w:t>
      </w:r>
      <w:r>
        <w:rPr/>
        <w:t>Rao</w:t>
      </w:r>
      <w:r>
        <w:rPr>
          <w:spacing w:val="-10"/>
        </w:rPr>
        <w:t> </w:t>
      </w:r>
      <w:r>
        <w:rPr/>
        <w:t>(2005)</w:t>
      </w:r>
      <w:r>
        <w:rPr>
          <w:spacing w:val="-12"/>
        </w:rPr>
        <w:t> </w:t>
      </w:r>
      <w:r>
        <w:rPr/>
        <w:t>examined</w:t>
      </w:r>
      <w:r>
        <w:rPr>
          <w:spacing w:val="-8"/>
        </w:rPr>
        <w:t> </w:t>
      </w:r>
      <w:r>
        <w:rPr/>
        <w:t>whether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adoption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clause</w:t>
      </w:r>
      <w:r>
        <w:rPr>
          <w:spacing w:val="-14"/>
        </w:rPr>
        <w:t> </w:t>
      </w:r>
      <w:r>
        <w:rPr/>
        <w:t>49</w:t>
      </w:r>
      <w:r>
        <w:rPr>
          <w:spacing w:val="-10"/>
        </w:rPr>
        <w:t> </w:t>
      </w:r>
      <w:r>
        <w:rPr/>
        <w:t>predicted</w:t>
      </w:r>
      <w:r>
        <w:rPr>
          <w:spacing w:val="-58"/>
        </w:rPr>
        <w:t> </w:t>
      </w:r>
      <w:r>
        <w:rPr/>
        <w:t>lower volatility and returns for large Indian firms. They compared a one-year period after</w:t>
      </w:r>
      <w:r>
        <w:rPr>
          <w:spacing w:val="1"/>
        </w:rPr>
        <w:t> </w:t>
      </w:r>
      <w:r>
        <w:rPr/>
        <w:t>adoption</w:t>
      </w:r>
      <w:r>
        <w:rPr>
          <w:spacing w:val="-6"/>
        </w:rPr>
        <w:t> </w:t>
      </w:r>
      <w:r>
        <w:rPr/>
        <w:t>(starting</w:t>
      </w:r>
      <w:r>
        <w:rPr>
          <w:spacing w:val="-6"/>
        </w:rPr>
        <w:t> </w:t>
      </w:r>
      <w:r>
        <w:rPr/>
        <w:t>June</w:t>
      </w:r>
      <w:r>
        <w:rPr>
          <w:spacing w:val="-7"/>
        </w:rPr>
        <w:t> </w:t>
      </w:r>
      <w:r>
        <w:rPr/>
        <w:t>1,</w:t>
      </w:r>
      <w:r>
        <w:rPr>
          <w:spacing w:val="-9"/>
        </w:rPr>
        <w:t> </w:t>
      </w:r>
      <w:r>
        <w:rPr/>
        <w:t>2001)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similar</w:t>
      </w:r>
      <w:r>
        <w:rPr>
          <w:spacing w:val="-6"/>
        </w:rPr>
        <w:t> </w:t>
      </w:r>
      <w:r>
        <w:rPr/>
        <w:t>period</w:t>
      </w:r>
      <w:r>
        <w:rPr>
          <w:spacing w:val="-7"/>
        </w:rPr>
        <w:t> </w:t>
      </w:r>
      <w:r>
        <w:rPr/>
        <w:t>before</w:t>
      </w:r>
      <w:r>
        <w:rPr>
          <w:spacing w:val="-6"/>
        </w:rPr>
        <w:t> </w:t>
      </w:r>
      <w:r>
        <w:rPr/>
        <w:t>adoption</w:t>
      </w:r>
      <w:r>
        <w:rPr>
          <w:spacing w:val="-6"/>
        </w:rPr>
        <w:t> </w:t>
      </w:r>
      <w:r>
        <w:rPr/>
        <w:t>(starting</w:t>
      </w:r>
      <w:r>
        <w:rPr>
          <w:spacing w:val="-6"/>
        </w:rPr>
        <w:t> </w:t>
      </w:r>
      <w:r>
        <w:rPr/>
        <w:t>June</w:t>
      </w:r>
      <w:r>
        <w:rPr>
          <w:spacing w:val="-7"/>
        </w:rPr>
        <w:t> </w:t>
      </w:r>
      <w:r>
        <w:rPr/>
        <w:t>1,</w:t>
      </w:r>
      <w:r>
        <w:rPr>
          <w:spacing w:val="-6"/>
        </w:rPr>
        <w:t> </w:t>
      </w:r>
      <w:r>
        <w:rPr/>
        <w:t>1998).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logic was that clause 49 should improve disclosure and thus reduce information asymmetry,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thereby,</w:t>
      </w:r>
      <w:r>
        <w:rPr>
          <w:spacing w:val="-5"/>
        </w:rPr>
        <w:t> </w:t>
      </w:r>
      <w:r>
        <w:rPr/>
        <w:t>reduce</w:t>
      </w:r>
      <w:r>
        <w:rPr>
          <w:spacing w:val="-6"/>
        </w:rPr>
        <w:t> </w:t>
      </w:r>
      <w:r>
        <w:rPr/>
        <w:t>share</w:t>
      </w:r>
      <w:r>
        <w:rPr>
          <w:spacing w:val="-6"/>
        </w:rPr>
        <w:t> </w:t>
      </w:r>
      <w:r>
        <w:rPr/>
        <w:t>price</w:t>
      </w:r>
      <w:r>
        <w:rPr>
          <w:spacing w:val="-2"/>
        </w:rPr>
        <w:t> </w:t>
      </w:r>
      <w:r>
        <w:rPr/>
        <w:t>volatility.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authors</w:t>
      </w:r>
      <w:r>
        <w:rPr>
          <w:spacing w:val="-6"/>
        </w:rPr>
        <w:t> </w:t>
      </w:r>
      <w:r>
        <w:rPr/>
        <w:t>found</w:t>
      </w:r>
      <w:r>
        <w:rPr>
          <w:spacing w:val="-4"/>
        </w:rPr>
        <w:t> </w:t>
      </w:r>
      <w:r>
        <w:rPr/>
        <w:t>“insignificant</w:t>
      </w:r>
      <w:r>
        <w:rPr>
          <w:spacing w:val="-6"/>
        </w:rPr>
        <w:t> </w:t>
      </w:r>
      <w:r>
        <w:rPr/>
        <w:t>results</w:t>
      </w:r>
      <w:r>
        <w:rPr>
          <w:spacing w:val="-5"/>
        </w:rPr>
        <w:t> </w:t>
      </w:r>
      <w:r>
        <w:rPr/>
        <w:t>for</w:t>
      </w:r>
      <w:r>
        <w:rPr>
          <w:spacing w:val="-7"/>
        </w:rPr>
        <w:t> </w:t>
      </w:r>
      <w:r>
        <w:rPr/>
        <w:t>volatility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mixed results for returns”.</w:t>
      </w:r>
    </w:p>
    <w:p>
      <w:pPr>
        <w:pStyle w:val="BodyText"/>
        <w:spacing w:line="480" w:lineRule="auto" w:before="203"/>
        <w:ind w:right="828"/>
      </w:pPr>
      <w:r>
        <w:rPr/>
        <w:t>In another study undertaken by Subramanian (2006), the author identified the differences in</w:t>
      </w:r>
      <w:r>
        <w:rPr>
          <w:spacing w:val="1"/>
        </w:rPr>
        <w:t> </w:t>
      </w:r>
      <w:r>
        <w:rPr/>
        <w:t>disclosure</w:t>
      </w:r>
      <w:r>
        <w:rPr>
          <w:spacing w:val="-10"/>
        </w:rPr>
        <w:t> </w:t>
      </w:r>
      <w:r>
        <w:rPr/>
        <w:t>patterns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attributes.</w:t>
      </w:r>
      <w:r>
        <w:rPr>
          <w:spacing w:val="-7"/>
        </w:rPr>
        <w:t> </w:t>
      </w:r>
      <w:r>
        <w:rPr/>
        <w:t>A</w:t>
      </w:r>
      <w:r>
        <w:rPr>
          <w:spacing w:val="-4"/>
        </w:rPr>
        <w:t> </w:t>
      </w:r>
      <w:r>
        <w:rPr/>
        <w:t>sample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90</w:t>
      </w:r>
      <w:r>
        <w:rPr>
          <w:spacing w:val="-6"/>
        </w:rPr>
        <w:t> </w:t>
      </w:r>
      <w:r>
        <w:rPr/>
        <w:t>corporations</w:t>
      </w:r>
      <w:r>
        <w:rPr>
          <w:spacing w:val="-5"/>
        </w:rPr>
        <w:t> </w:t>
      </w:r>
      <w:r>
        <w:rPr/>
        <w:t>from</w:t>
      </w:r>
      <w:r>
        <w:rPr>
          <w:spacing w:val="-7"/>
        </w:rPr>
        <w:t> </w:t>
      </w:r>
      <w:r>
        <w:rPr/>
        <w:t>BSE-100</w:t>
      </w:r>
      <w:r>
        <w:rPr>
          <w:spacing w:val="-9"/>
        </w:rPr>
        <w:t> </w:t>
      </w:r>
      <w:r>
        <w:rPr/>
        <w:t>index,</w:t>
      </w:r>
      <w:r>
        <w:rPr>
          <w:spacing w:val="-57"/>
        </w:rPr>
        <w:t> </w:t>
      </w:r>
      <w:r>
        <w:rPr/>
        <w:t>NSE Nifty was taken. The data, with respect to disclosure score had been collected from the</w:t>
      </w:r>
      <w:r>
        <w:rPr>
          <w:spacing w:val="1"/>
        </w:rPr>
        <w:t> </w:t>
      </w:r>
      <w:r>
        <w:rPr/>
        <w:t>annual reports of the corporations for the financial year 2003–2004.</w:t>
      </w:r>
      <w:r>
        <w:rPr>
          <w:spacing w:val="1"/>
        </w:rPr>
        <w:t> </w:t>
      </w:r>
      <w:r>
        <w:rPr/>
        <w:t>The study used the</w:t>
      </w:r>
      <w:r>
        <w:rPr>
          <w:spacing w:val="1"/>
        </w:rPr>
        <w:t> </w:t>
      </w:r>
      <w:r>
        <w:rPr/>
        <w:t>Standard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Poor’s</w:t>
      </w:r>
      <w:r>
        <w:rPr>
          <w:spacing w:val="-6"/>
        </w:rPr>
        <w:t> </w:t>
      </w:r>
      <w:r>
        <w:rPr/>
        <w:t>transparency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disclosure</w:t>
      </w:r>
      <w:r>
        <w:rPr>
          <w:spacing w:val="-7"/>
        </w:rPr>
        <w:t> </w:t>
      </w:r>
      <w:r>
        <w:rPr/>
        <w:t>survey</w:t>
      </w:r>
      <w:r>
        <w:rPr>
          <w:spacing w:val="-6"/>
        </w:rPr>
        <w:t> </w:t>
      </w:r>
      <w:r>
        <w:rPr/>
        <w:t>questionnaire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collection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data.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study finally concluded that “there were no differences in disclosure pattern of public-private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corporations,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concerned”.</w:t>
      </w:r>
    </w:p>
    <w:p>
      <w:pPr>
        <w:pStyle w:val="BodyText"/>
        <w:spacing w:line="480" w:lineRule="auto" w:before="200"/>
        <w:ind w:right="828"/>
      </w:pPr>
      <w:r>
        <w:rPr/>
        <w:t>Pahuja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Bhatia</w:t>
      </w:r>
      <w:r>
        <w:rPr>
          <w:spacing w:val="-8"/>
        </w:rPr>
        <w:t> </w:t>
      </w:r>
      <w:r>
        <w:rPr/>
        <w:t>(2010)</w:t>
      </w:r>
      <w:r>
        <w:rPr>
          <w:spacing w:val="-5"/>
        </w:rPr>
        <w:t> </w:t>
      </w:r>
      <w:r>
        <w:rPr/>
        <w:t>attempted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determine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extent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‘Indian’</w:t>
      </w:r>
      <w:r>
        <w:rPr>
          <w:spacing w:val="-8"/>
        </w:rPr>
        <w:t> </w:t>
      </w:r>
      <w:r>
        <w:rPr/>
        <w:t>listed-companies</w:t>
      </w:r>
      <w:r>
        <w:rPr>
          <w:spacing w:val="-57"/>
        </w:rPr>
        <w:t> </w:t>
      </w:r>
      <w:r>
        <w:rPr/>
        <w:t>disclosed their CG practices by examining the annual reports of 50 listed companies. Also, the</w:t>
      </w:r>
      <w:r>
        <w:rPr>
          <w:spacing w:val="-57"/>
        </w:rPr>
        <w:t> </w:t>
      </w:r>
      <w:r>
        <w:rPr/>
        <w:t>determinants of disclosures had been looked into. They concluded that there is a substantial</w:t>
      </w:r>
      <w:r>
        <w:rPr>
          <w:spacing w:val="1"/>
        </w:rPr>
        <w:t> </w:t>
      </w:r>
      <w:r>
        <w:rPr/>
        <w:t>scope for improvement in the CG disclosure practices and the size of the corporation is a</w:t>
      </w:r>
      <w:r>
        <w:rPr>
          <w:spacing w:val="1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determinant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disclosures.</w:t>
      </w:r>
      <w:r>
        <w:rPr>
          <w:spacing w:val="-2"/>
        </w:rPr>
        <w:t> </w:t>
      </w:r>
      <w:r>
        <w:rPr/>
        <w:t>Bhasin</w:t>
      </w:r>
      <w:r>
        <w:rPr>
          <w:spacing w:val="-4"/>
        </w:rPr>
        <w:t> </w:t>
      </w:r>
      <w:r>
        <w:rPr/>
        <w:t>(2011)</w:t>
      </w:r>
      <w:r>
        <w:rPr>
          <w:spacing w:val="-5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exploratory</w:t>
      </w:r>
      <w:r>
        <w:rPr>
          <w:spacing w:val="-5"/>
        </w:rPr>
        <w:t> </w:t>
      </w:r>
      <w:r>
        <w:rPr/>
        <w:t>‘case-study’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the Reliance Industries Limited, and developed his model as a ‘working method’. In order to</w:t>
      </w:r>
      <w:r>
        <w:rPr>
          <w:spacing w:val="1"/>
        </w:rPr>
        <w:t> </w:t>
      </w:r>
      <w:r>
        <w:rPr/>
        <w:t>ascertain</w:t>
      </w:r>
      <w:r>
        <w:rPr>
          <w:spacing w:val="-14"/>
        </w:rPr>
        <w:t> </w:t>
      </w:r>
      <w:r>
        <w:rPr/>
        <w:t>how</w:t>
      </w:r>
      <w:r>
        <w:rPr>
          <w:spacing w:val="-12"/>
        </w:rPr>
        <w:t> </w:t>
      </w:r>
      <w:r>
        <w:rPr/>
        <w:t>far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corporation</w:t>
      </w:r>
      <w:r>
        <w:rPr>
          <w:spacing w:val="-14"/>
        </w:rPr>
        <w:t> </w:t>
      </w:r>
      <w:r>
        <w:rPr/>
        <w:t>was</w:t>
      </w:r>
      <w:r>
        <w:rPr>
          <w:spacing w:val="-11"/>
        </w:rPr>
        <w:t> </w:t>
      </w:r>
      <w:r>
        <w:rPr/>
        <w:t>in</w:t>
      </w:r>
      <w:r>
        <w:rPr>
          <w:spacing w:val="-14"/>
        </w:rPr>
        <w:t> </w:t>
      </w:r>
      <w:r>
        <w:rPr/>
        <w:t>compliance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CG</w:t>
      </w:r>
      <w:r>
        <w:rPr>
          <w:spacing w:val="-12"/>
        </w:rPr>
        <w:t> </w:t>
      </w:r>
      <w:r>
        <w:rPr/>
        <w:t>standards,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‘point-value-system’</w:t>
      </w:r>
      <w:r>
        <w:rPr>
          <w:spacing w:val="-57"/>
        </w:rPr>
        <w:t> </w:t>
      </w:r>
      <w:r>
        <w:rPr/>
        <w:t>was applied. Based on the disclosures made by the corporation in its annual report for the year</w:t>
      </w:r>
      <w:r>
        <w:rPr>
          <w:spacing w:val="-57"/>
        </w:rPr>
        <w:t> </w:t>
      </w:r>
      <w:r>
        <w:rPr/>
        <w:t>2006–2007,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in-depth</w:t>
      </w:r>
      <w:r>
        <w:rPr>
          <w:spacing w:val="-1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2"/>
        </w:rPr>
        <w:t> </w:t>
      </w:r>
      <w:r>
        <w:rPr/>
        <w:t>reveals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very</w:t>
      </w:r>
      <w:r>
        <w:rPr>
          <w:spacing w:val="-58"/>
        </w:rPr>
        <w:t> </w:t>
      </w:r>
      <w:r>
        <w:rPr/>
        <w:t>good</w:t>
      </w:r>
      <w:r>
        <w:rPr>
          <w:spacing w:val="-1"/>
        </w:rPr>
        <w:t> </w:t>
      </w:r>
      <w:r>
        <w:rPr/>
        <w:t>performance,</w:t>
      </w:r>
      <w:r>
        <w:rPr>
          <w:spacing w:val="2"/>
        </w:rPr>
        <w:t> </w:t>
      </w:r>
      <w:r>
        <w:rPr/>
        <w:t>with an overall score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85 points.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7"/>
      </w:pPr>
      <w:r>
        <w:rPr/>
        <w:drawing>
          <wp:anchor distT="0" distB="0" distL="0" distR="0" allowOverlap="1" layoutInCell="1" locked="0" behindDoc="1" simplePos="0" relativeHeight="45401190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Ogbeichie and Koufopoulos (2010) conducted a survey to examine corporate governance and</w:t>
      </w:r>
      <w:r>
        <w:rPr>
          <w:spacing w:val="1"/>
        </w:rPr>
        <w:t> </w:t>
      </w:r>
      <w:r>
        <w:rPr/>
        <w:t>board practices in Nigeria’s banking sector. Data was obtained from the Directors of various</w:t>
      </w:r>
      <w:r>
        <w:rPr>
          <w:spacing w:val="1"/>
        </w:rPr>
        <w:t> </w:t>
      </w:r>
      <w:r>
        <w:rPr/>
        <w:t>banks in Nigeria, using questionnaires and interviews. Findings showed that the boards of</w:t>
      </w:r>
      <w:r>
        <w:rPr>
          <w:spacing w:val="1"/>
        </w:rPr>
        <w:t> </w:t>
      </w:r>
      <w:r>
        <w:rPr>
          <w:spacing w:val="-1"/>
        </w:rPr>
        <w:t>directors</w:t>
      </w:r>
      <w:r>
        <w:rPr>
          <w:spacing w:val="-15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independent,</w:t>
      </w:r>
      <w:r>
        <w:rPr>
          <w:spacing w:val="-12"/>
        </w:rPr>
        <w:t> </w:t>
      </w:r>
      <w:r>
        <w:rPr/>
        <w:t>diverse</w:t>
      </w:r>
      <w:r>
        <w:rPr>
          <w:spacing w:val="-15"/>
        </w:rPr>
        <w:t> </w:t>
      </w:r>
      <w:r>
        <w:rPr/>
        <w:t>i.e.,</w:t>
      </w:r>
      <w:r>
        <w:rPr>
          <w:spacing w:val="-12"/>
        </w:rPr>
        <w:t> </w:t>
      </w:r>
      <w:r>
        <w:rPr/>
        <w:t>consist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people</w:t>
      </w:r>
      <w:r>
        <w:rPr>
          <w:spacing w:val="-14"/>
        </w:rPr>
        <w:t> </w:t>
      </w:r>
      <w:r>
        <w:rPr/>
        <w:t>with</w:t>
      </w:r>
      <w:r>
        <w:rPr>
          <w:spacing w:val="-13"/>
        </w:rPr>
        <w:t> </w:t>
      </w:r>
      <w:r>
        <w:rPr/>
        <w:t>various</w:t>
      </w:r>
      <w:r>
        <w:rPr>
          <w:spacing w:val="-11"/>
        </w:rPr>
        <w:t> </w:t>
      </w:r>
      <w:r>
        <w:rPr/>
        <w:t>educational,</w:t>
      </w:r>
      <w:r>
        <w:rPr>
          <w:spacing w:val="-13"/>
        </w:rPr>
        <w:t> </w:t>
      </w:r>
      <w:r>
        <w:rPr/>
        <w:t>professional</w:t>
      </w:r>
      <w:r>
        <w:rPr>
          <w:spacing w:val="-58"/>
        </w:rPr>
        <w:t> </w:t>
      </w:r>
      <w:r>
        <w:rPr/>
        <w:t>and personality backgrounds, and well informed to make decisions. However, it is difficult to</w:t>
      </w:r>
      <w:r>
        <w:rPr>
          <w:spacing w:val="1"/>
        </w:rPr>
        <w:t> </w:t>
      </w:r>
      <w:r>
        <w:rPr/>
        <w:t>ascertain the extent to which these findings can be generalized in the banking sector because</w:t>
      </w:r>
      <w:r>
        <w:rPr>
          <w:spacing w:val="1"/>
        </w:rPr>
        <w:t> </w:t>
      </w:r>
      <w:r>
        <w:rPr/>
        <w:t>the number of participating banks were not stated in the methodology.</w:t>
      </w:r>
      <w:r>
        <w:rPr>
          <w:spacing w:val="1"/>
        </w:rPr>
        <w:t> </w:t>
      </w:r>
      <w:r>
        <w:rPr/>
        <w:t>Similarly, Oghojafor</w:t>
      </w:r>
      <w:r>
        <w:rPr>
          <w:spacing w:val="1"/>
        </w:rPr>
        <w:t> </w:t>
      </w:r>
      <w:r>
        <w:rPr/>
        <w:t>(2010)</w:t>
      </w:r>
      <w:r>
        <w:rPr>
          <w:spacing w:val="-2"/>
        </w:rPr>
        <w:t> </w:t>
      </w:r>
      <w:r>
        <w:rPr/>
        <w:t>explored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consequences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poor</w:t>
      </w:r>
      <w:r>
        <w:rPr>
          <w:spacing w:val="-3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culture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supervisory</w:t>
      </w:r>
      <w:r>
        <w:rPr>
          <w:spacing w:val="-1"/>
        </w:rPr>
        <w:t> </w:t>
      </w:r>
      <w:r>
        <w:rPr/>
        <w:t>laxity</w:t>
      </w:r>
      <w:r>
        <w:rPr>
          <w:spacing w:val="-58"/>
        </w:rPr>
        <w:t> </w:t>
      </w:r>
      <w:r>
        <w:rPr/>
        <w:t>on</w:t>
      </w:r>
      <w:r>
        <w:rPr>
          <w:spacing w:val="-6"/>
        </w:rPr>
        <w:t> </w:t>
      </w:r>
      <w:r>
        <w:rPr/>
        <w:t>banks</w:t>
      </w:r>
      <w:r>
        <w:rPr>
          <w:spacing w:val="-6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Questionnaire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obtain</w:t>
      </w:r>
      <w:r>
        <w:rPr>
          <w:spacing w:val="-6"/>
        </w:rPr>
        <w:t> </w:t>
      </w:r>
      <w:r>
        <w:rPr/>
        <w:t>data</w:t>
      </w:r>
      <w:r>
        <w:rPr>
          <w:spacing w:val="-3"/>
        </w:rPr>
        <w:t> </w:t>
      </w:r>
      <w:r>
        <w:rPr/>
        <w:t>from</w:t>
      </w:r>
      <w:r>
        <w:rPr>
          <w:spacing w:val="-6"/>
        </w:rPr>
        <w:t> </w:t>
      </w:r>
      <w:r>
        <w:rPr/>
        <w:t>bank</w:t>
      </w:r>
      <w:r>
        <w:rPr>
          <w:spacing w:val="-5"/>
        </w:rPr>
        <w:t> </w:t>
      </w:r>
      <w:r>
        <w:rPr/>
        <w:t>employees,</w:t>
      </w:r>
      <w:r>
        <w:rPr>
          <w:spacing w:val="-58"/>
        </w:rPr>
        <w:t> </w:t>
      </w:r>
      <w:r>
        <w:rPr/>
        <w:t>customers, investment and public policy analysts. Results from the analysis revealed that poor</w:t>
      </w:r>
      <w:r>
        <w:rPr>
          <w:spacing w:val="-57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culture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amongst the causes of the</w:t>
      </w:r>
      <w:r>
        <w:rPr>
          <w:spacing w:val="-1"/>
        </w:rPr>
        <w:t> </w:t>
      </w:r>
      <w:r>
        <w:rPr/>
        <w:t>banking</w:t>
      </w:r>
      <w:r>
        <w:rPr>
          <w:spacing w:val="-1"/>
        </w:rPr>
        <w:t> </w:t>
      </w:r>
      <w:r>
        <w:rPr/>
        <w:t>crises</w:t>
      </w:r>
      <w:r>
        <w:rPr>
          <w:spacing w:val="2"/>
        </w:rPr>
        <w:t> </w:t>
      </w:r>
      <w:r>
        <w:rPr/>
        <w:t>at the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480" w:lineRule="auto" w:before="203"/>
        <w:ind w:right="828"/>
      </w:pPr>
      <w:r>
        <w:rPr/>
        <w:t>Darmadi (2013) investigated the corporate governance disclosures in the annual reports of</w:t>
      </w:r>
      <w:r>
        <w:rPr>
          <w:spacing w:val="1"/>
        </w:rPr>
        <w:t> </w:t>
      </w:r>
      <w:r>
        <w:rPr/>
        <w:t>seven</w:t>
      </w:r>
      <w:r>
        <w:rPr>
          <w:spacing w:val="-7"/>
        </w:rPr>
        <w:t> </w:t>
      </w:r>
      <w:r>
        <w:rPr/>
        <w:t>Islamic</w:t>
      </w:r>
      <w:r>
        <w:rPr>
          <w:spacing w:val="-9"/>
        </w:rPr>
        <w:t> </w:t>
      </w:r>
      <w:r>
        <w:rPr/>
        <w:t>commercial</w:t>
      </w:r>
      <w:r>
        <w:rPr>
          <w:spacing w:val="-8"/>
        </w:rPr>
        <w:t> </w:t>
      </w:r>
      <w:r>
        <w:rPr/>
        <w:t>banks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Indonesia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2010.</w:t>
      </w:r>
      <w:r>
        <w:rPr>
          <w:spacing w:val="-9"/>
        </w:rPr>
        <w:t> </w:t>
      </w:r>
      <w:r>
        <w:rPr/>
        <w:t>This</w:t>
      </w:r>
      <w:r>
        <w:rPr>
          <w:spacing w:val="-8"/>
        </w:rPr>
        <w:t> </w:t>
      </w:r>
      <w:r>
        <w:rPr/>
        <w:t>resulted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corporate</w:t>
      </w:r>
      <w:r>
        <w:rPr>
          <w:spacing w:val="37"/>
        </w:rPr>
        <w:t> </w:t>
      </w:r>
      <w:r>
        <w:rPr/>
        <w:t>governance</w:t>
      </w:r>
      <w:r>
        <w:rPr>
          <w:spacing w:val="-58"/>
        </w:rPr>
        <w:t> </w:t>
      </w:r>
      <w:r>
        <w:rPr/>
        <w:t>disclosure index consisting of seven disclosure dimensions: the shariah supervisory board,</w:t>
      </w:r>
      <w:r>
        <w:rPr>
          <w:spacing w:val="1"/>
        </w:rPr>
        <w:t> </w:t>
      </w:r>
      <w:r>
        <w:rPr/>
        <w:t>board of commissioners (supervisory board), board of directors, board committees, internal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audit,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reporting. The corporate governance disclosure index in Darmadi’s research emphasises the</w:t>
      </w:r>
      <w:r>
        <w:rPr>
          <w:spacing w:val="1"/>
        </w:rPr>
        <w:t> </w:t>
      </w:r>
      <w:r>
        <w:rPr/>
        <w:t>board and management structure and process, and the research concluded that the corporate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disclosure</w:t>
      </w:r>
      <w:r>
        <w:rPr>
          <w:spacing w:val="-2"/>
        </w:rPr>
        <w:t> </w:t>
      </w:r>
      <w:r>
        <w:rPr/>
        <w:t>level in Indonesia is relatively</w:t>
      </w:r>
      <w:r>
        <w:rPr>
          <w:spacing w:val="2"/>
        </w:rPr>
        <w:t> </w:t>
      </w:r>
      <w:r>
        <w:rPr/>
        <w:t>low.</w:t>
      </w:r>
    </w:p>
    <w:p>
      <w:pPr>
        <w:pStyle w:val="BodyText"/>
        <w:spacing w:line="480" w:lineRule="auto" w:before="201"/>
        <w:ind w:right="825"/>
      </w:pPr>
      <w:r>
        <w:rPr/>
        <w:t>Sharma (2014) conducted a corporate governance disclosure study focusing on the annual</w:t>
      </w:r>
      <w:r>
        <w:rPr>
          <w:spacing w:val="1"/>
        </w:rPr>
        <w:t> </w:t>
      </w:r>
      <w:r>
        <w:rPr/>
        <w:t>reports of 59 randomly selected Nepalese banking and financial corporations in 2010. He</w:t>
      </w:r>
      <w:r>
        <w:rPr>
          <w:spacing w:val="1"/>
        </w:rPr>
        <w:t> </w:t>
      </w:r>
      <w:r>
        <w:rPr/>
        <w:t>created a corporate governance disclosure index consisting of four mandatory and voluntary</w:t>
      </w:r>
      <w:r>
        <w:rPr>
          <w:spacing w:val="1"/>
        </w:rPr>
        <w:t> </w:t>
      </w:r>
      <w:r>
        <w:rPr>
          <w:spacing w:val="-1"/>
        </w:rPr>
        <w:t>disclosure</w:t>
      </w:r>
      <w:r>
        <w:rPr>
          <w:spacing w:val="-14"/>
        </w:rPr>
        <w:t> </w:t>
      </w:r>
      <w:r>
        <w:rPr>
          <w:spacing w:val="-1"/>
        </w:rPr>
        <w:t>criteria.</w:t>
      </w:r>
      <w:r>
        <w:rPr>
          <w:spacing w:val="-12"/>
        </w:rPr>
        <w:t> </w:t>
      </w:r>
      <w:r>
        <w:rPr>
          <w:spacing w:val="-1"/>
        </w:rPr>
        <w:t>Sharma’s</w:t>
      </w:r>
      <w:r>
        <w:rPr>
          <w:spacing w:val="-12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documented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positive</w:t>
      </w:r>
      <w:r>
        <w:rPr>
          <w:spacing w:val="-12"/>
        </w:rPr>
        <w:t> </w:t>
      </w:r>
      <w:r>
        <w:rPr/>
        <w:t>association</w:t>
      </w:r>
      <w:r>
        <w:rPr>
          <w:spacing w:val="-12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corporate</w:t>
      </w:r>
      <w:r>
        <w:rPr>
          <w:spacing w:val="-13"/>
        </w:rPr>
        <w:t> </w:t>
      </w:r>
      <w:r>
        <w:rPr/>
        <w:t>size</w:t>
      </w:r>
      <w:r>
        <w:rPr>
          <w:spacing w:val="-57"/>
        </w:rPr>
        <w:t> </w:t>
      </w:r>
      <w:r>
        <w:rPr/>
        <w:t>and</w:t>
      </w:r>
      <w:r>
        <w:rPr>
          <w:spacing w:val="25"/>
        </w:rPr>
        <w:t> </w:t>
      </w:r>
      <w:r>
        <w:rPr/>
        <w:t>corporate</w:t>
      </w:r>
      <w:r>
        <w:rPr>
          <w:spacing w:val="25"/>
        </w:rPr>
        <w:t> </w:t>
      </w:r>
      <w:r>
        <w:rPr/>
        <w:t>governance</w:t>
      </w:r>
      <w:r>
        <w:rPr>
          <w:spacing w:val="24"/>
        </w:rPr>
        <w:t> </w:t>
      </w:r>
      <w:r>
        <w:rPr/>
        <w:t>disclosures</w:t>
      </w:r>
      <w:r>
        <w:rPr>
          <w:spacing w:val="25"/>
        </w:rPr>
        <w:t> </w:t>
      </w:r>
      <w:r>
        <w:rPr/>
        <w:t>(in</w:t>
      </w:r>
      <w:r>
        <w:rPr>
          <w:spacing w:val="24"/>
        </w:rPr>
        <w:t> </w:t>
      </w:r>
      <w:r>
        <w:rPr/>
        <w:t>all</w:t>
      </w:r>
      <w:r>
        <w:rPr>
          <w:spacing w:val="28"/>
        </w:rPr>
        <w:t> </w:t>
      </w:r>
      <w:r>
        <w:rPr/>
        <w:t>types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disclosures:</w:t>
      </w:r>
      <w:r>
        <w:rPr>
          <w:spacing w:val="25"/>
        </w:rPr>
        <w:t> </w:t>
      </w:r>
      <w:r>
        <w:rPr/>
        <w:t>mandatory,</w:t>
      </w:r>
      <w:r>
        <w:rPr>
          <w:spacing w:val="24"/>
        </w:rPr>
        <w:t> </w:t>
      </w:r>
      <w:r>
        <w:rPr/>
        <w:t>voluntary</w:t>
      </w:r>
      <w:r>
        <w:rPr>
          <w:spacing w:val="24"/>
        </w:rPr>
        <w:t> </w:t>
      </w:r>
      <w:r>
        <w:rPr/>
        <w:t>and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t>overall). No association was found between foreign ownership and leverage with corporate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disclosures.</w:t>
      </w:r>
    </w:p>
    <w:p>
      <w:pPr>
        <w:pStyle w:val="BodyText"/>
        <w:spacing w:line="480" w:lineRule="auto" w:before="202"/>
        <w:ind w:right="827"/>
      </w:pPr>
      <w:r>
        <w:rPr/>
        <w:drawing>
          <wp:anchor distT="0" distB="0" distL="0" distR="0" allowOverlap="1" layoutInCell="1" locked="0" behindDoc="1" simplePos="0" relativeHeight="454012416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Gandía (2008) examined the corporate governance disclosures of 92 Spanish nonfinancial</w:t>
      </w:r>
      <w:r>
        <w:rPr>
          <w:spacing w:val="1"/>
        </w:rPr>
        <w:t> </w:t>
      </w:r>
      <w:r>
        <w:rPr/>
        <w:t>corporations. He constructed three different indexes. The first index relates to disclosures in</w:t>
      </w:r>
      <w:r>
        <w:rPr>
          <w:spacing w:val="1"/>
        </w:rPr>
        <w:t> </w:t>
      </w:r>
      <w:r>
        <w:rPr/>
        <w:t>annual</w:t>
      </w:r>
      <w:r>
        <w:rPr>
          <w:spacing w:val="-6"/>
        </w:rPr>
        <w:t> </w:t>
      </w:r>
      <w:r>
        <w:rPr/>
        <w:t>reports,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consisted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three</w:t>
      </w:r>
      <w:r>
        <w:rPr>
          <w:spacing w:val="-7"/>
        </w:rPr>
        <w:t> </w:t>
      </w:r>
      <w:r>
        <w:rPr/>
        <w:t>categories</w:t>
      </w:r>
      <w:r>
        <w:rPr>
          <w:spacing w:val="-6"/>
        </w:rPr>
        <w:t> </w:t>
      </w:r>
      <w:r>
        <w:rPr/>
        <w:t>(board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directors,</w:t>
      </w:r>
      <w:r>
        <w:rPr>
          <w:spacing w:val="-4"/>
        </w:rPr>
        <w:t> </w:t>
      </w:r>
      <w:r>
        <w:rPr/>
        <w:t>ownership</w:t>
      </w:r>
      <w:r>
        <w:rPr>
          <w:spacing w:val="-6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>
          <w:spacing w:val="-1"/>
        </w:rPr>
        <w:t>other</w:t>
      </w:r>
      <w:r>
        <w:rPr>
          <w:spacing w:val="-16"/>
        </w:rPr>
        <w:t> </w:t>
      </w:r>
      <w:r>
        <w:rPr/>
        <w:t>information</w:t>
      </w:r>
      <w:r>
        <w:rPr>
          <w:spacing w:val="-14"/>
        </w:rPr>
        <w:t> </w:t>
      </w:r>
      <w:r>
        <w:rPr/>
        <w:t>related</w:t>
      </w:r>
      <w:r>
        <w:rPr>
          <w:spacing w:val="-12"/>
        </w:rPr>
        <w:t> </w:t>
      </w:r>
      <w:r>
        <w:rPr/>
        <w:t>to</w:t>
      </w:r>
      <w:r>
        <w:rPr>
          <w:spacing w:val="-14"/>
        </w:rPr>
        <w:t> </w:t>
      </w:r>
      <w:r>
        <w:rPr/>
        <w:t>good</w:t>
      </w:r>
      <w:r>
        <w:rPr>
          <w:spacing w:val="-15"/>
        </w:rPr>
        <w:t> </w:t>
      </w:r>
      <w:r>
        <w:rPr/>
        <w:t>governance).</w:t>
      </w:r>
      <w:r>
        <w:rPr>
          <w:spacing w:val="-16"/>
        </w:rPr>
        <w:t> </w:t>
      </w:r>
      <w:r>
        <w:rPr/>
        <w:t>The</w:t>
      </w:r>
      <w:r>
        <w:rPr>
          <w:spacing w:val="-14"/>
        </w:rPr>
        <w:t> </w:t>
      </w:r>
      <w:r>
        <w:rPr/>
        <w:t>second</w:t>
      </w:r>
      <w:r>
        <w:rPr>
          <w:spacing w:val="-14"/>
        </w:rPr>
        <w:t> </w:t>
      </w:r>
      <w:r>
        <w:rPr/>
        <w:t>index</w:t>
      </w:r>
      <w:r>
        <w:rPr>
          <w:spacing w:val="-13"/>
        </w:rPr>
        <w:t> </w:t>
      </w:r>
      <w:r>
        <w:rPr/>
        <w:t>was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stock</w:t>
      </w:r>
      <w:r>
        <w:rPr>
          <w:spacing w:val="-15"/>
        </w:rPr>
        <w:t> </w:t>
      </w:r>
      <w:r>
        <w:rPr/>
        <w:t>market</w:t>
      </w:r>
      <w:r>
        <w:rPr>
          <w:spacing w:val="-14"/>
        </w:rPr>
        <w:t> </w:t>
      </w:r>
      <w:r>
        <w:rPr/>
        <w:t>regulator</w:t>
      </w:r>
      <w:r>
        <w:rPr>
          <w:spacing w:val="-57"/>
        </w:rPr>
        <w:t> </w:t>
      </w:r>
      <w:r>
        <w:rPr/>
        <w:t>index,</w:t>
      </w:r>
      <w:r>
        <w:rPr>
          <w:spacing w:val="-14"/>
        </w:rPr>
        <w:t> </w:t>
      </w:r>
      <w:r>
        <w:rPr/>
        <w:t>also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same</w:t>
      </w:r>
      <w:r>
        <w:rPr>
          <w:spacing w:val="-12"/>
        </w:rPr>
        <w:t> </w:t>
      </w:r>
      <w:r>
        <w:rPr/>
        <w:t>three</w:t>
      </w:r>
      <w:r>
        <w:rPr>
          <w:spacing w:val="-12"/>
        </w:rPr>
        <w:t> </w:t>
      </w:r>
      <w:r>
        <w:rPr/>
        <w:t>categories,</w:t>
      </w:r>
      <w:r>
        <w:rPr>
          <w:spacing w:val="-12"/>
        </w:rPr>
        <w:t> </w:t>
      </w:r>
      <w:r>
        <w:rPr/>
        <w:t>with</w:t>
      </w:r>
      <w:r>
        <w:rPr>
          <w:spacing w:val="-13"/>
        </w:rPr>
        <w:t> </w:t>
      </w:r>
      <w:r>
        <w:rPr/>
        <w:t>some</w:t>
      </w:r>
      <w:r>
        <w:rPr>
          <w:spacing w:val="-12"/>
        </w:rPr>
        <w:t> </w:t>
      </w:r>
      <w:r>
        <w:rPr/>
        <w:t>differences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its</w:t>
      </w:r>
      <w:r>
        <w:rPr>
          <w:spacing w:val="-13"/>
        </w:rPr>
        <w:t> </w:t>
      </w:r>
      <w:r>
        <w:rPr/>
        <w:t>sub-categories.</w:t>
      </w:r>
      <w:r>
        <w:rPr>
          <w:spacing w:val="-11"/>
        </w:rPr>
        <w:t> </w:t>
      </w:r>
      <w:r>
        <w:rPr/>
        <w:t>The</w:t>
      </w:r>
      <w:r>
        <w:rPr>
          <w:spacing w:val="-15"/>
        </w:rPr>
        <w:t> </w:t>
      </w:r>
      <w:r>
        <w:rPr/>
        <w:t>third</w:t>
      </w:r>
      <w:r>
        <w:rPr>
          <w:spacing w:val="-57"/>
        </w:rPr>
        <w:t> </w:t>
      </w:r>
      <w:r>
        <w:rPr/>
        <w:t>index was an internet-based index, with the three categories above and the annual general</w:t>
      </w:r>
      <w:r>
        <w:rPr>
          <w:spacing w:val="1"/>
        </w:rPr>
        <w:t> </w:t>
      </w:r>
      <w:r>
        <w:rPr/>
        <w:t>meeting</w:t>
      </w:r>
      <w:r>
        <w:rPr>
          <w:spacing w:val="-4"/>
        </w:rPr>
        <w:t> </w:t>
      </w:r>
      <w:r>
        <w:rPr/>
        <w:t>added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fourth.</w:t>
      </w:r>
      <w:r>
        <w:rPr>
          <w:spacing w:val="-3"/>
        </w:rPr>
        <w:t> </w:t>
      </w:r>
      <w:r>
        <w:rPr/>
        <w:t>Gandía</w:t>
      </w:r>
      <w:r>
        <w:rPr>
          <w:spacing w:val="-4"/>
        </w:rPr>
        <w:t> </w:t>
      </w:r>
      <w:r>
        <w:rPr/>
        <w:t>(2008)</w:t>
      </w:r>
      <w:r>
        <w:rPr>
          <w:spacing w:val="-3"/>
        </w:rPr>
        <w:t> </w:t>
      </w:r>
      <w:r>
        <w:rPr/>
        <w:t>concludes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“older”</w:t>
      </w:r>
      <w:r>
        <w:rPr>
          <w:spacing w:val="-5"/>
        </w:rPr>
        <w:t> </w:t>
      </w:r>
      <w:r>
        <w:rPr/>
        <w:t>corporations</w:t>
      </w:r>
      <w:r>
        <w:rPr>
          <w:spacing w:val="-2"/>
        </w:rPr>
        <w:t> </w:t>
      </w:r>
      <w:r>
        <w:rPr/>
        <w:t>had</w:t>
      </w:r>
      <w:r>
        <w:rPr>
          <w:spacing w:val="-3"/>
        </w:rPr>
        <w:t> </w:t>
      </w:r>
      <w:r>
        <w:rPr/>
        <w:t>begun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concentrate</w:t>
      </w:r>
      <w:r>
        <w:rPr>
          <w:spacing w:val="-10"/>
        </w:rPr>
        <w:t> </w:t>
      </w:r>
      <w:r>
        <w:rPr/>
        <w:t>their</w:t>
      </w:r>
      <w:r>
        <w:rPr>
          <w:spacing w:val="-9"/>
        </w:rPr>
        <w:t> </w:t>
      </w:r>
      <w:r>
        <w:rPr/>
        <w:t>disclosures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internet.</w:t>
      </w:r>
      <w:r>
        <w:rPr>
          <w:spacing w:val="-8"/>
        </w:rPr>
        <w:t> </w:t>
      </w:r>
      <w:r>
        <w:rPr/>
        <w:t>He</w:t>
      </w:r>
      <w:r>
        <w:rPr>
          <w:spacing w:val="-10"/>
        </w:rPr>
        <w:t> </w:t>
      </w:r>
      <w:r>
        <w:rPr/>
        <w:t>cited</w:t>
      </w:r>
      <w:r>
        <w:rPr>
          <w:spacing w:val="-10"/>
        </w:rPr>
        <w:t> </w:t>
      </w:r>
      <w:r>
        <w:rPr/>
        <w:t>four</w:t>
      </w:r>
      <w:r>
        <w:rPr>
          <w:spacing w:val="-9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determinants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governance disclosure as being analyst following (important in the first and second index) and</w:t>
      </w:r>
      <w:r>
        <w:rPr>
          <w:spacing w:val="-57"/>
        </w:rPr>
        <w:t> </w:t>
      </w:r>
      <w:r>
        <w:rPr/>
        <w:t>media</w:t>
      </w:r>
      <w:r>
        <w:rPr>
          <w:spacing w:val="-1"/>
        </w:rPr>
        <w:t> </w:t>
      </w:r>
      <w:r>
        <w:rPr/>
        <w:t>visibility.</w:t>
      </w:r>
    </w:p>
    <w:p>
      <w:pPr>
        <w:pStyle w:val="BodyText"/>
        <w:spacing w:line="480" w:lineRule="auto" w:before="201"/>
        <w:ind w:right="828"/>
      </w:pPr>
      <w:r>
        <w:rPr/>
        <w:t>Samaha Robinson and Stomberg (2012) analysed the corporate governance disclosures made</w:t>
      </w:r>
      <w:r>
        <w:rPr>
          <w:spacing w:val="1"/>
        </w:rPr>
        <w:t> </w:t>
      </w:r>
      <w:r>
        <w:rPr/>
        <w:t>in</w:t>
      </w:r>
      <w:r>
        <w:rPr>
          <w:spacing w:val="-11"/>
        </w:rPr>
        <w:t> </w:t>
      </w:r>
      <w:r>
        <w:rPr/>
        <w:t>annual</w:t>
      </w:r>
      <w:r>
        <w:rPr>
          <w:spacing w:val="-11"/>
        </w:rPr>
        <w:t> </w:t>
      </w:r>
      <w:r>
        <w:rPr/>
        <w:t>reports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corporate</w:t>
      </w:r>
      <w:r>
        <w:rPr>
          <w:spacing w:val="-12"/>
        </w:rPr>
        <w:t> </w:t>
      </w:r>
      <w:r>
        <w:rPr/>
        <w:t>websites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100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largest</w:t>
      </w:r>
      <w:r>
        <w:rPr>
          <w:spacing w:val="-11"/>
        </w:rPr>
        <w:t> </w:t>
      </w:r>
      <w:r>
        <w:rPr/>
        <w:t>Egyptian</w:t>
      </w:r>
      <w:r>
        <w:rPr>
          <w:spacing w:val="-9"/>
        </w:rPr>
        <w:t> </w:t>
      </w:r>
      <w:r>
        <w:rPr/>
        <w:t>corporations.</w:t>
      </w:r>
      <w:r>
        <w:rPr>
          <w:spacing w:val="-11"/>
        </w:rPr>
        <w:t> </w:t>
      </w:r>
      <w:r>
        <w:rPr/>
        <w:t>Unlike</w:t>
      </w:r>
      <w:r>
        <w:rPr>
          <w:spacing w:val="-58"/>
        </w:rPr>
        <w:t> </w:t>
      </w:r>
      <w:r>
        <w:rPr/>
        <w:t>Gandía</w:t>
      </w:r>
      <w:r>
        <w:rPr>
          <w:spacing w:val="-12"/>
        </w:rPr>
        <w:t> </w:t>
      </w:r>
      <w:r>
        <w:rPr/>
        <w:t>(2008),</w:t>
      </w:r>
      <w:r>
        <w:rPr>
          <w:spacing w:val="-12"/>
        </w:rPr>
        <w:t> </w:t>
      </w:r>
      <w:r>
        <w:rPr/>
        <w:t>they</w:t>
      </w:r>
      <w:r>
        <w:rPr>
          <w:spacing w:val="-12"/>
        </w:rPr>
        <w:t> </w:t>
      </w:r>
      <w:r>
        <w:rPr/>
        <w:t>did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distinguish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two</w:t>
      </w:r>
      <w:r>
        <w:rPr>
          <w:spacing w:val="-11"/>
        </w:rPr>
        <w:t> </w:t>
      </w:r>
      <w:r>
        <w:rPr/>
        <w:t>formats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disclosure</w:t>
      </w:r>
      <w:r>
        <w:rPr>
          <w:spacing w:val="-12"/>
        </w:rPr>
        <w:t> </w:t>
      </w:r>
      <w:r>
        <w:rPr/>
        <w:t>thus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cannot be generalised. The corporate governance disclosure index of UNCTAD (2011) was</w:t>
      </w:r>
      <w:r>
        <w:rPr>
          <w:spacing w:val="1"/>
        </w:rPr>
        <w:t> </w:t>
      </w:r>
      <w:r>
        <w:rPr/>
        <w:t>applied in their research, using each sub-category index as well as the overall index. This</w:t>
      </w:r>
      <w:r>
        <w:rPr>
          <w:spacing w:val="1"/>
        </w:rPr>
        <w:t> </w:t>
      </w:r>
      <w:r>
        <w:rPr/>
        <w:t>resulted in six different corporate governance disclosure indexes. However, the underlying</w:t>
      </w:r>
      <w:r>
        <w:rPr>
          <w:spacing w:val="1"/>
        </w:rPr>
        <w:t> </w:t>
      </w:r>
      <w:r>
        <w:rPr/>
        <w:t>reason for using each of the sub-category indices was not made clear. They found out that for</w:t>
      </w:r>
      <w:r>
        <w:rPr>
          <w:spacing w:val="1"/>
        </w:rPr>
        <w:t> </w:t>
      </w:r>
      <w:r>
        <w:rPr/>
        <w:t>the overall index and each of the sub-category indexes, board composition, CEO duality,</w:t>
      </w:r>
      <w:r>
        <w:rPr>
          <w:spacing w:val="1"/>
        </w:rPr>
        <w:t> </w:t>
      </w:r>
      <w:r>
        <w:rPr/>
        <w:t>blockholder ownership and corporate size is significantly associated with the overall corporate</w:t>
      </w:r>
      <w:r>
        <w:rPr>
          <w:spacing w:val="-57"/>
        </w:rPr>
        <w:t> </w:t>
      </w:r>
      <w:r>
        <w:rPr/>
        <w:t>governance</w:t>
      </w:r>
      <w:r>
        <w:rPr>
          <w:spacing w:val="-1"/>
        </w:rPr>
        <w:t> </w:t>
      </w:r>
      <w:r>
        <w:rPr/>
        <w:t>disclosure</w:t>
      </w:r>
      <w:r>
        <w:rPr>
          <w:spacing w:val="-3"/>
        </w:rPr>
        <w:t> </w:t>
      </w:r>
      <w:r>
        <w:rPr/>
        <w:t>index.</w:t>
      </w:r>
    </w:p>
    <w:p>
      <w:pPr>
        <w:pStyle w:val="BodyText"/>
        <w:spacing w:line="480" w:lineRule="auto" w:before="200"/>
        <w:ind w:right="830"/>
      </w:pPr>
      <w:r>
        <w:rPr/>
        <w:t>Arcot and Bruno (2006) examined the effectiveness of the "comply or explain" approach to</w:t>
      </w:r>
      <w:r>
        <w:rPr>
          <w:spacing w:val="1"/>
        </w:rPr>
        <w:t> </w:t>
      </w:r>
      <w:r>
        <w:rPr/>
        <w:t>corporate</w:t>
      </w:r>
      <w:r>
        <w:rPr>
          <w:spacing w:val="5"/>
        </w:rPr>
        <w:t> </w:t>
      </w:r>
      <w:r>
        <w:rPr/>
        <w:t>governance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UK.</w:t>
      </w:r>
      <w:r>
        <w:rPr>
          <w:spacing w:val="5"/>
        </w:rPr>
        <w:t> </w:t>
      </w:r>
      <w:r>
        <w:rPr/>
        <w:t>Using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unique</w:t>
      </w:r>
      <w:r>
        <w:rPr>
          <w:spacing w:val="6"/>
        </w:rPr>
        <w:t> </w:t>
      </w:r>
      <w:r>
        <w:rPr/>
        <w:t>database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245</w:t>
      </w:r>
      <w:r>
        <w:rPr>
          <w:spacing w:val="5"/>
        </w:rPr>
        <w:t> </w:t>
      </w:r>
      <w:r>
        <w:rPr/>
        <w:t>non-financial</w:t>
      </w:r>
      <w:r>
        <w:rPr>
          <w:spacing w:val="7"/>
        </w:rPr>
        <w:t> </w:t>
      </w:r>
      <w:r>
        <w:rPr/>
        <w:t>companies</w:t>
      </w:r>
      <w:r>
        <w:rPr>
          <w:spacing w:val="6"/>
        </w:rPr>
        <w:t> </w:t>
      </w:r>
      <w:r>
        <w:rPr/>
        <w:t>for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12928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2"/>
        </w:rPr>
        <w:t> </w:t>
      </w:r>
      <w:r>
        <w:rPr/>
        <w:t>period</w:t>
      </w:r>
      <w:r>
        <w:rPr>
          <w:spacing w:val="-8"/>
        </w:rPr>
        <w:t> </w:t>
      </w:r>
      <w:r>
        <w:rPr/>
        <w:t>1998-2004,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performed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detailed</w:t>
      </w:r>
      <w:r>
        <w:rPr>
          <w:spacing w:val="-8"/>
        </w:rPr>
        <w:t> </w:t>
      </w:r>
      <w:r>
        <w:rPr/>
        <w:t>analysis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both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degree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compliance</w:t>
      </w:r>
      <w:r>
        <w:rPr>
          <w:spacing w:val="-11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provisions of the corporate governance code of best practices i.e. combined code, and the</w:t>
      </w:r>
      <w:r>
        <w:rPr>
          <w:spacing w:val="1"/>
        </w:rPr>
        <w:t> </w:t>
      </w:r>
      <w:r>
        <w:rPr/>
        <w:t>explanations given in case of non- compliance. They ranked the quality of explanations based</w:t>
      </w:r>
      <w:r>
        <w:rPr>
          <w:spacing w:val="1"/>
        </w:rPr>
        <w:t> </w:t>
      </w:r>
      <w:r>
        <w:rPr/>
        <w:t>on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content.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found</w:t>
      </w:r>
      <w:r>
        <w:rPr>
          <w:spacing w:val="-7"/>
        </w:rPr>
        <w:t> </w:t>
      </w:r>
      <w:r>
        <w:rPr/>
        <w:t>an</w:t>
      </w:r>
      <w:r>
        <w:rPr>
          <w:spacing w:val="-6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trend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compliance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provisions</w:t>
      </w:r>
      <w:r>
        <w:rPr>
          <w:spacing w:val="-5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combined</w:t>
      </w:r>
      <w:r>
        <w:rPr>
          <w:spacing w:val="-6"/>
        </w:rPr>
        <w:t> </w:t>
      </w:r>
      <w:r>
        <w:rPr/>
        <w:t>code,</w:t>
      </w:r>
      <w:r>
        <w:rPr>
          <w:spacing w:val="-7"/>
        </w:rPr>
        <w:t> </w:t>
      </w:r>
      <w:r>
        <w:rPr/>
        <w:t>but</w:t>
      </w:r>
      <w:r>
        <w:rPr>
          <w:spacing w:val="-8"/>
        </w:rPr>
        <w:t> </w:t>
      </w:r>
      <w:r>
        <w:rPr/>
        <w:t>also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frequent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standard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uninformative</w:t>
      </w:r>
      <w:r>
        <w:rPr>
          <w:spacing w:val="-10"/>
        </w:rPr>
        <w:t> </w:t>
      </w:r>
      <w:r>
        <w:rPr/>
        <w:t>explanations</w:t>
      </w:r>
      <w:r>
        <w:rPr>
          <w:spacing w:val="-7"/>
        </w:rPr>
        <w:t> </w:t>
      </w:r>
      <w:r>
        <w:rPr/>
        <w:t>when</w:t>
      </w:r>
      <w:r>
        <w:rPr>
          <w:spacing w:val="-58"/>
        </w:rPr>
        <w:t> </w:t>
      </w:r>
      <w:r>
        <w:rPr/>
        <w:t>departing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best</w:t>
      </w:r>
      <w:r>
        <w:rPr>
          <w:spacing w:val="-9"/>
        </w:rPr>
        <w:t> </w:t>
      </w:r>
      <w:r>
        <w:rPr/>
        <w:t>practices,</w:t>
      </w:r>
      <w:r>
        <w:rPr>
          <w:spacing w:val="-10"/>
        </w:rPr>
        <w:t> </w:t>
      </w:r>
      <w:r>
        <w:rPr/>
        <w:t>which</w:t>
      </w:r>
      <w:r>
        <w:rPr>
          <w:spacing w:val="-8"/>
        </w:rPr>
        <w:t> </w:t>
      </w:r>
      <w:r>
        <w:rPr/>
        <w:t>highlights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common</w:t>
      </w:r>
      <w:r>
        <w:rPr>
          <w:spacing w:val="-10"/>
        </w:rPr>
        <w:t> </w:t>
      </w:r>
      <w:r>
        <w:rPr/>
        <w:t>conformity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letter</w:t>
      </w:r>
      <w:r>
        <w:rPr>
          <w:spacing w:val="-9"/>
        </w:rPr>
        <w:t> </w:t>
      </w:r>
      <w:r>
        <w:rPr/>
        <w:t>but</w:t>
      </w:r>
      <w:r>
        <w:rPr>
          <w:spacing w:val="-10"/>
        </w:rPr>
        <w:t> </w:t>
      </w:r>
      <w:r>
        <w:rPr/>
        <w:t>not</w:t>
      </w:r>
      <w:r>
        <w:rPr>
          <w:spacing w:val="-11"/>
        </w:rPr>
        <w:t> </w:t>
      </w:r>
      <w:r>
        <w:rPr/>
        <w:t>the</w:t>
      </w:r>
      <w:r>
        <w:rPr>
          <w:spacing w:val="-57"/>
        </w:rPr>
        <w:t> </w:t>
      </w:r>
      <w:r>
        <w:rPr/>
        <w:t>spirit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code.</w:t>
      </w:r>
    </w:p>
    <w:p>
      <w:pPr>
        <w:pStyle w:val="BodyText"/>
        <w:spacing w:line="480" w:lineRule="auto" w:before="203"/>
        <w:ind w:right="830"/>
      </w:pPr>
      <w:r>
        <w:rPr/>
        <w:t>In their study, Bhuiyan and Biswas (2007) tried to examine the actual corporate governance</w:t>
      </w:r>
      <w:r>
        <w:rPr>
          <w:spacing w:val="1"/>
        </w:rPr>
        <w:t> </w:t>
      </w:r>
      <w:r>
        <w:rPr/>
        <w:t>practices in the listed public limited companies by considering 45 disclosure items. A random</w:t>
      </w:r>
      <w:r>
        <w:rPr>
          <w:spacing w:val="1"/>
        </w:rPr>
        <w:t> </w:t>
      </w:r>
      <w:r>
        <w:rPr/>
        <w:t>sample of 155 listed Public Limited Companies was taken for this purpose. To facilitate the</w:t>
      </w:r>
      <w:r>
        <w:rPr>
          <w:spacing w:val="1"/>
        </w:rPr>
        <w:t> </w:t>
      </w:r>
      <w:r>
        <w:rPr/>
        <w:t>analysis, they computed a Corporate Governance Disclosure Index (CGDI) and a number of</w:t>
      </w:r>
      <w:r>
        <w:rPr>
          <w:spacing w:val="1"/>
        </w:rPr>
        <w:t> </w:t>
      </w:r>
      <w:r>
        <w:rPr/>
        <w:t>hypotheses were tested. They found that significant difference among the CGDI of various</w:t>
      </w:r>
      <w:r>
        <w:rPr>
          <w:spacing w:val="1"/>
        </w:rPr>
        <w:t> </w:t>
      </w:r>
      <w:r>
        <w:rPr/>
        <w:t>sectors.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disclosures</w:t>
      </w:r>
      <w:r>
        <w:rPr>
          <w:spacing w:val="-1"/>
        </w:rPr>
        <w:t> </w:t>
      </w:r>
      <w:r>
        <w:rPr/>
        <w:t>than the non-financial sector.</w:t>
      </w:r>
    </w:p>
    <w:p>
      <w:pPr>
        <w:pStyle w:val="BodyText"/>
        <w:spacing w:line="480" w:lineRule="auto" w:before="200"/>
        <w:ind w:right="829"/>
      </w:pPr>
      <w:r>
        <w:rPr/>
        <w:t>Isukul and Chizea (2017) examined corporate governance disclosure in Nigerian and South</w:t>
      </w:r>
      <w:r>
        <w:rPr>
          <w:spacing w:val="1"/>
        </w:rPr>
        <w:t> </w:t>
      </w:r>
      <w:r>
        <w:rPr/>
        <w:t>African</w:t>
      </w:r>
      <w:r>
        <w:rPr>
          <w:spacing w:val="-7"/>
        </w:rPr>
        <w:t> </w:t>
      </w:r>
      <w:r>
        <w:rPr/>
        <w:t>banks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unweighted</w:t>
      </w:r>
      <w:r>
        <w:rPr>
          <w:spacing w:val="-9"/>
        </w:rPr>
        <w:t> </w:t>
      </w:r>
      <w:r>
        <w:rPr/>
        <w:t>disclosure</w:t>
      </w:r>
      <w:r>
        <w:rPr>
          <w:spacing w:val="-5"/>
        </w:rPr>
        <w:t> </w:t>
      </w:r>
      <w:r>
        <w:rPr/>
        <w:t>index</w:t>
      </w:r>
      <w:r>
        <w:rPr>
          <w:spacing w:val="-9"/>
        </w:rPr>
        <w:t> </w:t>
      </w:r>
      <w:r>
        <w:rPr/>
        <w:t>technique.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provided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cross-</w:t>
      </w:r>
      <w:r>
        <w:rPr>
          <w:spacing w:val="-58"/>
        </w:rPr>
        <w:t> </w:t>
      </w:r>
      <w:r>
        <w:rPr/>
        <w:t>sectional examination of corporate governance disclosure practices in the annual reports of</w:t>
      </w:r>
      <w:r>
        <w:rPr>
          <w:spacing w:val="1"/>
        </w:rPr>
        <w:t> </w:t>
      </w:r>
      <w:r>
        <w:rPr/>
        <w:t>listed</w:t>
      </w:r>
      <w:r>
        <w:rPr>
          <w:spacing w:val="-11"/>
        </w:rPr>
        <w:t> </w:t>
      </w:r>
      <w:r>
        <w:rPr/>
        <w:t>banks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Nigeria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South</w:t>
      </w:r>
      <w:r>
        <w:rPr>
          <w:spacing w:val="-10"/>
        </w:rPr>
        <w:t> </w:t>
      </w:r>
      <w:r>
        <w:rPr/>
        <w:t>Africa.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results</w:t>
      </w:r>
      <w:r>
        <w:rPr>
          <w:spacing w:val="-10"/>
        </w:rPr>
        <w:t> </w:t>
      </w:r>
      <w:r>
        <w:rPr/>
        <w:t>suggested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Nigerian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South</w:t>
      </w:r>
      <w:r>
        <w:rPr>
          <w:spacing w:val="-10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banks</w:t>
      </w:r>
      <w:r>
        <w:rPr>
          <w:spacing w:val="-13"/>
        </w:rPr>
        <w:t> </w:t>
      </w:r>
      <w:r>
        <w:rPr/>
        <w:t>had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high</w:t>
      </w:r>
      <w:r>
        <w:rPr>
          <w:spacing w:val="-13"/>
        </w:rPr>
        <w:t> </w:t>
      </w:r>
      <w:r>
        <w:rPr/>
        <w:t>level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corporate</w:t>
      </w:r>
      <w:r>
        <w:rPr>
          <w:spacing w:val="-14"/>
        </w:rPr>
        <w:t> </w:t>
      </w:r>
      <w:r>
        <w:rPr/>
        <w:t>governance</w:t>
      </w:r>
      <w:r>
        <w:rPr>
          <w:spacing w:val="-14"/>
        </w:rPr>
        <w:t> </w:t>
      </w:r>
      <w:r>
        <w:rPr/>
        <w:t>disclosure.</w:t>
      </w:r>
      <w:r>
        <w:rPr>
          <w:spacing w:val="-12"/>
        </w:rPr>
        <w:t> </w:t>
      </w:r>
      <w:r>
        <w:rPr/>
        <w:t>However,</w:t>
      </w:r>
      <w:r>
        <w:rPr>
          <w:spacing w:val="-14"/>
        </w:rPr>
        <w:t> </w:t>
      </w:r>
      <w:r>
        <w:rPr/>
        <w:t>Nigeria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South</w:t>
      </w:r>
      <w:r>
        <w:rPr>
          <w:spacing w:val="-13"/>
        </w:rPr>
        <w:t> </w:t>
      </w:r>
      <w:r>
        <w:rPr/>
        <w:t>African</w:t>
      </w:r>
      <w:r>
        <w:rPr>
          <w:spacing w:val="-57"/>
        </w:rPr>
        <w:t> </w:t>
      </w:r>
      <w:r>
        <w:rPr/>
        <w:t>banks had low levels of voluntary corporate governance disclosure. Furthermore, in reporting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disclosure,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collating</w:t>
      </w:r>
      <w:r>
        <w:rPr>
          <w:spacing w:val="1"/>
        </w:rPr>
        <w:t> </w:t>
      </w:r>
      <w:r>
        <w:rPr/>
        <w:t>information with no link to the overall business strategy of the organization while the South</w:t>
      </w:r>
      <w:r>
        <w:rPr>
          <w:spacing w:val="1"/>
        </w:rPr>
        <w:t> </w:t>
      </w:r>
      <w:r>
        <w:rPr/>
        <w:t>African banks have a more robust approach to voluntary corporate governance disclosure as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applied</w:t>
      </w:r>
      <w:r>
        <w:rPr>
          <w:spacing w:val="-5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guidelines</w:t>
      </w:r>
      <w:r>
        <w:rPr>
          <w:spacing w:val="-5"/>
        </w:rPr>
        <w:t> </w:t>
      </w:r>
      <w:r>
        <w:rPr/>
        <w:t>such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Global</w:t>
      </w:r>
      <w:r>
        <w:rPr>
          <w:spacing w:val="-4"/>
        </w:rPr>
        <w:t> </w:t>
      </w:r>
      <w:r>
        <w:rPr/>
        <w:t>Reporting</w:t>
      </w:r>
      <w:r>
        <w:rPr>
          <w:spacing w:val="-4"/>
        </w:rPr>
        <w:t> </w:t>
      </w:r>
      <w:r>
        <w:rPr/>
        <w:t>Initiative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their</w:t>
      </w:r>
      <w:r>
        <w:rPr>
          <w:spacing w:val="-6"/>
        </w:rPr>
        <w:t> </w:t>
      </w:r>
      <w:r>
        <w:rPr/>
        <w:t>disclosure.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1344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Akhtaruddin (2005) examined corporate governance and mandatory disclosure practices in</w:t>
      </w:r>
      <w:r>
        <w:rPr>
          <w:spacing w:val="1"/>
        </w:rPr>
        <w:t> </w:t>
      </w:r>
      <w:r>
        <w:rPr/>
        <w:t>Bangladesh by selecting 94 listed companies for the period 1999. A corporate governance</w:t>
      </w:r>
      <w:r>
        <w:rPr>
          <w:spacing w:val="1"/>
        </w:rPr>
        <w:t> </w:t>
      </w:r>
      <w:r>
        <w:rPr/>
        <w:t>disclosure index was prepared and non-parametric and parametric tests were used to test the</w:t>
      </w:r>
      <w:r>
        <w:rPr>
          <w:spacing w:val="1"/>
        </w:rPr>
        <w:t> </w:t>
      </w:r>
      <w:r>
        <w:rPr/>
        <w:t>hypotheses.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found</w:t>
      </w:r>
      <w:r>
        <w:rPr>
          <w:spacing w:val="-2"/>
        </w:rPr>
        <w:t> </w:t>
      </w:r>
      <w:r>
        <w:rPr/>
        <w:t>that</w:t>
      </w:r>
      <w:r>
        <w:rPr>
          <w:spacing w:val="-6"/>
        </w:rPr>
        <w:t> </w:t>
      </w:r>
      <w:r>
        <w:rPr/>
        <w:t>company</w:t>
      </w:r>
      <w:r>
        <w:rPr>
          <w:spacing w:val="-6"/>
        </w:rPr>
        <w:t> </w:t>
      </w:r>
      <w:r>
        <w:rPr/>
        <w:t>disclosures</w:t>
      </w:r>
      <w:r>
        <w:rPr>
          <w:spacing w:val="-5"/>
        </w:rPr>
        <w:t> </w:t>
      </w:r>
      <w:r>
        <w:rPr/>
        <w:t>averaged</w:t>
      </w:r>
      <w:r>
        <w:rPr>
          <w:spacing w:val="-5"/>
        </w:rPr>
        <w:t> </w:t>
      </w:r>
      <w:r>
        <w:rPr/>
        <w:t>44%.</w:t>
      </w:r>
      <w:r>
        <w:rPr>
          <w:spacing w:val="-5"/>
        </w:rPr>
        <w:t> </w:t>
      </w:r>
      <w:r>
        <w:rPr/>
        <w:t>Firm</w:t>
      </w:r>
      <w:r>
        <w:rPr>
          <w:spacing w:val="-5"/>
        </w:rPr>
        <w:t> </w:t>
      </w:r>
      <w:r>
        <w:rPr/>
        <w:t>age</w:t>
      </w:r>
      <w:r>
        <w:rPr>
          <w:spacing w:val="-6"/>
        </w:rPr>
        <w:t> </w:t>
      </w:r>
      <w:r>
        <w:rPr/>
        <w:t>was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associated</w:t>
      </w:r>
      <w:r>
        <w:rPr>
          <w:spacing w:val="-58"/>
        </w:rPr>
        <w:t> </w:t>
      </w:r>
      <w:r>
        <w:rPr/>
        <w:t>with</w:t>
      </w:r>
      <w:r>
        <w:rPr>
          <w:spacing w:val="-6"/>
        </w:rPr>
        <w:t> </w:t>
      </w:r>
      <w:r>
        <w:rPr/>
        <w:t>disclosures</w:t>
      </w:r>
      <w:r>
        <w:rPr>
          <w:spacing w:val="-6"/>
        </w:rPr>
        <w:t> </w:t>
      </w:r>
      <w:r>
        <w:rPr/>
        <w:t>but</w:t>
      </w:r>
      <w:r>
        <w:rPr>
          <w:spacing w:val="-6"/>
        </w:rPr>
        <w:t> </w:t>
      </w:r>
      <w:r>
        <w:rPr/>
        <w:t>industry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profitability</w:t>
      </w:r>
      <w:r>
        <w:rPr>
          <w:spacing w:val="-5"/>
        </w:rPr>
        <w:t> </w:t>
      </w:r>
      <w:r>
        <w:rPr/>
        <w:t>were</w:t>
      </w:r>
      <w:r>
        <w:rPr>
          <w:spacing w:val="-7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predictors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higher</w:t>
      </w:r>
      <w:r>
        <w:rPr>
          <w:spacing w:val="-6"/>
        </w:rPr>
        <w:t> </w:t>
      </w:r>
      <w:r>
        <w:rPr/>
        <w:t>disclosures.</w:t>
      </w:r>
    </w:p>
    <w:p>
      <w:pPr>
        <w:pStyle w:val="BodyText"/>
        <w:spacing w:line="480" w:lineRule="auto" w:before="202"/>
        <w:ind w:right="828"/>
      </w:pPr>
      <w:r>
        <w:rPr/>
        <w:t>Hossain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Khan</w:t>
      </w:r>
      <w:r>
        <w:rPr>
          <w:spacing w:val="-1"/>
        </w:rPr>
        <w:t> </w:t>
      </w:r>
      <w:r>
        <w:rPr/>
        <w:t>(2006)</w:t>
      </w:r>
      <w:r>
        <w:rPr>
          <w:spacing w:val="-2"/>
        </w:rPr>
        <w:t> </w:t>
      </w:r>
      <w:r>
        <w:rPr/>
        <w:t>analysed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100</w:t>
      </w:r>
      <w:r>
        <w:rPr>
          <w:spacing w:val="-2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listed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DSE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2004</w:t>
      </w:r>
      <w:r>
        <w:rPr>
          <w:spacing w:val="-58"/>
        </w:rPr>
        <w:t> </w:t>
      </w:r>
      <w:r>
        <w:rPr/>
        <w:t>to assess the impact of leverage, profitability, firm size, qualification of accounting officer,</w:t>
      </w:r>
      <w:r>
        <w:rPr>
          <w:spacing w:val="1"/>
        </w:rPr>
        <w:t> </w:t>
      </w:r>
      <w:r>
        <w:rPr/>
        <w:t>banking companies, big four auditor, multinational company and concentrated ownership on a</w:t>
      </w:r>
      <w:r>
        <w:rPr>
          <w:spacing w:val="-57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index.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multinational</w:t>
      </w:r>
      <w:r>
        <w:rPr>
          <w:spacing w:val="1"/>
        </w:rPr>
        <w:t> </w:t>
      </w:r>
      <w:r>
        <w:rPr/>
        <w:t>affiliations,</w:t>
      </w:r>
      <w:r>
        <w:rPr>
          <w:spacing w:val="1"/>
        </w:rPr>
        <w:t> </w:t>
      </w:r>
      <w:r>
        <w:rPr/>
        <w:t>employing big four auditors, concentrated ownership and banks were all positively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higher levels of disclosure.</w:t>
      </w:r>
    </w:p>
    <w:p>
      <w:pPr>
        <w:pStyle w:val="BodyText"/>
        <w:spacing w:line="480" w:lineRule="auto" w:before="201"/>
        <w:ind w:right="825"/>
      </w:pPr>
      <w:r>
        <w:rPr/>
        <w:t>Rouf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Harun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characteristics,</w:t>
      </w:r>
      <w:r>
        <w:rPr>
          <w:spacing w:val="-12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characteristics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level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disclosure</w:t>
      </w:r>
      <w:r>
        <w:rPr>
          <w:spacing w:val="-13"/>
        </w:rPr>
        <w:t> </w:t>
      </w:r>
      <w:r>
        <w:rPr/>
        <w:t>on</w:t>
      </w:r>
      <w:r>
        <w:rPr>
          <w:spacing w:val="-11"/>
        </w:rPr>
        <w:t> </w:t>
      </w:r>
      <w:r>
        <w:rPr/>
        <w:t>sample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120</w:t>
      </w:r>
      <w:r>
        <w:rPr>
          <w:spacing w:val="-11"/>
        </w:rPr>
        <w:t> </w:t>
      </w:r>
      <w:r>
        <w:rPr/>
        <w:t>listed</w:t>
      </w:r>
      <w:r>
        <w:rPr>
          <w:spacing w:val="-11"/>
        </w:rPr>
        <w:t> </w:t>
      </w:r>
      <w:r>
        <w:rPr/>
        <w:t>non-</w:t>
      </w:r>
      <w:r>
        <w:rPr>
          <w:spacing w:val="-58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companies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DSE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2007.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disclosure</w:t>
      </w:r>
      <w:r>
        <w:rPr>
          <w:spacing w:val="-10"/>
        </w:rPr>
        <w:t> </w:t>
      </w:r>
      <w:r>
        <w:rPr/>
        <w:t>index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utilizing</w:t>
      </w:r>
      <w:r>
        <w:rPr>
          <w:spacing w:val="-9"/>
        </w:rPr>
        <w:t> </w:t>
      </w:r>
      <w:r>
        <w:rPr/>
        <w:t>68</w:t>
      </w:r>
      <w:r>
        <w:rPr>
          <w:spacing w:val="-8"/>
        </w:rPr>
        <w:t> </w:t>
      </w:r>
      <w:r>
        <w:rPr/>
        <w:t>disclosure</w:t>
      </w:r>
      <w:r>
        <w:rPr>
          <w:spacing w:val="-58"/>
        </w:rPr>
        <w:t> </w:t>
      </w:r>
      <w:r>
        <w:rPr/>
        <w:t>items. Several variables were used in the study to test the association between the extent of</w:t>
      </w:r>
      <w:r>
        <w:rPr>
          <w:spacing w:val="1"/>
        </w:rPr>
        <w:t> </w:t>
      </w:r>
      <w:r>
        <w:rPr/>
        <w:t>disclosure and ownership structure consisting of a proportion of equity in possession by</w:t>
      </w:r>
      <w:r>
        <w:rPr>
          <w:spacing w:val="1"/>
        </w:rPr>
        <w:t> </w:t>
      </w:r>
      <w:r>
        <w:rPr/>
        <w:t>insiders, proportion of equity held by institutional shareholders, total assets, total sales and</w:t>
      </w:r>
      <w:r>
        <w:rPr>
          <w:spacing w:val="1"/>
        </w:rPr>
        <w:t> </w:t>
      </w:r>
      <w:r>
        <w:rPr/>
        <w:t>profitability of a firm. Results indicate that the level of information disclosure was positively</w:t>
      </w:r>
      <w:r>
        <w:rPr>
          <w:spacing w:val="1"/>
        </w:rPr>
        <w:t> </w:t>
      </w:r>
      <w:r>
        <w:rPr/>
        <w:t>associated with higher institutional ownership composition but negatively associated with</w:t>
      </w:r>
      <w:r>
        <w:rPr>
          <w:spacing w:val="1"/>
        </w:rPr>
        <w:t> </w:t>
      </w:r>
      <w:r>
        <w:rPr/>
        <w:t>higher</w:t>
      </w:r>
      <w:r>
        <w:rPr>
          <w:spacing w:val="-15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ownership.</w:t>
      </w:r>
      <w:r>
        <w:rPr>
          <w:spacing w:val="-12"/>
        </w:rPr>
        <w:t> </w:t>
      </w:r>
      <w:r>
        <w:rPr/>
        <w:t>There</w:t>
      </w:r>
      <w:r>
        <w:rPr>
          <w:spacing w:val="-13"/>
        </w:rPr>
        <w:t> </w:t>
      </w:r>
      <w:r>
        <w:rPr/>
        <w:t>was</w:t>
      </w:r>
      <w:r>
        <w:rPr>
          <w:spacing w:val="-10"/>
        </w:rPr>
        <w:t> </w:t>
      </w:r>
      <w:r>
        <w:rPr/>
        <w:t>also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positive</w:t>
      </w:r>
      <w:r>
        <w:rPr>
          <w:spacing w:val="-13"/>
        </w:rPr>
        <w:t> </w:t>
      </w:r>
      <w:r>
        <w:rPr/>
        <w:t>relation</w:t>
      </w:r>
      <w:r>
        <w:rPr>
          <w:spacing w:val="-12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disclosure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board</w:t>
      </w:r>
      <w:r>
        <w:rPr>
          <w:spacing w:val="-58"/>
        </w:rPr>
        <w:t> </w:t>
      </w:r>
      <w:r>
        <w:rPr/>
        <w:t>size, board leadership structure and audit committee existence but a negative relation with the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independent non-executive</w:t>
      </w:r>
      <w:r>
        <w:rPr>
          <w:spacing w:val="-1"/>
        </w:rPr>
        <w:t> </w:t>
      </w:r>
      <w:r>
        <w:rPr/>
        <w:t>directors.</w:t>
      </w:r>
    </w:p>
    <w:p>
      <w:pPr>
        <w:pStyle w:val="BodyText"/>
        <w:spacing w:line="480" w:lineRule="auto" w:before="200"/>
        <w:ind w:right="831"/>
      </w:pPr>
      <w:r>
        <w:rPr/>
        <w:t>Anup and Shahnag (2013) studied the association between voluntary disclosure and several</w:t>
      </w:r>
      <w:r>
        <w:rPr>
          <w:spacing w:val="1"/>
        </w:rPr>
        <w:t> </w:t>
      </w:r>
      <w:r>
        <w:rPr/>
        <w:t>attributes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corporate</w:t>
      </w:r>
      <w:r>
        <w:rPr>
          <w:spacing w:val="16"/>
        </w:rPr>
        <w:t> </w:t>
      </w:r>
      <w:r>
        <w:rPr/>
        <w:t>governance</w:t>
      </w:r>
      <w:r>
        <w:rPr>
          <w:spacing w:val="14"/>
        </w:rPr>
        <w:t> </w:t>
      </w:r>
      <w:r>
        <w:rPr/>
        <w:t>using</w:t>
      </w:r>
      <w:r>
        <w:rPr>
          <w:spacing w:val="17"/>
        </w:rPr>
        <w:t> </w:t>
      </w:r>
      <w:r>
        <w:rPr/>
        <w:t>data</w:t>
      </w:r>
      <w:r>
        <w:rPr>
          <w:spacing w:val="15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annual</w:t>
      </w:r>
      <w:r>
        <w:rPr>
          <w:spacing w:val="17"/>
        </w:rPr>
        <w:t> </w:t>
      </w:r>
      <w:r>
        <w:rPr/>
        <w:t>reports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companies</w:t>
      </w:r>
      <w:r>
        <w:rPr>
          <w:spacing w:val="15"/>
        </w:rPr>
        <w:t> </w:t>
      </w:r>
      <w:r>
        <w:rPr/>
        <w:t>listed</w:t>
      </w:r>
      <w:r>
        <w:rPr>
          <w:spacing w:val="16"/>
        </w:rPr>
        <w:t> </w:t>
      </w:r>
      <w:r>
        <w:rPr/>
        <w:t>on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1395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DSE in 2011. The results obtained show statistically significant differences in levels of</w:t>
      </w:r>
      <w:r>
        <w:rPr>
          <w:spacing w:val="1"/>
        </w:rPr>
        <w:t> </w:t>
      </w:r>
      <w:r>
        <w:rPr/>
        <w:t>voluntary</w:t>
      </w:r>
      <w:r>
        <w:rPr>
          <w:spacing w:val="-10"/>
        </w:rPr>
        <w:t> </w:t>
      </w:r>
      <w:r>
        <w:rPr/>
        <w:t>disclosure</w:t>
      </w:r>
      <w:r>
        <w:rPr>
          <w:spacing w:val="-10"/>
        </w:rPr>
        <w:t> </w:t>
      </w:r>
      <w:r>
        <w:rPr/>
        <w:t>among</w:t>
      </w:r>
      <w:r>
        <w:rPr>
          <w:spacing w:val="-8"/>
        </w:rPr>
        <w:t> </w:t>
      </w:r>
      <w:r>
        <w:rPr/>
        <w:t>listed</w:t>
      </w:r>
      <w:r>
        <w:rPr>
          <w:spacing w:val="-10"/>
        </w:rPr>
        <w:t> </w:t>
      </w:r>
      <w:r>
        <w:rPr/>
        <w:t>companies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Bangladesh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companies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financial</w:t>
      </w:r>
      <w:r>
        <w:rPr>
          <w:spacing w:val="-58"/>
        </w:rPr>
        <w:t> </w:t>
      </w:r>
      <w:r>
        <w:rPr/>
        <w:t>sector disclose more voluntary information than nonfinancial companies. Findings from this</w:t>
      </w:r>
      <w:r>
        <w:rPr>
          <w:spacing w:val="1"/>
        </w:rPr>
        <w:t> </w:t>
      </w:r>
      <w:r>
        <w:rPr/>
        <w:t>analysis</w:t>
      </w:r>
      <w:r>
        <w:rPr>
          <w:spacing w:val="-11"/>
        </w:rPr>
        <w:t> </w:t>
      </w:r>
      <w:r>
        <w:rPr/>
        <w:t>indicated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negative</w:t>
      </w:r>
      <w:r>
        <w:rPr>
          <w:spacing w:val="-12"/>
        </w:rPr>
        <w:t> </w:t>
      </w:r>
      <w:r>
        <w:rPr/>
        <w:t>association</w:t>
      </w:r>
      <w:r>
        <w:rPr>
          <w:spacing w:val="-11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voluntary</w:t>
      </w:r>
      <w:r>
        <w:rPr>
          <w:spacing w:val="-12"/>
        </w:rPr>
        <w:t> </w:t>
      </w:r>
      <w:r>
        <w:rPr/>
        <w:t>disclosure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percentage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equity</w:t>
      </w:r>
      <w:r>
        <w:rPr>
          <w:spacing w:val="-58"/>
        </w:rPr>
        <w:t> </w:t>
      </w:r>
      <w:r>
        <w:rPr/>
        <w:t>owned by insiders. By</w:t>
      </w:r>
      <w:r>
        <w:rPr>
          <w:spacing w:val="1"/>
        </w:rPr>
        <w:t> </w:t>
      </w:r>
      <w:r>
        <w:rPr/>
        <w:t>contrast, firm size and</w:t>
      </w:r>
      <w:r>
        <w:rPr>
          <w:spacing w:val="1"/>
        </w:rPr>
        <w:t> </w:t>
      </w:r>
      <w:r>
        <w:rPr/>
        <w:t>profitability showed a significant positive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with voluntary disclosure.</w:t>
      </w:r>
    </w:p>
    <w:p>
      <w:pPr>
        <w:pStyle w:val="BodyText"/>
        <w:spacing w:line="480" w:lineRule="auto" w:before="203"/>
        <w:ind w:right="830"/>
      </w:pPr>
      <w:r>
        <w:rPr/>
        <w:t>Haniffa and Cooke (2002), using 1995 annual reports, observed that Malaysian corporate</w:t>
      </w:r>
      <w:r>
        <w:rPr>
          <w:spacing w:val="1"/>
        </w:rPr>
        <w:t> </w:t>
      </w:r>
      <w:r>
        <w:rPr/>
        <w:t>governance disclosure was influenced by cultural factors and the effectiveness of corporate</w:t>
      </w:r>
      <w:r>
        <w:rPr>
          <w:spacing w:val="1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mechanisms.</w:t>
      </w:r>
      <w:r>
        <w:rPr>
          <w:spacing w:val="-11"/>
        </w:rPr>
        <w:t> </w:t>
      </w:r>
      <w:r>
        <w:rPr/>
        <w:t>They</w:t>
      </w:r>
      <w:r>
        <w:rPr>
          <w:spacing w:val="-10"/>
        </w:rPr>
        <w:t> </w:t>
      </w:r>
      <w:r>
        <w:rPr/>
        <w:t>included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proportion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non-executive</w:t>
      </w:r>
      <w:r>
        <w:rPr>
          <w:spacing w:val="-12"/>
        </w:rPr>
        <w:t> </w:t>
      </w:r>
      <w:r>
        <w:rPr/>
        <w:t>directors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board,</w:t>
      </w:r>
      <w:r>
        <w:rPr>
          <w:spacing w:val="-58"/>
        </w:rPr>
        <w:t> </w:t>
      </w:r>
      <w:r>
        <w:rPr/>
        <w:t>family members on the board, CEO duality and multiple-directorships. Subsequently, Ghazali</w:t>
      </w:r>
      <w:r>
        <w:rPr>
          <w:spacing w:val="-57"/>
        </w:rPr>
        <w:t> </w:t>
      </w:r>
      <w:r>
        <w:rPr/>
        <w:t>and Weetman (2006) sought to determine whether there was an impact of the Malaysian Code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Malaysian</w:t>
      </w:r>
      <w:r>
        <w:rPr>
          <w:spacing w:val="1"/>
        </w:rPr>
        <w:t> </w:t>
      </w:r>
      <w:r>
        <w:rPr/>
        <w:t>publicly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companies.</w:t>
      </w:r>
      <w:r>
        <w:rPr>
          <w:spacing w:val="-13"/>
        </w:rPr>
        <w:t> </w:t>
      </w:r>
      <w:r>
        <w:rPr/>
        <w:t>Their</w:t>
      </w:r>
      <w:r>
        <w:rPr>
          <w:spacing w:val="-14"/>
        </w:rPr>
        <w:t> </w:t>
      </w:r>
      <w:r>
        <w:rPr/>
        <w:t>results</w:t>
      </w:r>
      <w:r>
        <w:rPr>
          <w:spacing w:val="-12"/>
        </w:rPr>
        <w:t> </w:t>
      </w:r>
      <w:r>
        <w:rPr/>
        <w:t>indicated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association</w:t>
      </w:r>
      <w:r>
        <w:rPr>
          <w:spacing w:val="-12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independent</w:t>
      </w:r>
      <w:r>
        <w:rPr>
          <w:spacing w:val="-12"/>
        </w:rPr>
        <w:t> </w:t>
      </w:r>
      <w:r>
        <w:rPr/>
        <w:t>non-executive</w:t>
      </w:r>
      <w:r>
        <w:rPr>
          <w:spacing w:val="-58"/>
        </w:rPr>
        <w:t> </w:t>
      </w:r>
      <w:r>
        <w:rPr/>
        <w:t>directors,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chairman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presence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family</w:t>
      </w:r>
      <w:r>
        <w:rPr>
          <w:spacing w:val="-8"/>
        </w:rPr>
        <w:t> </w:t>
      </w:r>
      <w:r>
        <w:rPr/>
        <w:t>members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board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extent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disclosure.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they</w:t>
      </w:r>
      <w:r>
        <w:rPr>
          <w:spacing w:val="-2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find</w:t>
      </w:r>
      <w:r>
        <w:rPr>
          <w:spacing w:val="-2"/>
        </w:rPr>
        <w:t> </w:t>
      </w:r>
      <w:r>
        <w:rPr/>
        <w:t>proprietary</w:t>
      </w:r>
      <w:r>
        <w:rPr>
          <w:spacing w:val="1"/>
        </w:rPr>
        <w:t> </w:t>
      </w:r>
      <w:r>
        <w:rPr/>
        <w:t>costs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predictors.</w:t>
      </w:r>
    </w:p>
    <w:p>
      <w:pPr>
        <w:pStyle w:val="BodyText"/>
        <w:spacing w:line="480" w:lineRule="auto" w:before="200"/>
        <w:ind w:right="832"/>
      </w:pPr>
      <w:r>
        <w:rPr/>
        <w:t>Nazli, Ghazali and Weetman (2006) examined structural institutional factors associated with</w:t>
      </w:r>
      <w:r>
        <w:rPr>
          <w:spacing w:val="1"/>
        </w:rPr>
        <w:t> </w:t>
      </w:r>
      <w:r>
        <w:rPr/>
        <w:t>the degree of disclosures. Using a sample of 2001 listed company annual reports, their results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ownership;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industry</w:t>
      </w:r>
      <w:r>
        <w:rPr>
          <w:spacing w:val="-57"/>
        </w:rPr>
        <w:t> </w:t>
      </w:r>
      <w:r>
        <w:rPr/>
        <w:t>competitiveness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not important predictors of disclosure.</w:t>
      </w:r>
    </w:p>
    <w:p>
      <w:pPr>
        <w:pStyle w:val="BodyText"/>
        <w:spacing w:line="480" w:lineRule="auto" w:before="200"/>
        <w:ind w:right="829"/>
      </w:pPr>
      <w:r>
        <w:rPr/>
        <w:t>Clarkson, Bueren and Walker (2006) provided positive results on the association between</w:t>
      </w:r>
      <w:r>
        <w:rPr>
          <w:spacing w:val="1"/>
        </w:rPr>
        <w:t> </w:t>
      </w:r>
      <w:r>
        <w:rPr/>
        <w:t>internal governance quality and CEO compensation disclosures. They analysed the correlation</w:t>
      </w:r>
      <w:r>
        <w:rPr>
          <w:spacing w:val="-57"/>
        </w:rPr>
        <w:t> </w:t>
      </w:r>
      <w:r>
        <w:rPr/>
        <w:t>between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extent</w:t>
      </w:r>
      <w:r>
        <w:rPr>
          <w:spacing w:val="-11"/>
        </w:rPr>
        <w:t> </w:t>
      </w:r>
      <w:r>
        <w:rPr/>
        <w:t>of,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changes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disclosure</w:t>
      </w:r>
      <w:r>
        <w:rPr>
          <w:spacing w:val="-8"/>
        </w:rPr>
        <w:t> </w:t>
      </w:r>
      <w:r>
        <w:rPr/>
        <w:t>involving</w:t>
      </w:r>
      <w:r>
        <w:rPr>
          <w:spacing w:val="-11"/>
        </w:rPr>
        <w:t> </w:t>
      </w:r>
      <w:r>
        <w:rPr/>
        <w:t>chief</w:t>
      </w:r>
      <w:r>
        <w:rPr>
          <w:spacing w:val="-10"/>
        </w:rPr>
        <w:t> </w:t>
      </w:r>
      <w:r>
        <w:rPr/>
        <w:t>executive</w:t>
      </w:r>
      <w:r>
        <w:rPr>
          <w:spacing w:val="-9"/>
        </w:rPr>
        <w:t> </w:t>
      </w:r>
      <w:r>
        <w:rPr/>
        <w:t>officer</w:t>
      </w:r>
      <w:r>
        <w:rPr>
          <w:spacing w:val="-10"/>
        </w:rPr>
        <w:t> </w:t>
      </w:r>
      <w:r>
        <w:rPr/>
        <w:t>remuneration</w:t>
      </w:r>
      <w:r>
        <w:rPr>
          <w:spacing w:val="-58"/>
        </w:rPr>
        <w:t> </w:t>
      </w:r>
      <w:r>
        <w:rPr/>
        <w:t>in the annual reports under the Company Law Review Act 1998 (CLRA98) and AASB1046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sample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124</w:t>
      </w:r>
      <w:r>
        <w:rPr>
          <w:spacing w:val="-3"/>
        </w:rPr>
        <w:t> </w:t>
      </w:r>
      <w:r>
        <w:rPr/>
        <w:t>Australian</w:t>
      </w:r>
      <w:r>
        <w:rPr>
          <w:spacing w:val="-3"/>
        </w:rPr>
        <w:t> </w:t>
      </w:r>
      <w:r>
        <w:rPr/>
        <w:t>firms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period</w:t>
      </w:r>
      <w:r>
        <w:rPr>
          <w:spacing w:val="-4"/>
        </w:rPr>
        <w:t> </w:t>
      </w:r>
      <w:r>
        <w:rPr/>
        <w:t>1998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2004.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indicated</w:t>
      </w:r>
      <w:r>
        <w:rPr>
          <w:spacing w:val="-4"/>
        </w:rPr>
        <w:t> </w:t>
      </w:r>
      <w:r>
        <w:rPr/>
        <w:t>that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2"/>
      </w:pPr>
      <w:r>
        <w:rPr/>
        <w:t>firm size, board, audit committee and remuneration committee independence, quality of the</w:t>
      </w:r>
      <w:r>
        <w:rPr>
          <w:spacing w:val="1"/>
        </w:rPr>
        <w:t> </w:t>
      </w:r>
      <w:r>
        <w:rPr/>
        <w:t>auditor, cross-listing status and public scrutiny were positively related to higher levels of</w:t>
      </w:r>
      <w:r>
        <w:rPr>
          <w:spacing w:val="1"/>
        </w:rPr>
        <w:t> </w:t>
      </w:r>
      <w:r>
        <w:rPr/>
        <w:t>disclosure.</w:t>
      </w:r>
    </w:p>
    <w:p>
      <w:pPr>
        <w:pStyle w:val="BodyText"/>
        <w:spacing w:line="480" w:lineRule="auto" w:before="202"/>
        <w:ind w:right="831"/>
      </w:pPr>
      <w:r>
        <w:rPr/>
        <w:drawing>
          <wp:anchor distT="0" distB="0" distL="0" distR="0" allowOverlap="1" layoutInCell="1" locked="0" behindDoc="1" simplePos="0" relativeHeight="454014464">
            <wp:simplePos x="0" y="0"/>
            <wp:positionH relativeFrom="page">
              <wp:posOffset>1261605</wp:posOffset>
            </wp:positionH>
            <wp:positionV relativeFrom="paragraph">
              <wp:posOffset>726606</wp:posOffset>
            </wp:positionV>
            <wp:extent cx="5133225" cy="5265293"/>
            <wp:effectExtent l="0" t="0" r="0" b="0"/>
            <wp:wrapNone/>
            <wp:docPr id="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O’Sullivan,</w:t>
      </w:r>
      <w:r>
        <w:rPr>
          <w:spacing w:val="1"/>
        </w:rPr>
        <w:t> </w:t>
      </w:r>
      <w:r>
        <w:rPr/>
        <w:t>Percy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Stewart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score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disclosure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prospective</w:t>
      </w:r>
      <w:r>
        <w:rPr>
          <w:spacing w:val="-6"/>
        </w:rPr>
        <w:t> </w:t>
      </w:r>
      <w:r>
        <w:rPr/>
        <w:t>information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Australian</w:t>
      </w:r>
      <w:r>
        <w:rPr>
          <w:spacing w:val="-9"/>
        </w:rPr>
        <w:t> </w:t>
      </w:r>
      <w:r>
        <w:rPr/>
        <w:t>annual</w:t>
      </w:r>
      <w:r>
        <w:rPr>
          <w:spacing w:val="-7"/>
        </w:rPr>
        <w:t> </w:t>
      </w:r>
      <w:r>
        <w:rPr/>
        <w:t>reports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period 2000 and 2002. They found that, in 2000, audit quality variables such as audit</w:t>
      </w:r>
      <w:r>
        <w:rPr>
          <w:spacing w:val="1"/>
        </w:rPr>
        <w:t> </w:t>
      </w:r>
      <w:r>
        <w:rPr/>
        <w:t>committee</w:t>
      </w:r>
      <w:r>
        <w:rPr>
          <w:spacing w:val="-14"/>
        </w:rPr>
        <w:t> </w:t>
      </w:r>
      <w:r>
        <w:rPr/>
        <w:t>existence,</w:t>
      </w:r>
      <w:r>
        <w:rPr>
          <w:spacing w:val="-11"/>
        </w:rPr>
        <w:t> </w:t>
      </w:r>
      <w:r>
        <w:rPr/>
        <w:t>independence,</w:t>
      </w:r>
      <w:r>
        <w:rPr>
          <w:spacing w:val="-11"/>
        </w:rPr>
        <w:t> </w:t>
      </w:r>
      <w:r>
        <w:rPr/>
        <w:t>meeting</w:t>
      </w:r>
      <w:r>
        <w:rPr>
          <w:spacing w:val="-11"/>
        </w:rPr>
        <w:t> </w:t>
      </w:r>
      <w:r>
        <w:rPr/>
        <w:t>frequency,</w:t>
      </w:r>
      <w:r>
        <w:rPr>
          <w:spacing w:val="-11"/>
        </w:rPr>
        <w:t> </w:t>
      </w:r>
      <w:r>
        <w:rPr/>
        <w:t>auditor</w:t>
      </w:r>
      <w:r>
        <w:rPr>
          <w:spacing w:val="-12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independence</w:t>
      </w:r>
      <w:r>
        <w:rPr>
          <w:spacing w:val="-12"/>
        </w:rPr>
        <w:t> </w:t>
      </w:r>
      <w:r>
        <w:rPr/>
        <w:t>were</w:t>
      </w:r>
      <w:r>
        <w:rPr>
          <w:spacing w:val="-58"/>
        </w:rPr>
        <w:t> </w:t>
      </w:r>
      <w:r>
        <w:rPr/>
        <w:t>all positively associated with the choice to disclose forward-looking information in annual</w:t>
      </w:r>
      <w:r>
        <w:rPr>
          <w:spacing w:val="1"/>
        </w:rPr>
        <w:t> </w:t>
      </w:r>
      <w:r>
        <w:rPr/>
        <w:t>reports. In addition, they also find that governance quality variables such as the independence</w:t>
      </w:r>
      <w:r>
        <w:rPr>
          <w:spacing w:val="1"/>
        </w:rPr>
        <w:t> </w:t>
      </w:r>
      <w:r>
        <w:rPr/>
        <w:t>of compensation committee members and the formation of a nomination committee also</w:t>
      </w:r>
      <w:r>
        <w:rPr>
          <w:spacing w:val="1"/>
        </w:rPr>
        <w:t> </w:t>
      </w:r>
      <w:r>
        <w:rPr/>
        <w:t>positively</w:t>
      </w:r>
      <w:r>
        <w:rPr>
          <w:spacing w:val="-1"/>
        </w:rPr>
        <w:t> </w:t>
      </w:r>
      <w:r>
        <w:rPr/>
        <w:t>associated to forward-looking information disclosures.</w:t>
      </w:r>
    </w:p>
    <w:p>
      <w:pPr>
        <w:pStyle w:val="BodyText"/>
        <w:spacing w:line="480" w:lineRule="auto" w:before="201"/>
        <w:ind w:right="828"/>
      </w:pPr>
      <w:r>
        <w:rPr/>
        <w:t>In another study conducted by Hossain and Hammami (2009), the researchers empirically</w:t>
      </w:r>
      <w:r>
        <w:rPr>
          <w:spacing w:val="1"/>
        </w:rPr>
        <w:t> </w:t>
      </w:r>
      <w:r>
        <w:rPr/>
        <w:t>examined the determinants of voluntary disclosure in the AR of 25 listed firms of Doha</w:t>
      </w:r>
      <w:r>
        <w:rPr>
          <w:spacing w:val="1"/>
        </w:rPr>
        <w:t> </w:t>
      </w:r>
      <w:r>
        <w:rPr/>
        <w:t>securities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‘Qatar.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checklist</w:t>
      </w:r>
      <w:r>
        <w:rPr>
          <w:spacing w:val="1"/>
        </w:rPr>
        <w:t> </w:t>
      </w:r>
      <w:r>
        <w:rPr/>
        <w:t>consisting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44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 was developed and statistical analysis was performed using multiple regression</w:t>
      </w:r>
      <w:r>
        <w:rPr>
          <w:spacing w:val="1"/>
        </w:rPr>
        <w:t> </w:t>
      </w:r>
      <w:r>
        <w:rPr/>
        <w:t>analysis. Their findings indicated that age, size, complexity and assets-in-place are significant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other</w:t>
      </w:r>
      <w:r>
        <w:rPr>
          <w:spacing w:val="-10"/>
        </w:rPr>
        <w:t> </w:t>
      </w:r>
      <w:r>
        <w:rPr/>
        <w:t>variable</w:t>
      </w:r>
      <w:r>
        <w:rPr>
          <w:spacing w:val="-9"/>
        </w:rPr>
        <w:t> </w:t>
      </w:r>
      <w:r>
        <w:rPr/>
        <w:t>profitability</w:t>
      </w:r>
      <w:r>
        <w:rPr>
          <w:spacing w:val="-7"/>
        </w:rPr>
        <w:t> </w:t>
      </w:r>
      <w:r>
        <w:rPr/>
        <w:t>was</w:t>
      </w:r>
      <w:r>
        <w:rPr>
          <w:spacing w:val="-8"/>
        </w:rPr>
        <w:t> </w:t>
      </w:r>
      <w:r>
        <w:rPr/>
        <w:t>insignificant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explaining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level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voluntary</w:t>
      </w:r>
      <w:r>
        <w:rPr>
          <w:spacing w:val="-9"/>
        </w:rPr>
        <w:t> </w:t>
      </w:r>
      <w:r>
        <w:rPr/>
        <w:t>disclosure.</w:t>
      </w:r>
    </w:p>
    <w:p>
      <w:pPr>
        <w:pStyle w:val="Heading1"/>
        <w:numPr>
          <w:ilvl w:val="3"/>
          <w:numId w:val="19"/>
        </w:numPr>
        <w:tabs>
          <w:tab w:pos="1603" w:val="left" w:leader="none"/>
        </w:tabs>
        <w:spacing w:line="240" w:lineRule="auto" w:before="199" w:after="0"/>
        <w:ind w:left="1602" w:right="0" w:hanging="781"/>
        <w:jc w:val="both"/>
      </w:pPr>
      <w:bookmarkStart w:name="_bookmark28" w:id="45"/>
      <w:bookmarkEnd w:id="45"/>
      <w:r>
        <w:rPr>
          <w:b w:val="0"/>
        </w:rPr>
      </w:r>
      <w:bookmarkStart w:name="_bookmark28" w:id="46"/>
      <w:bookmarkEnd w:id="46"/>
      <w:r>
        <w:rPr/>
        <w:t>Co</w:t>
      </w:r>
      <w:r>
        <w:rPr/>
        <w:t>rporate</w:t>
      </w:r>
      <w:r>
        <w:rPr>
          <w:spacing w:val="-3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Mechanisms</w:t>
      </w:r>
    </w:p>
    <w:p>
      <w:pPr>
        <w:pStyle w:val="BodyText"/>
        <w:spacing w:before="1"/>
        <w:ind w:left="0"/>
        <w:jc w:val="left"/>
        <w:rPr>
          <w:b/>
        </w:rPr>
      </w:pPr>
    </w:p>
    <w:p>
      <w:pPr>
        <w:pStyle w:val="BodyText"/>
        <w:spacing w:line="480" w:lineRule="auto"/>
        <w:ind w:right="930"/>
      </w:pPr>
      <w:r>
        <w:rPr/>
        <w:t>This section reviews the literature on specific corporate governance mechanisms and they are</w:t>
      </w:r>
      <w:r>
        <w:rPr>
          <w:spacing w:val="-57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below</w:t>
      </w:r>
    </w:p>
    <w:p>
      <w:pPr>
        <w:pStyle w:val="Heading1"/>
        <w:numPr>
          <w:ilvl w:val="4"/>
          <w:numId w:val="19"/>
        </w:numPr>
        <w:tabs>
          <w:tab w:pos="1782" w:val="left" w:leader="none"/>
        </w:tabs>
        <w:spacing w:line="240" w:lineRule="auto" w:before="0" w:after="0"/>
        <w:ind w:left="1782" w:right="0" w:hanging="900"/>
        <w:jc w:val="both"/>
      </w:pPr>
      <w:bookmarkStart w:name="_bookmark29" w:id="47"/>
      <w:bookmarkEnd w:id="47"/>
      <w:r>
        <w:rPr>
          <w:b w:val="0"/>
        </w:rPr>
      </w:r>
      <w:bookmarkStart w:name="_bookmark29" w:id="48"/>
      <w:bookmarkEnd w:id="48"/>
      <w:r>
        <w:rPr/>
        <w:t>Boa</w:t>
      </w:r>
      <w:r>
        <w:rPr/>
        <w:t>rd</w:t>
      </w:r>
      <w:r>
        <w:rPr>
          <w:spacing w:val="-2"/>
        </w:rPr>
        <w:t> </w:t>
      </w:r>
      <w:r>
        <w:rPr/>
        <w:t>Size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480" w:lineRule="auto"/>
        <w:ind w:right="828"/>
      </w:pPr>
      <w:r>
        <w:rPr/>
        <w:t>The effectiveness of the board depends on its size (Jensen, 1993). In fact, the size of the board</w:t>
      </w:r>
      <w:r>
        <w:rPr>
          <w:spacing w:val="-57"/>
        </w:rPr>
        <w:t> </w:t>
      </w:r>
      <w:r>
        <w:rPr/>
        <w:t>can influence the management policy of the company. Board size which is proxied by the</w:t>
      </w:r>
      <w:r>
        <w:rPr>
          <w:spacing w:val="1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directors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board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considered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an</w:t>
      </w:r>
      <w:r>
        <w:rPr>
          <w:spacing w:val="15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element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monitoring</w:t>
      </w:r>
      <w:r>
        <w:rPr>
          <w:spacing w:val="2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1497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effectiveness of the board. Large boards are generally perceived as being less effective in the</w:t>
      </w:r>
      <w:r>
        <w:rPr>
          <w:spacing w:val="1"/>
        </w:rPr>
        <w:t> </w:t>
      </w:r>
      <w:r>
        <w:rPr/>
        <w:t>exchange of ideas, promoting coalition between board members (Firth, Fung &amp; Ruin, 2007) as</w:t>
      </w:r>
      <w:r>
        <w:rPr>
          <w:spacing w:val="-58"/>
        </w:rPr>
        <w:t> </w:t>
      </w:r>
      <w:r>
        <w:rPr>
          <w:spacing w:val="-1"/>
        </w:rPr>
        <w:t>well</w:t>
      </w:r>
      <w:r>
        <w:rPr>
          <w:spacing w:val="-14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impinging</w:t>
      </w:r>
      <w:r>
        <w:rPr>
          <w:spacing w:val="-14"/>
        </w:rPr>
        <w:t> </w:t>
      </w:r>
      <w:r>
        <w:rPr/>
        <w:t>aggressive</w:t>
      </w:r>
      <w:r>
        <w:rPr>
          <w:spacing w:val="-15"/>
        </w:rPr>
        <w:t> </w:t>
      </w:r>
      <w:r>
        <w:rPr/>
        <w:t>tax</w:t>
      </w:r>
      <w:r>
        <w:rPr>
          <w:spacing w:val="-14"/>
        </w:rPr>
        <w:t> </w:t>
      </w:r>
      <w:r>
        <w:rPr/>
        <w:t>measures.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same</w:t>
      </w:r>
      <w:r>
        <w:rPr>
          <w:spacing w:val="-15"/>
        </w:rPr>
        <w:t> </w:t>
      </w:r>
      <w:r>
        <w:rPr/>
        <w:t>vein,</w:t>
      </w:r>
      <w:r>
        <w:rPr>
          <w:spacing w:val="-11"/>
        </w:rPr>
        <w:t> </w:t>
      </w:r>
      <w:r>
        <w:rPr/>
        <w:t>Gonzalez</w:t>
      </w:r>
      <w:r>
        <w:rPr>
          <w:spacing w:val="-14"/>
        </w:rPr>
        <w:t> </w:t>
      </w:r>
      <w:r>
        <w:rPr/>
        <w:t>and</w:t>
      </w:r>
      <w:r>
        <w:rPr>
          <w:spacing w:val="-9"/>
        </w:rPr>
        <w:t> </w:t>
      </w:r>
      <w:r>
        <w:rPr/>
        <w:t>Garcia-Meca</w:t>
      </w:r>
      <w:r>
        <w:rPr>
          <w:spacing w:val="-13"/>
        </w:rPr>
        <w:t> </w:t>
      </w:r>
      <w:r>
        <w:rPr/>
        <w:t>(2013)</w:t>
      </w:r>
      <w:r>
        <w:rPr>
          <w:spacing w:val="-58"/>
        </w:rPr>
        <w:t> </w:t>
      </w:r>
      <w:r>
        <w:rPr/>
        <w:t>believed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excessive</w:t>
      </w:r>
      <w:r>
        <w:rPr>
          <w:spacing w:val="-13"/>
        </w:rPr>
        <w:t> </w:t>
      </w:r>
      <w:r>
        <w:rPr/>
        <w:t>board</w:t>
      </w:r>
      <w:r>
        <w:rPr>
          <w:spacing w:val="-14"/>
        </w:rPr>
        <w:t> </w:t>
      </w:r>
      <w:r>
        <w:rPr/>
        <w:t>size</w:t>
      </w:r>
      <w:r>
        <w:rPr>
          <w:spacing w:val="-15"/>
        </w:rPr>
        <w:t> </w:t>
      </w:r>
      <w:r>
        <w:rPr/>
        <w:t>can</w:t>
      </w:r>
      <w:r>
        <w:rPr>
          <w:spacing w:val="-13"/>
        </w:rPr>
        <w:t> </w:t>
      </w:r>
      <w:r>
        <w:rPr/>
        <w:t>be</w:t>
      </w:r>
      <w:r>
        <w:rPr>
          <w:spacing w:val="-14"/>
        </w:rPr>
        <w:t> </w:t>
      </w:r>
      <w:r>
        <w:rPr/>
        <w:t>an</w:t>
      </w:r>
      <w:r>
        <w:rPr>
          <w:spacing w:val="-13"/>
        </w:rPr>
        <w:t> </w:t>
      </w:r>
      <w:r>
        <w:rPr/>
        <w:t>obstacle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speed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efficiency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decision-making</w:t>
      </w:r>
      <w:r>
        <w:rPr>
          <w:spacing w:val="-58"/>
        </w:rPr>
        <w:t> </w:t>
      </w:r>
      <w:r>
        <w:rPr/>
        <w:t>of</w:t>
      </w:r>
      <w:r>
        <w:rPr>
          <w:spacing w:val="-13"/>
        </w:rPr>
        <w:t> </w:t>
      </w:r>
      <w:r>
        <w:rPr/>
        <w:t>organization</w:t>
      </w:r>
      <w:r>
        <w:rPr>
          <w:spacing w:val="-11"/>
        </w:rPr>
        <w:t> </w:t>
      </w:r>
      <w:r>
        <w:rPr/>
        <w:t>owing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factor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may</w:t>
      </w:r>
      <w:r>
        <w:rPr>
          <w:spacing w:val="-12"/>
        </w:rPr>
        <w:t> </w:t>
      </w:r>
      <w:r>
        <w:rPr/>
        <w:t>cause</w:t>
      </w:r>
      <w:r>
        <w:rPr>
          <w:spacing w:val="-12"/>
        </w:rPr>
        <w:t> </w:t>
      </w:r>
      <w:r>
        <w:rPr/>
        <w:t>coordination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communication</w:t>
      </w:r>
      <w:r>
        <w:rPr>
          <w:spacing w:val="-11"/>
        </w:rPr>
        <w:t> </w:t>
      </w:r>
      <w:r>
        <w:rPr/>
        <w:t>problems</w:t>
      </w:r>
      <w:r>
        <w:rPr>
          <w:spacing w:val="-58"/>
        </w:rPr>
        <w:t> </w:t>
      </w:r>
      <w:r>
        <w:rPr/>
        <w:t>among</w:t>
      </w:r>
      <w:r>
        <w:rPr>
          <w:spacing w:val="1"/>
        </w:rPr>
        <w:t> </w:t>
      </w:r>
      <w:r>
        <w:rPr/>
        <w:t>members of the</w:t>
      </w:r>
      <w:r>
        <w:rPr>
          <w:spacing w:val="1"/>
        </w:rPr>
        <w:t> </w:t>
      </w:r>
      <w:r>
        <w:rPr/>
        <w:t>board.</w:t>
      </w:r>
      <w:r>
        <w:rPr>
          <w:spacing w:val="1"/>
        </w:rPr>
        <w:t> </w:t>
      </w:r>
      <w:r>
        <w:rPr/>
        <w:t>For Minnick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Noga (2010), small</w:t>
      </w:r>
      <w:r>
        <w:rPr>
          <w:spacing w:val="1"/>
        </w:rPr>
        <w:t> </w:t>
      </w:r>
      <w:r>
        <w:rPr/>
        <w:t>boards of directors</w:t>
      </w:r>
      <w:r>
        <w:rPr>
          <w:spacing w:val="1"/>
        </w:rPr>
        <w:t> </w:t>
      </w:r>
      <w:r>
        <w:rPr/>
        <w:t>strengthen</w:t>
      </w:r>
      <w:r>
        <w:rPr>
          <w:spacing w:val="-9"/>
        </w:rPr>
        <w:t> </w:t>
      </w:r>
      <w:r>
        <w:rPr/>
        <w:t>good</w:t>
      </w:r>
      <w:r>
        <w:rPr>
          <w:spacing w:val="-9"/>
        </w:rPr>
        <w:t> </w:t>
      </w:r>
      <w:r>
        <w:rPr/>
        <w:t>tax</w:t>
      </w:r>
      <w:r>
        <w:rPr>
          <w:spacing w:val="-8"/>
        </w:rPr>
        <w:t> </w:t>
      </w:r>
      <w:r>
        <w:rPr/>
        <w:t>management,</w:t>
      </w:r>
      <w:r>
        <w:rPr>
          <w:spacing w:val="-9"/>
        </w:rPr>
        <w:t> </w:t>
      </w:r>
      <w:r>
        <w:rPr/>
        <w:t>while</w:t>
      </w:r>
      <w:r>
        <w:rPr>
          <w:spacing w:val="-8"/>
        </w:rPr>
        <w:t> </w:t>
      </w:r>
      <w:r>
        <w:rPr/>
        <w:t>large</w:t>
      </w:r>
      <w:r>
        <w:rPr>
          <w:spacing w:val="-10"/>
        </w:rPr>
        <w:t> </w:t>
      </w:r>
      <w:r>
        <w:rPr/>
        <w:t>boards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proving</w:t>
      </w:r>
      <w:r>
        <w:rPr>
          <w:spacing w:val="-9"/>
        </w:rPr>
        <w:t> </w:t>
      </w:r>
      <w:r>
        <w:rPr/>
        <w:t>ineffectiveness</w:t>
      </w:r>
      <w:r>
        <w:rPr>
          <w:spacing w:val="-7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difficulties in decision-making about tax aggressiveness policy. Lanis and Richardson (2011),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aggressiveness. In contrast, Aliani and Zarai (2012) reported the non-significance between the</w:t>
      </w:r>
      <w:r>
        <w:rPr>
          <w:spacing w:val="-57"/>
        </w:rPr>
        <w:t> </w:t>
      </w:r>
      <w:r>
        <w:rPr/>
        <w:t>size of the board and tax aggressiveness in the American context. They found out that the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directors did not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 strategies to</w:t>
      </w:r>
      <w:r>
        <w:rPr>
          <w:spacing w:val="2"/>
        </w:rPr>
        <w:t> </w:t>
      </w:r>
      <w:r>
        <w:rPr/>
        <w:t>minimize</w:t>
      </w:r>
      <w:r>
        <w:rPr>
          <w:spacing w:val="-3"/>
        </w:rPr>
        <w:t> </w:t>
      </w:r>
      <w:r>
        <w:rPr/>
        <w:t>tax expenses.</w:t>
      </w:r>
    </w:p>
    <w:p>
      <w:pPr>
        <w:pStyle w:val="Heading1"/>
        <w:numPr>
          <w:ilvl w:val="4"/>
          <w:numId w:val="20"/>
        </w:numPr>
        <w:tabs>
          <w:tab w:pos="1782" w:val="left" w:leader="none"/>
        </w:tabs>
        <w:spacing w:line="240" w:lineRule="auto" w:before="2" w:after="0"/>
        <w:ind w:left="1782" w:right="0" w:hanging="960"/>
        <w:jc w:val="both"/>
      </w:pPr>
      <w:bookmarkStart w:name="_bookmark30" w:id="49"/>
      <w:bookmarkEnd w:id="49"/>
      <w:r>
        <w:rPr>
          <w:b w:val="0"/>
        </w:rPr>
      </w:r>
      <w:bookmarkStart w:name="_bookmark30" w:id="50"/>
      <w:bookmarkEnd w:id="50"/>
      <w:r>
        <w:rPr/>
        <w:t>Boa</w:t>
      </w:r>
      <w:r>
        <w:rPr/>
        <w:t>rd</w:t>
      </w:r>
      <w:r>
        <w:rPr>
          <w:spacing w:val="-9"/>
        </w:rPr>
        <w:t> </w:t>
      </w:r>
      <w:r>
        <w:rPr/>
        <w:t>Independence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9"/>
      </w:pPr>
      <w:r>
        <w:rPr/>
        <w:t>The independence of the directors provides the effective control of managers as suggested by</w:t>
      </w:r>
      <w:r>
        <w:rPr>
          <w:spacing w:val="1"/>
        </w:rPr>
        <w:t> </w:t>
      </w:r>
      <w:r>
        <w:rPr/>
        <w:t>the</w:t>
      </w:r>
      <w:r>
        <w:rPr>
          <w:spacing w:val="-14"/>
        </w:rPr>
        <w:t> </w:t>
      </w:r>
      <w:r>
        <w:rPr/>
        <w:t>agency</w:t>
      </w:r>
      <w:r>
        <w:rPr>
          <w:spacing w:val="-13"/>
        </w:rPr>
        <w:t> </w:t>
      </w:r>
      <w:r>
        <w:rPr/>
        <w:t>theory.</w:t>
      </w:r>
      <w:r>
        <w:rPr>
          <w:spacing w:val="-13"/>
        </w:rPr>
        <w:t> </w:t>
      </w:r>
      <w:r>
        <w:rPr/>
        <w:t>Undeniably,</w:t>
      </w:r>
      <w:r>
        <w:rPr>
          <w:spacing w:val="-13"/>
        </w:rPr>
        <w:t> </w:t>
      </w:r>
      <w:r>
        <w:rPr/>
        <w:t>external</w:t>
      </w:r>
      <w:r>
        <w:rPr>
          <w:spacing w:val="-12"/>
        </w:rPr>
        <w:t> </w:t>
      </w:r>
      <w:r>
        <w:rPr/>
        <w:t>members</w:t>
      </w:r>
      <w:r>
        <w:rPr>
          <w:spacing w:val="-14"/>
        </w:rPr>
        <w:t> </w:t>
      </w:r>
      <w:r>
        <w:rPr/>
        <w:t>can</w:t>
      </w:r>
      <w:r>
        <w:rPr>
          <w:spacing w:val="-12"/>
        </w:rPr>
        <w:t> </w:t>
      </w:r>
      <w:r>
        <w:rPr/>
        <w:t>ensure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competence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independence</w:t>
      </w:r>
      <w:r>
        <w:rPr>
          <w:spacing w:val="-5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same</w:t>
      </w:r>
      <w:r>
        <w:rPr>
          <w:spacing w:val="-9"/>
        </w:rPr>
        <w:t> </w:t>
      </w:r>
      <w:r>
        <w:rPr/>
        <w:t>time</w:t>
      </w:r>
      <w:r>
        <w:rPr>
          <w:spacing w:val="-6"/>
        </w:rPr>
        <w:t> </w:t>
      </w:r>
      <w:r>
        <w:rPr/>
        <w:t>(Onyali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Okafor,</w:t>
      </w:r>
      <w:r>
        <w:rPr>
          <w:spacing w:val="-7"/>
        </w:rPr>
        <w:t> </w:t>
      </w:r>
      <w:r>
        <w:rPr/>
        <w:t>2018).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independent</w:t>
      </w:r>
      <w:r>
        <w:rPr>
          <w:spacing w:val="-8"/>
        </w:rPr>
        <w:t> </w:t>
      </w:r>
      <w:r>
        <w:rPr/>
        <w:t>non-executive</w:t>
      </w:r>
      <w:r>
        <w:rPr>
          <w:spacing w:val="-10"/>
        </w:rPr>
        <w:t> </w:t>
      </w:r>
      <w:r>
        <w:rPr/>
        <w:t>directors</w:t>
      </w:r>
      <w:r>
        <w:rPr>
          <w:spacing w:val="-6"/>
        </w:rPr>
        <w:t> </w:t>
      </w:r>
      <w:r>
        <w:rPr/>
        <w:t>are</w:t>
      </w:r>
      <w:r>
        <w:rPr>
          <w:spacing w:val="-7"/>
        </w:rPr>
        <w:t> </w:t>
      </w:r>
      <w:r>
        <w:rPr/>
        <w:t>always</w:t>
      </w:r>
      <w:r>
        <w:rPr>
          <w:spacing w:val="-58"/>
        </w:rPr>
        <w:t> </w:t>
      </w:r>
      <w:r>
        <w:rPr/>
        <w:t>viewed as a balancing force in the board; their existence shows a symptom of good corporate</w:t>
      </w:r>
      <w:r>
        <w:rPr>
          <w:spacing w:val="1"/>
        </w:rPr>
        <w:t> </w:t>
      </w:r>
      <w:r>
        <w:rPr/>
        <w:t>governance and shareholders are willing to authorize the management to be tax aggressive</w:t>
      </w:r>
      <w:r>
        <w:rPr>
          <w:spacing w:val="1"/>
        </w:rPr>
        <w:t> </w:t>
      </w:r>
      <w:r>
        <w:rPr/>
        <w:t>(Bhagat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Bolton</w:t>
      </w:r>
      <w:r>
        <w:rPr>
          <w:spacing w:val="-6"/>
        </w:rPr>
        <w:t> </w:t>
      </w:r>
      <w:r>
        <w:rPr/>
        <w:t>2008).</w:t>
      </w:r>
      <w:r>
        <w:rPr>
          <w:spacing w:val="-7"/>
        </w:rPr>
        <w:t> </w:t>
      </w:r>
      <w:r>
        <w:rPr/>
        <w:t>Yeung</w:t>
      </w:r>
      <w:r>
        <w:rPr>
          <w:spacing w:val="-4"/>
        </w:rPr>
        <w:t> </w:t>
      </w:r>
      <w:r>
        <w:rPr/>
        <w:t>(2010)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suggested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increase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board</w:t>
      </w:r>
      <w:r>
        <w:rPr>
          <w:spacing w:val="-5"/>
        </w:rPr>
        <w:t> </w:t>
      </w:r>
      <w:r>
        <w:rPr/>
        <w:t>independency</w:t>
      </w:r>
      <w:r>
        <w:rPr>
          <w:spacing w:val="-58"/>
        </w:rPr>
        <w:t> </w:t>
      </w:r>
      <w:r>
        <w:rPr/>
        <w:t>decreased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effective</w:t>
      </w:r>
      <w:r>
        <w:rPr>
          <w:spacing w:val="-10"/>
        </w:rPr>
        <w:t> </w:t>
      </w:r>
      <w:r>
        <w:rPr/>
        <w:t>tax</w:t>
      </w:r>
      <w:r>
        <w:rPr>
          <w:spacing w:val="-9"/>
        </w:rPr>
        <w:t> </w:t>
      </w:r>
      <w:r>
        <w:rPr/>
        <w:t>rate.</w:t>
      </w:r>
      <w:r>
        <w:rPr>
          <w:spacing w:val="-7"/>
        </w:rPr>
        <w:t> </w:t>
      </w:r>
      <w:r>
        <w:rPr/>
        <w:t>It</w:t>
      </w:r>
      <w:r>
        <w:rPr>
          <w:spacing w:val="-8"/>
        </w:rPr>
        <w:t> </w:t>
      </w:r>
      <w:r>
        <w:rPr/>
        <w:t>indicated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under</w:t>
      </w:r>
      <w:r>
        <w:rPr>
          <w:spacing w:val="-9"/>
        </w:rPr>
        <w:t> </w:t>
      </w:r>
      <w:r>
        <w:rPr/>
        <w:t>good</w:t>
      </w:r>
      <w:r>
        <w:rPr>
          <w:spacing w:val="-8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company</w:t>
      </w:r>
      <w:r>
        <w:rPr>
          <w:spacing w:val="-58"/>
        </w:rPr>
        <w:t> </w:t>
      </w:r>
      <w:r>
        <w:rPr/>
        <w:t>follows tax aggressive policy. CSR literature emphasizes the importance of non-executive</w:t>
      </w:r>
      <w:r>
        <w:rPr>
          <w:spacing w:val="1"/>
        </w:rPr>
        <w:t> </w:t>
      </w:r>
      <w:r>
        <w:rPr/>
        <w:t>directors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monitoring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behavior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top</w:t>
      </w:r>
      <w:r>
        <w:rPr>
          <w:spacing w:val="-12"/>
        </w:rPr>
        <w:t> </w:t>
      </w:r>
      <w:r>
        <w:rPr/>
        <w:t>management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context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key</w:t>
      </w:r>
      <w:r>
        <w:rPr>
          <w:spacing w:val="-10"/>
        </w:rPr>
        <w:t> </w:t>
      </w:r>
      <w:r>
        <w:rPr/>
        <w:t>strategic</w:t>
      </w:r>
      <w:r>
        <w:rPr>
          <w:spacing w:val="-14"/>
        </w:rPr>
        <w:t> </w:t>
      </w:r>
      <w:r>
        <w:rPr/>
        <w:t>decisions</w:t>
      </w:r>
      <w:r>
        <w:rPr>
          <w:spacing w:val="-57"/>
        </w:rPr>
        <w:t> </w:t>
      </w:r>
      <w:r>
        <w:rPr/>
        <w:t>that affect society as a whole (Rose 2007; Pearce &amp; Zahra, 1991). Ibrahim </w:t>
      </w:r>
      <w:r>
        <w:rPr>
          <w:i/>
        </w:rPr>
        <w:t>et al. </w:t>
      </w:r>
      <w:r>
        <w:rPr/>
        <w:t>(2003) claim</w:t>
      </w:r>
      <w:r>
        <w:rPr>
          <w:spacing w:val="1"/>
        </w:rPr>
        <w:t> </w:t>
      </w:r>
      <w:r>
        <w:rPr/>
        <w:t>that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their</w:t>
      </w:r>
      <w:r>
        <w:rPr>
          <w:spacing w:val="-13"/>
        </w:rPr>
        <w:t> </w:t>
      </w:r>
      <w:r>
        <w:rPr/>
        <w:t>role,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supervisors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corporation’s</w:t>
      </w:r>
      <w:r>
        <w:rPr>
          <w:spacing w:val="-12"/>
        </w:rPr>
        <w:t> </w:t>
      </w:r>
      <w:r>
        <w:rPr/>
        <w:t>strategic</w:t>
      </w:r>
      <w:r>
        <w:rPr>
          <w:spacing w:val="-12"/>
        </w:rPr>
        <w:t> </w:t>
      </w:r>
      <w:r>
        <w:rPr/>
        <w:t>decisions,</w:t>
      </w:r>
      <w:r>
        <w:rPr>
          <w:spacing w:val="-12"/>
        </w:rPr>
        <w:t> </w:t>
      </w:r>
      <w:r>
        <w:rPr/>
        <w:t>outside</w:t>
      </w:r>
      <w:r>
        <w:rPr>
          <w:spacing w:val="-12"/>
        </w:rPr>
        <w:t> </w:t>
      </w:r>
      <w:r>
        <w:rPr/>
        <w:t>directors</w:t>
      </w:r>
      <w:r>
        <w:rPr>
          <w:spacing w:val="-12"/>
        </w:rPr>
        <w:t> </w:t>
      </w:r>
      <w:r>
        <w:rPr/>
        <w:t>should</w:t>
      </w:r>
      <w:r>
        <w:rPr>
          <w:spacing w:val="-57"/>
        </w:rPr>
        <w:t> </w:t>
      </w:r>
      <w:r>
        <w:rPr/>
        <w:t>actively</w:t>
      </w:r>
      <w:r>
        <w:rPr>
          <w:spacing w:val="16"/>
        </w:rPr>
        <w:t> </w:t>
      </w:r>
      <w:r>
        <w:rPr/>
        <w:t>support</w:t>
      </w:r>
      <w:r>
        <w:rPr>
          <w:spacing w:val="15"/>
        </w:rPr>
        <w:t> </w:t>
      </w:r>
      <w:r>
        <w:rPr/>
        <w:t>greater</w:t>
      </w:r>
      <w:r>
        <w:rPr>
          <w:spacing w:val="17"/>
        </w:rPr>
        <w:t> </w:t>
      </w:r>
      <w:r>
        <w:rPr/>
        <w:t>corporate</w:t>
      </w:r>
      <w:r>
        <w:rPr>
          <w:spacing w:val="15"/>
        </w:rPr>
        <w:t> </w:t>
      </w:r>
      <w:r>
        <w:rPr/>
        <w:t>responsiveness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society’s</w:t>
      </w:r>
      <w:r>
        <w:rPr>
          <w:spacing w:val="16"/>
        </w:rPr>
        <w:t> </w:t>
      </w:r>
      <w:r>
        <w:rPr/>
        <w:t>needs.</w:t>
      </w:r>
      <w:r>
        <w:rPr>
          <w:spacing w:val="16"/>
        </w:rPr>
        <w:t> </w:t>
      </w:r>
      <w:r>
        <w:rPr/>
        <w:t>Directors</w:t>
      </w:r>
      <w:r>
        <w:rPr>
          <w:spacing w:val="16"/>
        </w:rPr>
        <w:t> </w:t>
      </w:r>
      <w:r>
        <w:rPr/>
        <w:t>can</w:t>
      </w:r>
      <w:r>
        <w:rPr>
          <w:spacing w:val="15"/>
        </w:rPr>
        <w:t> </w:t>
      </w:r>
      <w:r>
        <w:rPr/>
        <w:t>affect</w:t>
      </w:r>
      <w:r>
        <w:rPr>
          <w:spacing w:val="16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t>level of tax aggressiveness. Indeed, Fama and Jensen (1983) argued that the board is a major</w:t>
      </w:r>
      <w:r>
        <w:rPr>
          <w:spacing w:val="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mechanism,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responsible for</w:t>
      </w:r>
      <w:r>
        <w:rPr>
          <w:spacing w:val="-1"/>
        </w:rPr>
        <w:t> </w:t>
      </w:r>
      <w:r>
        <w:rPr/>
        <w:t>monitoring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equity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line="480" w:lineRule="auto" w:before="202"/>
        <w:ind w:right="828"/>
      </w:pPr>
      <w:r>
        <w:rPr/>
        <w:drawing>
          <wp:anchor distT="0" distB="0" distL="0" distR="0" allowOverlap="1" layoutInCell="1" locked="0" behindDoc="1" simplePos="0" relativeHeight="454015488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is a claim that outside directors are encouraged to fulfill their spot monitoring, and they</w:t>
      </w:r>
      <w:r>
        <w:rPr>
          <w:spacing w:val="1"/>
        </w:rPr>
        <w:t> </w:t>
      </w:r>
      <w:r>
        <w:rPr/>
        <w:t>refuse</w:t>
      </w:r>
      <w:r>
        <w:rPr>
          <w:spacing w:val="-13"/>
        </w:rPr>
        <w:t> </w:t>
      </w:r>
      <w:r>
        <w:rPr/>
        <w:t>to</w:t>
      </w:r>
      <w:r>
        <w:rPr>
          <w:spacing w:val="-8"/>
        </w:rPr>
        <w:t> </w:t>
      </w:r>
      <w:r>
        <w:rPr/>
        <w:t>agree</w:t>
      </w:r>
      <w:r>
        <w:rPr>
          <w:spacing w:val="-12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direction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expropriating</w:t>
      </w:r>
      <w:r>
        <w:rPr>
          <w:spacing w:val="-11"/>
        </w:rPr>
        <w:t> </w:t>
      </w:r>
      <w:r>
        <w:rPr/>
        <w:t>shareholders</w:t>
      </w:r>
      <w:r>
        <w:rPr>
          <w:spacing w:val="-12"/>
        </w:rPr>
        <w:t> </w:t>
      </w:r>
      <w:r>
        <w:rPr/>
        <w:t>wealth.</w:t>
      </w:r>
      <w:r>
        <w:rPr>
          <w:spacing w:val="-11"/>
        </w:rPr>
        <w:t> </w:t>
      </w:r>
      <w:r>
        <w:rPr/>
        <w:t>Therefore,</w:t>
      </w:r>
      <w:r>
        <w:rPr>
          <w:spacing w:val="-8"/>
        </w:rPr>
        <w:t> </w:t>
      </w:r>
      <w:r>
        <w:rPr/>
        <w:t>they</w:t>
      </w:r>
      <w:r>
        <w:rPr>
          <w:spacing w:val="-12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the</w:t>
      </w:r>
      <w:r>
        <w:rPr>
          <w:spacing w:val="-15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board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monitor</w:t>
      </w:r>
      <w:r>
        <w:rPr>
          <w:spacing w:val="-15"/>
        </w:rPr>
        <w:t> </w:t>
      </w:r>
      <w:r>
        <w:rPr/>
        <w:t>management</w:t>
      </w:r>
      <w:r>
        <w:rPr>
          <w:spacing w:val="-13"/>
        </w:rPr>
        <w:t> </w:t>
      </w:r>
      <w:r>
        <w:rPr/>
        <w:t>effectively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situations</w:t>
      </w:r>
      <w:r>
        <w:rPr>
          <w:spacing w:val="-13"/>
        </w:rPr>
        <w:t> </w:t>
      </w:r>
      <w:r>
        <w:rPr/>
        <w:t>characterized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agency</w:t>
      </w:r>
      <w:r>
        <w:rPr>
          <w:spacing w:val="-57"/>
        </w:rPr>
        <w:t> </w:t>
      </w:r>
      <w:r>
        <w:rPr/>
        <w:t>problems arising from the separation of ownership, control, and can help reduce the tax</w:t>
      </w:r>
      <w:r>
        <w:rPr>
          <w:spacing w:val="1"/>
        </w:rPr>
        <w:t> </w:t>
      </w:r>
      <w:r>
        <w:rPr/>
        <w:t>aggressiveness. It is therefore reasonable to expect that a proportion of outside directors in</w:t>
      </w:r>
      <w:r>
        <w:rPr>
          <w:spacing w:val="1"/>
        </w:rPr>
        <w:t> </w:t>
      </w:r>
      <w:r>
        <w:rPr/>
        <w:t>higher board could significantly reduce the likelihood of tax aggressiveness. The study by</w:t>
      </w:r>
      <w:r>
        <w:rPr>
          <w:spacing w:val="1"/>
        </w:rPr>
        <w:t> </w:t>
      </w:r>
      <w:r>
        <w:rPr/>
        <w:t>Zemzem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Flouhi</w:t>
      </w:r>
      <w:r>
        <w:rPr>
          <w:spacing w:val="-13"/>
        </w:rPr>
        <w:t> </w:t>
      </w:r>
      <w:r>
        <w:rPr/>
        <w:t>(2013)</w:t>
      </w:r>
      <w:r>
        <w:rPr>
          <w:spacing w:val="-13"/>
        </w:rPr>
        <w:t> </w:t>
      </w:r>
      <w:r>
        <w:rPr/>
        <w:t>using</w:t>
      </w:r>
      <w:r>
        <w:rPr>
          <w:spacing w:val="-13"/>
        </w:rPr>
        <w:t> </w:t>
      </w:r>
      <w:r>
        <w:rPr/>
        <w:t>panel</w:t>
      </w:r>
      <w:r>
        <w:rPr>
          <w:spacing w:val="-13"/>
        </w:rPr>
        <w:t> </w:t>
      </w:r>
      <w:r>
        <w:rPr/>
        <w:t>regression</w:t>
      </w:r>
      <w:r>
        <w:rPr>
          <w:spacing w:val="-11"/>
        </w:rPr>
        <w:t> </w:t>
      </w:r>
      <w:r>
        <w:rPr/>
        <w:t>method</w:t>
      </w:r>
      <w:r>
        <w:rPr>
          <w:spacing w:val="-12"/>
        </w:rPr>
        <w:t> </w:t>
      </w:r>
      <w:r>
        <w:rPr/>
        <w:t>for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sample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73</w:t>
      </w:r>
      <w:r>
        <w:rPr>
          <w:spacing w:val="-13"/>
        </w:rPr>
        <w:t> </w:t>
      </w:r>
      <w:r>
        <w:rPr/>
        <w:t>French</w:t>
      </w:r>
      <w:r>
        <w:rPr>
          <w:spacing w:val="-12"/>
        </w:rPr>
        <w:t> </w:t>
      </w:r>
      <w:r>
        <w:rPr/>
        <w:t>companies</w:t>
      </w:r>
      <w:r>
        <w:rPr>
          <w:spacing w:val="-58"/>
        </w:rPr>
        <w:t> </w:t>
      </w:r>
      <w:r>
        <w:rPr/>
        <w:t>for the period 2006 to 2010 revealed that the higher proportion of outside members failed to</w:t>
      </w:r>
      <w:r>
        <w:rPr>
          <w:spacing w:val="1"/>
        </w:rPr>
        <w:t> </w:t>
      </w:r>
      <w:r>
        <w:rPr/>
        <w:t>influence tax aggressiveness. The empirical study by Ying (2015) showed that no significant</w:t>
      </w:r>
      <w:r>
        <w:rPr>
          <w:spacing w:val="1"/>
        </w:rPr>
        <w:t> </w:t>
      </w:r>
      <w:r>
        <w:rPr/>
        <w:t>relationship existed between the percentage of independent directors and tax aggressiveness; a</w:t>
      </w:r>
      <w:r>
        <w:rPr>
          <w:spacing w:val="-57"/>
        </w:rPr>
        <w:t> </w:t>
      </w:r>
      <w:r>
        <w:rPr/>
        <w:t>pointer</w:t>
      </w:r>
      <w:r>
        <w:rPr>
          <w:spacing w:val="-1"/>
        </w:rPr>
        <w:t> </w:t>
      </w:r>
      <w:r>
        <w:rPr/>
        <w:t>that there</w:t>
      </w:r>
      <w:r>
        <w:rPr>
          <w:spacing w:val="-2"/>
        </w:rPr>
        <w:t> </w:t>
      </w:r>
      <w:r>
        <w:rPr/>
        <w:t>is ineffectiveness of independent role</w:t>
      </w:r>
      <w:r>
        <w:rPr>
          <w:spacing w:val="-1"/>
        </w:rPr>
        <w:t> </w:t>
      </w:r>
      <w:r>
        <w:rPr/>
        <w:t>in Chin</w:t>
      </w:r>
    </w:p>
    <w:p>
      <w:pPr>
        <w:pStyle w:val="Heading1"/>
        <w:numPr>
          <w:ilvl w:val="4"/>
          <w:numId w:val="20"/>
        </w:numPr>
        <w:tabs>
          <w:tab w:pos="1782" w:val="left" w:leader="none"/>
        </w:tabs>
        <w:spacing w:line="240" w:lineRule="auto" w:before="201" w:after="0"/>
        <w:ind w:left="1782" w:right="0" w:hanging="960"/>
        <w:jc w:val="both"/>
      </w:pPr>
      <w:bookmarkStart w:name="_bookmark31" w:id="51"/>
      <w:bookmarkEnd w:id="51"/>
      <w:r>
        <w:rPr>
          <w:b w:val="0"/>
        </w:rPr>
      </w:r>
      <w:bookmarkStart w:name="_bookmark31" w:id="52"/>
      <w:bookmarkEnd w:id="52"/>
      <w:r>
        <w:rPr/>
        <w:t>Boa</w:t>
      </w:r>
      <w:r>
        <w:rPr/>
        <w:t>rd</w:t>
      </w:r>
      <w:r>
        <w:rPr>
          <w:spacing w:val="-2"/>
        </w:rPr>
        <w:t> </w:t>
      </w:r>
      <w:r>
        <w:rPr/>
        <w:t>Gender</w:t>
      </w:r>
      <w:r>
        <w:rPr>
          <w:spacing w:val="-3"/>
        </w:rPr>
        <w:t> </w:t>
      </w:r>
      <w:r>
        <w:rPr/>
        <w:t>Diversity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1"/>
      </w:pPr>
      <w:r>
        <w:rPr/>
        <w:t>Given that women are generally more cautious and less motivated to bear excessive risks, the</w:t>
      </w:r>
      <w:r>
        <w:rPr>
          <w:spacing w:val="1"/>
        </w:rPr>
        <w:t> </w:t>
      </w:r>
      <w:r>
        <w:rPr/>
        <w:t>gender of the firm’s directors have been suggested to affect corporate polices and outcomes.</w:t>
      </w:r>
      <w:r>
        <w:rPr>
          <w:spacing w:val="1"/>
        </w:rPr>
        <w:t> </w:t>
      </w:r>
      <w:r>
        <w:rPr>
          <w:spacing w:val="-1"/>
        </w:rPr>
        <w:t>Arun,</w:t>
      </w:r>
      <w:r>
        <w:rPr>
          <w:spacing w:val="-15"/>
        </w:rPr>
        <w:t> </w:t>
      </w:r>
      <w:r>
        <w:rPr>
          <w:spacing w:val="-1"/>
        </w:rPr>
        <w:t>Almahrog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Aribi,</w:t>
      </w:r>
      <w:r>
        <w:rPr>
          <w:spacing w:val="-14"/>
        </w:rPr>
        <w:t> </w:t>
      </w:r>
      <w:r>
        <w:rPr/>
        <w:t>2015</w:t>
      </w:r>
      <w:r>
        <w:rPr>
          <w:spacing w:val="-13"/>
        </w:rPr>
        <w:t> </w:t>
      </w:r>
      <w:r>
        <w:rPr/>
        <w:t>and</w:t>
      </w:r>
      <w:r>
        <w:rPr>
          <w:spacing w:val="-15"/>
        </w:rPr>
        <w:t> </w:t>
      </w:r>
      <w:r>
        <w:rPr/>
        <w:t>Srinidhi,</w:t>
      </w:r>
      <w:r>
        <w:rPr>
          <w:spacing w:val="-14"/>
        </w:rPr>
        <w:t> </w:t>
      </w:r>
      <w:r>
        <w:rPr/>
        <w:t>Gul</w:t>
      </w:r>
      <w:r>
        <w:rPr>
          <w:spacing w:val="-10"/>
        </w:rPr>
        <w:t> </w:t>
      </w:r>
      <w:r>
        <w:rPr/>
        <w:t>and</w:t>
      </w:r>
      <w:r>
        <w:rPr>
          <w:spacing w:val="-15"/>
        </w:rPr>
        <w:t> </w:t>
      </w:r>
      <w:r>
        <w:rPr/>
        <w:t>Tsui,</w:t>
      </w:r>
      <w:r>
        <w:rPr>
          <w:spacing w:val="-13"/>
        </w:rPr>
        <w:t> </w:t>
      </w:r>
      <w:r>
        <w:rPr/>
        <w:t>2011</w:t>
      </w:r>
      <w:r>
        <w:rPr>
          <w:spacing w:val="-15"/>
        </w:rPr>
        <w:t> </w:t>
      </w:r>
      <w:r>
        <w:rPr/>
        <w:t>opined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firms</w:t>
      </w:r>
      <w:r>
        <w:rPr>
          <w:spacing w:val="-13"/>
        </w:rPr>
        <w:t> </w:t>
      </w:r>
      <w:r>
        <w:rPr/>
        <w:t>with</w:t>
      </w:r>
      <w:r>
        <w:rPr>
          <w:spacing w:val="-14"/>
        </w:rPr>
        <w:t> </w:t>
      </w:r>
      <w:r>
        <w:rPr/>
        <w:t>female</w:t>
      </w:r>
      <w:r>
        <w:rPr>
          <w:spacing w:val="-58"/>
        </w:rPr>
        <w:t> </w:t>
      </w:r>
      <w:r>
        <w:rPr/>
        <w:t>directors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lower</w:t>
      </w:r>
      <w:r>
        <w:rPr>
          <w:spacing w:val="-12"/>
        </w:rPr>
        <w:t> </w:t>
      </w:r>
      <w:r>
        <w:rPr/>
        <w:t>absolute</w:t>
      </w:r>
      <w:r>
        <w:rPr>
          <w:spacing w:val="-12"/>
        </w:rPr>
        <w:t> </w:t>
      </w:r>
      <w:r>
        <w:rPr/>
        <w:t>discretionary</w:t>
      </w:r>
      <w:r>
        <w:rPr>
          <w:spacing w:val="-8"/>
        </w:rPr>
        <w:t> </w:t>
      </w:r>
      <w:r>
        <w:rPr/>
        <w:t>accruals</w:t>
      </w:r>
      <w:r>
        <w:rPr>
          <w:spacing w:val="-11"/>
        </w:rPr>
        <w:t> </w:t>
      </w:r>
      <w:r>
        <w:rPr/>
        <w:t>(or</w:t>
      </w:r>
      <w:r>
        <w:rPr>
          <w:spacing w:val="-13"/>
        </w:rPr>
        <w:t> </w:t>
      </w:r>
      <w:r>
        <w:rPr/>
        <w:t>earnings</w:t>
      </w:r>
      <w:r>
        <w:rPr>
          <w:spacing w:val="-11"/>
        </w:rPr>
        <w:t> </w:t>
      </w:r>
      <w:r>
        <w:rPr/>
        <w:t>management).</w:t>
      </w:r>
      <w:r>
        <w:rPr>
          <w:spacing w:val="-11"/>
        </w:rPr>
        <w:t> </w:t>
      </w:r>
      <w:r>
        <w:rPr/>
        <w:t>Francis,</w:t>
      </w:r>
      <w:r>
        <w:rPr>
          <w:spacing w:val="-9"/>
        </w:rPr>
        <w:t> </w:t>
      </w:r>
      <w:r>
        <w:rPr/>
        <w:t>Hasan,</w:t>
      </w:r>
      <w:r>
        <w:rPr>
          <w:spacing w:val="-58"/>
        </w:rPr>
        <w:t> </w:t>
      </w:r>
      <w:r>
        <w:rPr/>
        <w:t>Park, and Wu 2013; Jianakoplos, and Bernasek 1998 document that female executives and</w:t>
      </w:r>
      <w:r>
        <w:rPr>
          <w:spacing w:val="1"/>
        </w:rPr>
        <w:t> </w:t>
      </w:r>
      <w:r>
        <w:rPr/>
        <w:t>directors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more</w:t>
      </w:r>
      <w:r>
        <w:rPr>
          <w:spacing w:val="-4"/>
        </w:rPr>
        <w:t> </w:t>
      </w:r>
      <w:r>
        <w:rPr/>
        <w:t>conservative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financial reporting.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been</w:t>
      </w:r>
      <w:r>
        <w:rPr>
          <w:spacing w:val="-4"/>
        </w:rPr>
        <w:t> </w:t>
      </w:r>
      <w:r>
        <w:rPr/>
        <w:t>said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women</w:t>
      </w:r>
      <w:r>
        <w:rPr>
          <w:spacing w:val="-4"/>
        </w:rPr>
        <w:t> </w:t>
      </w:r>
      <w:r>
        <w:rPr/>
        <w:t>play</w:t>
      </w:r>
      <w:r>
        <w:rPr>
          <w:spacing w:val="-3"/>
        </w:rPr>
        <w:t> </w:t>
      </w:r>
      <w:r>
        <w:rPr/>
        <w:t>an</w:t>
      </w:r>
      <w:r>
        <w:rPr>
          <w:spacing w:val="-58"/>
        </w:rPr>
        <w:t> </w:t>
      </w:r>
      <w:r>
        <w:rPr/>
        <w:t>important role in compliance with legal aspects and more specifically in tax matters. In this</w:t>
      </w:r>
      <w:r>
        <w:rPr>
          <w:spacing w:val="1"/>
        </w:rPr>
        <w:t> </w:t>
      </w:r>
      <w:r>
        <w:rPr/>
        <w:t>context, Kastlunger </w:t>
      </w:r>
      <w:r>
        <w:rPr>
          <w:i/>
        </w:rPr>
        <w:t>et al. </w:t>
      </w:r>
      <w:r>
        <w:rPr/>
        <w:t>(2010) and Fallan (1999) demonstrate the relevance of feminine</w:t>
      </w:r>
      <w:r>
        <w:rPr>
          <w:spacing w:val="1"/>
        </w:rPr>
        <w:t> </w:t>
      </w:r>
      <w:r>
        <w:rPr/>
        <w:t>values</w:t>
      </w:r>
      <w:r>
        <w:rPr>
          <w:spacing w:val="-9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treatment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tax</w:t>
      </w:r>
      <w:r>
        <w:rPr>
          <w:spacing w:val="-9"/>
        </w:rPr>
        <w:t> </w:t>
      </w:r>
      <w:r>
        <w:rPr/>
        <w:t>matters.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example,</w:t>
      </w:r>
      <w:r>
        <w:rPr>
          <w:spacing w:val="-9"/>
        </w:rPr>
        <w:t> </w:t>
      </w:r>
      <w:r>
        <w:rPr/>
        <w:t>although</w:t>
      </w:r>
      <w:r>
        <w:rPr>
          <w:spacing w:val="-8"/>
        </w:rPr>
        <w:t> </w:t>
      </w:r>
      <w:r>
        <w:rPr/>
        <w:t>tax</w:t>
      </w:r>
      <w:r>
        <w:rPr>
          <w:spacing w:val="-9"/>
        </w:rPr>
        <w:t> </w:t>
      </w:r>
      <w:r>
        <w:rPr/>
        <w:t>optimization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legal</w:t>
      </w:r>
      <w:r>
        <w:rPr>
          <w:spacing w:val="-5"/>
        </w:rPr>
        <w:t> </w:t>
      </w:r>
      <w:r>
        <w:rPr/>
        <w:t>activity</w:t>
      </w:r>
      <w:r>
        <w:rPr>
          <w:spacing w:val="-58"/>
        </w:rPr>
        <w:t> </w:t>
      </w:r>
      <w:r>
        <w:rPr/>
        <w:t>that</w:t>
      </w:r>
      <w:r>
        <w:rPr>
          <w:spacing w:val="3"/>
        </w:rPr>
        <w:t> </w:t>
      </w:r>
      <w:r>
        <w:rPr/>
        <w:t>aims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minimize</w:t>
      </w:r>
      <w:r>
        <w:rPr>
          <w:spacing w:val="57"/>
        </w:rPr>
        <w:t> </w:t>
      </w:r>
      <w:r>
        <w:rPr/>
        <w:t>the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burden</w:t>
      </w:r>
      <w:r>
        <w:rPr>
          <w:spacing w:val="2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taking</w:t>
      </w:r>
      <w:r>
        <w:rPr>
          <w:spacing w:val="2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legal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tax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1600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advantages granted by the State. The interpretations of situations and tax regulations differ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masculine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feminine</w:t>
      </w:r>
      <w:r>
        <w:rPr>
          <w:spacing w:val="1"/>
        </w:rPr>
        <w:t> </w:t>
      </w:r>
      <w:r>
        <w:rPr/>
        <w:t>traits.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Adams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Ferreira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suggested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women</w:t>
      </w:r>
      <w:r>
        <w:rPr>
          <w:spacing w:val="-2"/>
        </w:rPr>
        <w:t> </w:t>
      </w:r>
      <w:r>
        <w:rPr/>
        <w:t>exerted</w:t>
      </w:r>
      <w:r>
        <w:rPr>
          <w:spacing w:val="-3"/>
        </w:rPr>
        <w:t> </w:t>
      </w:r>
      <w:r>
        <w:rPr/>
        <w:t>intensive</w:t>
      </w:r>
      <w:r>
        <w:rPr>
          <w:spacing w:val="-2"/>
        </w:rPr>
        <w:t> </w:t>
      </w:r>
      <w:r>
        <w:rPr/>
        <w:t>monitoring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managers’</w:t>
      </w:r>
      <w:r>
        <w:rPr>
          <w:spacing w:val="-3"/>
        </w:rPr>
        <w:t> </w:t>
      </w:r>
      <w:r>
        <w:rPr/>
        <w:t>actions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had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percentage</w:t>
      </w:r>
      <w:r>
        <w:rPr>
          <w:spacing w:val="-58"/>
        </w:rPr>
        <w:t> </w:t>
      </w:r>
      <w:r>
        <w:rPr/>
        <w:t>of attendance at meetings actually high. In the Tunisian context, Aliani </w:t>
      </w:r>
      <w:r>
        <w:rPr>
          <w:i/>
        </w:rPr>
        <w:t>et al. </w:t>
      </w:r>
      <w:r>
        <w:rPr/>
        <w:t>(2011) found a</w:t>
      </w:r>
      <w:r>
        <w:rPr>
          <w:spacing w:val="1"/>
        </w:rPr>
        <w:t> </w:t>
      </w:r>
      <w:r>
        <w:rPr/>
        <w:t>negative effect between</w:t>
      </w:r>
      <w:r>
        <w:rPr>
          <w:spacing w:val="1"/>
        </w:rPr>
        <w:t> </w:t>
      </w:r>
      <w:r>
        <w:rPr/>
        <w:t>gender diversity on the board of directors and tax optimization.</w:t>
      </w:r>
      <w:r>
        <w:rPr>
          <w:spacing w:val="1"/>
        </w:rPr>
        <w:t> </w:t>
      </w:r>
      <w:r>
        <w:rPr/>
        <w:t>Consistent with the literature on gender differences in risky behaviour and tax compliance,</w:t>
      </w:r>
      <w:r>
        <w:rPr>
          <w:spacing w:val="1"/>
        </w:rPr>
        <w:t> </w:t>
      </w:r>
      <w:r>
        <w:rPr/>
        <w:t>Croson &amp; Gneezy (2009) found that that there is a negative effect of gender diversity of the</w:t>
      </w:r>
      <w:r>
        <w:rPr>
          <w:spacing w:val="1"/>
        </w:rPr>
        <w:t> </w:t>
      </w:r>
      <w:r>
        <w:rPr/>
        <w:t>board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directors on tax</w:t>
      </w:r>
      <w:r>
        <w:rPr>
          <w:spacing w:val="1"/>
        </w:rPr>
        <w:t> </w:t>
      </w:r>
      <w:r>
        <w:rPr/>
        <w:t>optimization.</w:t>
      </w:r>
    </w:p>
    <w:p>
      <w:pPr>
        <w:pStyle w:val="Heading1"/>
        <w:spacing w:before="203"/>
        <w:ind w:left="822"/>
      </w:pPr>
      <w:bookmarkStart w:name="_bookmark32" w:id="53"/>
      <w:bookmarkEnd w:id="53"/>
      <w:r>
        <w:rPr>
          <w:b w:val="0"/>
        </w:rPr>
      </w:r>
      <w:r>
        <w:rPr/>
        <w:t>2.2.5.4</w:t>
      </w:r>
      <w:r>
        <w:rPr>
          <w:spacing w:val="-5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Structure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8"/>
      </w:pPr>
      <w:r>
        <w:rPr/>
        <w:t>The fact that taxes are deductions from the cash flows available to a firm, and hence the</w:t>
      </w:r>
      <w:r>
        <w:rPr>
          <w:spacing w:val="1"/>
        </w:rPr>
        <w:t> </w:t>
      </w:r>
      <w:r>
        <w:rPr/>
        <w:t>dividends</w:t>
      </w:r>
      <w:r>
        <w:rPr>
          <w:spacing w:val="-8"/>
        </w:rPr>
        <w:t> </w:t>
      </w:r>
      <w:r>
        <w:rPr/>
        <w:t>distributable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shareholders,</w:t>
      </w:r>
      <w:r>
        <w:rPr>
          <w:spacing w:val="-7"/>
        </w:rPr>
        <w:t> </w:t>
      </w:r>
      <w:r>
        <w:rPr/>
        <w:t>suggests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firm</w:t>
      </w:r>
      <w:r>
        <w:rPr>
          <w:spacing w:val="-8"/>
        </w:rPr>
        <w:t> </w:t>
      </w:r>
      <w:r>
        <w:rPr/>
        <w:t>owners</w:t>
      </w:r>
      <w:r>
        <w:rPr>
          <w:spacing w:val="-8"/>
        </w:rPr>
        <w:t> </w:t>
      </w:r>
      <w:r>
        <w:rPr/>
        <w:t>would</w:t>
      </w:r>
      <w:r>
        <w:rPr>
          <w:spacing w:val="-6"/>
        </w:rPr>
        <w:t> </w:t>
      </w:r>
      <w:r>
        <w:rPr/>
        <w:t>strive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maximize</w:t>
      </w:r>
      <w:r>
        <w:rPr>
          <w:spacing w:val="-57"/>
        </w:rPr>
        <w:t> </w:t>
      </w:r>
      <w:r>
        <w:rPr/>
        <w:t>their wealth through various tax aggressive practices. But in a concentrated ownership the</w:t>
      </w:r>
      <w:r>
        <w:rPr>
          <w:spacing w:val="1"/>
        </w:rPr>
        <w:t> </w:t>
      </w:r>
      <w:r>
        <w:rPr/>
        <w:t>reactions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shareholders</w:t>
      </w:r>
      <w:r>
        <w:rPr>
          <w:spacing w:val="-4"/>
        </w:rPr>
        <w:t> </w:t>
      </w:r>
      <w:r>
        <w:rPr/>
        <w:t>might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little</w:t>
      </w:r>
      <w:r>
        <w:rPr>
          <w:spacing w:val="-7"/>
        </w:rPr>
        <w:t> </w:t>
      </w:r>
      <w:r>
        <w:rPr/>
        <w:t>incentives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public</w:t>
      </w:r>
      <w:r>
        <w:rPr>
          <w:spacing w:val="-6"/>
        </w:rPr>
        <w:t> </w:t>
      </w:r>
      <w:r>
        <w:rPr/>
        <w:t>legitimacy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seek</w:t>
      </w:r>
      <w:r>
        <w:rPr>
          <w:spacing w:val="-58"/>
        </w:rPr>
        <w:t> </w:t>
      </w:r>
      <w:r>
        <w:rPr/>
        <w:t>little or no fund from the markets. the costs and benefits of tax aggressiveness for firms may</w:t>
      </w:r>
      <w:r>
        <w:rPr>
          <w:spacing w:val="1"/>
        </w:rPr>
        <w:t> </w:t>
      </w:r>
      <w:r>
        <w:rPr/>
        <w:t>differ</w:t>
      </w:r>
      <w:r>
        <w:rPr>
          <w:spacing w:val="-12"/>
        </w:rPr>
        <w:t> </w:t>
      </w:r>
      <w:r>
        <w:rPr/>
        <w:t>ownership</w:t>
      </w:r>
      <w:r>
        <w:rPr>
          <w:spacing w:val="-11"/>
        </w:rPr>
        <w:t> </w:t>
      </w:r>
      <w:r>
        <w:rPr/>
        <w:t>structure.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accounts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one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reasons</w:t>
      </w:r>
      <w:r>
        <w:rPr>
          <w:spacing w:val="-11"/>
        </w:rPr>
        <w:t> </w:t>
      </w:r>
      <w:r>
        <w:rPr/>
        <w:t>Shackelford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Shevlin</w:t>
      </w:r>
      <w:r>
        <w:rPr>
          <w:spacing w:val="-11"/>
        </w:rPr>
        <w:t> </w:t>
      </w:r>
      <w:r>
        <w:rPr/>
        <w:t>(2001)</w:t>
      </w:r>
      <w:r>
        <w:rPr>
          <w:spacing w:val="-58"/>
        </w:rPr>
        <w:t> </w:t>
      </w:r>
      <w:r>
        <w:rPr/>
        <w:t>argue</w:t>
      </w:r>
      <w:r>
        <w:rPr>
          <w:spacing w:val="56"/>
        </w:rPr>
        <w:t> </w:t>
      </w:r>
      <w:r>
        <w:rPr/>
        <w:t>for</w:t>
      </w:r>
      <w:r>
        <w:rPr>
          <w:spacing w:val="58"/>
        </w:rPr>
        <w:t> </w:t>
      </w:r>
      <w:r>
        <w:rPr/>
        <w:t>ownership</w:t>
      </w:r>
      <w:r>
        <w:rPr>
          <w:spacing w:val="58"/>
        </w:rPr>
        <w:t> </w:t>
      </w:r>
      <w:r>
        <w:rPr/>
        <w:t>structure</w:t>
      </w:r>
      <w:r>
        <w:rPr>
          <w:spacing w:val="56"/>
        </w:rPr>
        <w:t> </w:t>
      </w:r>
      <w:r>
        <w:rPr/>
        <w:t>as</w:t>
      </w:r>
      <w:r>
        <w:rPr>
          <w:spacing w:val="59"/>
        </w:rPr>
        <w:t> </w:t>
      </w:r>
      <w:r>
        <w:rPr/>
        <w:t>a</w:t>
      </w:r>
      <w:r>
        <w:rPr>
          <w:spacing w:val="57"/>
        </w:rPr>
        <w:t> </w:t>
      </w:r>
      <w:r>
        <w:rPr/>
        <w:t>potential</w:t>
      </w:r>
      <w:r>
        <w:rPr>
          <w:spacing w:val="57"/>
        </w:rPr>
        <w:t> </w:t>
      </w:r>
      <w:r>
        <w:rPr/>
        <w:t>determinant</w:t>
      </w:r>
      <w:r>
        <w:rPr>
          <w:spacing w:val="59"/>
        </w:rPr>
        <w:t> </w:t>
      </w:r>
      <w:r>
        <w:rPr/>
        <w:t>of</w:t>
      </w:r>
      <w:r>
        <w:rPr>
          <w:spacing w:val="3"/>
        </w:rPr>
        <w:t> </w:t>
      </w:r>
      <w:r>
        <w:rPr/>
        <w:t>tax</w:t>
      </w:r>
      <w:r>
        <w:rPr>
          <w:spacing w:val="58"/>
        </w:rPr>
        <w:t> </w:t>
      </w:r>
      <w:r>
        <w:rPr/>
        <w:t>aggressiveness,</w:t>
      </w:r>
      <w:r>
        <w:rPr>
          <w:spacing w:val="59"/>
        </w:rPr>
        <w:t> </w:t>
      </w:r>
      <w:r>
        <w:rPr/>
        <w:t>fact</w:t>
      </w:r>
      <w:r>
        <w:rPr>
          <w:spacing w:val="59"/>
        </w:rPr>
        <w:t> </w:t>
      </w:r>
      <w:r>
        <w:rPr/>
        <w:t>that</w:t>
      </w:r>
      <w:r>
        <w:rPr>
          <w:spacing w:val="-58"/>
        </w:rPr>
        <w:t> </w:t>
      </w:r>
      <w:r>
        <w:rPr/>
        <w:t>corporate ownership is a ‘core issue and determines the nature of the agency problems arising</w:t>
      </w:r>
      <w:r>
        <w:rPr>
          <w:spacing w:val="1"/>
        </w:rPr>
        <w:t> </w:t>
      </w:r>
      <w:r>
        <w:rPr/>
        <w:t>in the corporate environments. Summarily, while tax aggressiveness benefits the firm the</w:t>
      </w:r>
      <w:r>
        <w:rPr>
          <w:spacing w:val="1"/>
        </w:rPr>
        <w:t> </w:t>
      </w:r>
      <w:r>
        <w:rPr>
          <w:spacing w:val="-1"/>
        </w:rPr>
        <w:t>potential</w:t>
      </w:r>
      <w:r>
        <w:rPr>
          <w:spacing w:val="-15"/>
        </w:rPr>
        <w:t> </w:t>
      </w:r>
      <w:r>
        <w:rPr>
          <w:spacing w:val="-1"/>
        </w:rPr>
        <w:t>non-tax</w:t>
      </w:r>
      <w:r>
        <w:rPr>
          <w:spacing w:val="-15"/>
        </w:rPr>
        <w:t> </w:t>
      </w:r>
      <w:r>
        <w:rPr/>
        <w:t>costs</w:t>
      </w:r>
      <w:r>
        <w:rPr>
          <w:spacing w:val="-13"/>
        </w:rPr>
        <w:t> </w:t>
      </w:r>
      <w:r>
        <w:rPr/>
        <w:t>associated</w:t>
      </w:r>
      <w:r>
        <w:rPr>
          <w:spacing w:val="-15"/>
        </w:rPr>
        <w:t> </w:t>
      </w:r>
      <w:r>
        <w:rPr/>
        <w:t>with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may</w:t>
      </w:r>
      <w:r>
        <w:rPr>
          <w:spacing w:val="-14"/>
        </w:rPr>
        <w:t> </w:t>
      </w:r>
      <w:r>
        <w:rPr/>
        <w:t>also</w:t>
      </w:r>
      <w:r>
        <w:rPr>
          <w:spacing w:val="-14"/>
        </w:rPr>
        <w:t> </w:t>
      </w:r>
      <w:r>
        <w:rPr/>
        <w:t>be</w:t>
      </w:r>
      <w:r>
        <w:rPr>
          <w:spacing w:val="-15"/>
        </w:rPr>
        <w:t> </w:t>
      </w:r>
      <w:r>
        <w:rPr/>
        <w:t>large</w:t>
      </w:r>
      <w:r>
        <w:rPr>
          <w:spacing w:val="-16"/>
        </w:rPr>
        <w:t> </w:t>
      </w:r>
      <w:r>
        <w:rPr/>
        <w:t>depending</w:t>
      </w:r>
      <w:r>
        <w:rPr>
          <w:spacing w:val="-13"/>
        </w:rPr>
        <w:t> </w:t>
      </w:r>
      <w:r>
        <w:rPr/>
        <w:t>especially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structure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corporate ownership and control.</w:t>
      </w:r>
    </w:p>
    <w:p>
      <w:pPr>
        <w:pStyle w:val="BodyText"/>
        <w:spacing w:line="480" w:lineRule="auto" w:before="203"/>
        <w:ind w:right="835"/>
      </w:pPr>
      <w:r>
        <w:rPr/>
        <w:t>Shackelford and Shevlin (2001) called for the investigation of ownership structure as likely</w:t>
      </w:r>
      <w:r>
        <w:rPr>
          <w:spacing w:val="1"/>
        </w:rPr>
        <w:t> </w:t>
      </w:r>
      <w:r>
        <w:rPr/>
        <w:t>determinant of corporate tax avoidance given its importance in the corporate setting. The most</w:t>
      </w:r>
      <w:r>
        <w:rPr>
          <w:spacing w:val="-57"/>
        </w:rPr>
        <w:t> </w:t>
      </w:r>
      <w:r>
        <w:rPr/>
        <w:t>obvious benefit of tax aggressiveness is greater tax savings. While such savings accrue to</w:t>
      </w:r>
      <w:r>
        <w:rPr>
          <w:spacing w:val="1"/>
        </w:rPr>
        <w:t> </w:t>
      </w:r>
      <w:r>
        <w:rPr/>
        <w:t>shareholders,</w:t>
      </w:r>
      <w:r>
        <w:rPr>
          <w:spacing w:val="17"/>
        </w:rPr>
        <w:t> </w:t>
      </w:r>
      <w:r>
        <w:rPr/>
        <w:t>managers</w:t>
      </w:r>
      <w:r>
        <w:rPr>
          <w:spacing w:val="17"/>
        </w:rPr>
        <w:t> </w:t>
      </w:r>
      <w:r>
        <w:rPr/>
        <w:t>also</w:t>
      </w:r>
      <w:r>
        <w:rPr>
          <w:spacing w:val="16"/>
        </w:rPr>
        <w:t> </w:t>
      </w:r>
      <w:r>
        <w:rPr/>
        <w:t>benefit</w:t>
      </w:r>
      <w:r>
        <w:rPr>
          <w:spacing w:val="15"/>
        </w:rPr>
        <w:t> </w:t>
      </w:r>
      <w:r>
        <w:rPr/>
        <w:t>if</w:t>
      </w:r>
      <w:r>
        <w:rPr>
          <w:spacing w:val="15"/>
        </w:rPr>
        <w:t> </w:t>
      </w:r>
      <w:r>
        <w:rPr/>
        <w:t>they</w:t>
      </w:r>
      <w:r>
        <w:rPr>
          <w:spacing w:val="17"/>
        </w:rPr>
        <w:t> </w:t>
      </w:r>
      <w:r>
        <w:rPr/>
        <w:t>are</w:t>
      </w:r>
      <w:r>
        <w:rPr>
          <w:spacing w:val="13"/>
        </w:rPr>
        <w:t> </w:t>
      </w:r>
      <w:r>
        <w:rPr/>
        <w:t>compensated,</w:t>
      </w:r>
      <w:r>
        <w:rPr>
          <w:spacing w:val="15"/>
        </w:rPr>
        <w:t> </w:t>
      </w:r>
      <w:r>
        <w:rPr/>
        <w:t>directly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indirectly,</w:t>
      </w:r>
      <w:r>
        <w:rPr>
          <w:spacing w:val="15"/>
        </w:rPr>
        <w:t> </w:t>
      </w:r>
      <w:r>
        <w:rPr/>
        <w:t>by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drawing>
          <wp:anchor distT="0" distB="0" distL="0" distR="0" allowOverlap="1" layoutInCell="1" locked="0" behindDoc="1" simplePos="0" relativeHeight="45401651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shareholders</w:t>
      </w:r>
      <w:r>
        <w:rPr>
          <w:spacing w:val="1"/>
        </w:rPr>
        <w:t> </w:t>
      </w:r>
      <w:r>
        <w:rPr/>
        <w:t>for their efforts in</w:t>
      </w:r>
      <w:r>
        <w:rPr>
          <w:spacing w:val="1"/>
        </w:rPr>
        <w:t> </w:t>
      </w:r>
      <w:r>
        <w:rPr/>
        <w:t>effective tax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Demirguc-Kunt and Huizinga</w:t>
      </w:r>
      <w:r>
        <w:rPr>
          <w:spacing w:val="1"/>
        </w:rPr>
        <w:t> </w:t>
      </w:r>
      <w:r>
        <w:rPr/>
        <w:t>(2001);</w:t>
      </w:r>
      <w:r>
        <w:rPr>
          <w:spacing w:val="-2"/>
        </w:rPr>
        <w:t> </w:t>
      </w:r>
      <w:r>
        <w:rPr/>
        <w:t>Egger,</w:t>
      </w:r>
      <w:r>
        <w:rPr>
          <w:spacing w:val="-1"/>
        </w:rPr>
        <w:t> </w:t>
      </w:r>
      <w:r>
        <w:rPr/>
        <w:t>Eggert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Winner</w:t>
      </w:r>
      <w:r>
        <w:rPr>
          <w:spacing w:val="-4"/>
        </w:rPr>
        <w:t> </w:t>
      </w:r>
      <w:r>
        <w:rPr/>
        <w:t>(2010);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Kinney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Lawrence</w:t>
      </w:r>
      <w:r>
        <w:rPr>
          <w:spacing w:val="-2"/>
        </w:rPr>
        <w:t> </w:t>
      </w:r>
      <w:r>
        <w:rPr/>
        <w:t>(2000)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documented</w:t>
      </w:r>
      <w:r>
        <w:rPr>
          <w:spacing w:val="-58"/>
        </w:rPr>
        <w:t> </w:t>
      </w:r>
      <w:r>
        <w:rPr/>
        <w:t>consistently positive relationship between foreign ownership and tax avoidance. Khurana and</w:t>
      </w:r>
      <w:r>
        <w:rPr>
          <w:spacing w:val="1"/>
        </w:rPr>
        <w:t> </w:t>
      </w:r>
      <w:r>
        <w:rPr/>
        <w:t>William (2012) note that firms with higher levels of institutional ownership are less tax</w:t>
      </w:r>
      <w:r>
        <w:rPr>
          <w:spacing w:val="1"/>
        </w:rPr>
        <w:t> </w:t>
      </w:r>
      <w:r>
        <w:rPr/>
        <w:t>aggressive because the institutional owners are concerned with long-term consequences of</w:t>
      </w:r>
      <w:r>
        <w:rPr>
          <w:spacing w:val="1"/>
        </w:rPr>
        <w:t> </w:t>
      </w:r>
      <w:r>
        <w:rPr/>
        <w:t>aggressive</w:t>
      </w:r>
      <w:r>
        <w:rPr>
          <w:spacing w:val="-2"/>
        </w:rPr>
        <w:t> </w:t>
      </w:r>
      <w:r>
        <w:rPr/>
        <w:t>tax strategies.</w:t>
      </w:r>
    </w:p>
    <w:p>
      <w:pPr>
        <w:pStyle w:val="BodyText"/>
        <w:spacing w:line="480" w:lineRule="auto" w:before="203"/>
        <w:ind w:right="832"/>
      </w:pPr>
      <w:r>
        <w:rPr/>
        <w:t>Ownership or equity concentration is another way of solving the problem of agency between</w:t>
      </w:r>
      <w:r>
        <w:rPr>
          <w:spacing w:val="1"/>
        </w:rPr>
        <w:t> </w:t>
      </w:r>
      <w:r>
        <w:rPr/>
        <w:t>managers and shareholders; however, it created another type of conflict between minority</w:t>
      </w:r>
      <w:r>
        <w:rPr>
          <w:spacing w:val="1"/>
        </w:rPr>
        <w:t> </w:t>
      </w:r>
      <w:r>
        <w:rPr/>
        <w:t>shareholders and block-holders (Desai &amp; Dharmapala, 2008). In poor corporate governance</w:t>
      </w:r>
      <w:r>
        <w:rPr>
          <w:spacing w:val="1"/>
        </w:rPr>
        <w:t> </w:t>
      </w:r>
      <w:r>
        <w:rPr/>
        <w:t>environments, a controlling shareholder with little equity ownership will have too strong</w:t>
      </w:r>
      <w:r>
        <w:rPr>
          <w:spacing w:val="1"/>
        </w:rPr>
        <w:t> </w:t>
      </w:r>
      <w:r>
        <w:rPr/>
        <w:t>incentives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shelter</w:t>
      </w:r>
      <w:r>
        <w:rPr>
          <w:spacing w:val="-11"/>
        </w:rPr>
        <w:t> </w:t>
      </w:r>
      <w:r>
        <w:rPr/>
        <w:t>income</w:t>
      </w:r>
      <w:r>
        <w:rPr>
          <w:spacing w:val="-12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tax</w:t>
      </w:r>
      <w:r>
        <w:rPr>
          <w:spacing w:val="-8"/>
        </w:rPr>
        <w:t> </w:t>
      </w:r>
      <w:r>
        <w:rPr/>
        <w:t>authorities</w:t>
      </w:r>
      <w:r>
        <w:rPr>
          <w:spacing w:val="-11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point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view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outside</w:t>
      </w:r>
      <w:r>
        <w:rPr>
          <w:spacing w:val="-11"/>
        </w:rPr>
        <w:t> </w:t>
      </w:r>
      <w:r>
        <w:rPr/>
        <w:t>investors,</w:t>
      </w:r>
      <w:r>
        <w:rPr>
          <w:spacing w:val="-58"/>
        </w:rPr>
        <w:t> </w:t>
      </w:r>
      <w:r>
        <w:rPr/>
        <w:t>because</w:t>
      </w:r>
      <w:r>
        <w:rPr>
          <w:spacing w:val="1"/>
        </w:rPr>
        <w:t> </w:t>
      </w:r>
      <w:r>
        <w:rPr/>
        <w:t>he can</w:t>
      </w:r>
      <w:r>
        <w:rPr>
          <w:spacing w:val="1"/>
        </w:rPr>
        <w:t> </w:t>
      </w:r>
      <w:r>
        <w:rPr/>
        <w:t>steal</w:t>
      </w:r>
      <w:r>
        <w:rPr>
          <w:spacing w:val="1"/>
        </w:rPr>
        <w:t> </w:t>
      </w:r>
      <w:r>
        <w:rPr/>
        <w:t>more from</w:t>
      </w:r>
      <w:r>
        <w:rPr>
          <w:spacing w:val="1"/>
        </w:rPr>
        <w:t> </w:t>
      </w:r>
      <w:r>
        <w:rPr/>
        <w:t>the sheltered</w:t>
      </w:r>
      <w:r>
        <w:rPr>
          <w:spacing w:val="1"/>
        </w:rPr>
        <w:t> </w:t>
      </w:r>
      <w:r>
        <w:rPr/>
        <w:t>income.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contrast,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 good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 environment, a controlling shareholder with little equity ownership will have too</w:t>
      </w:r>
      <w:r>
        <w:rPr>
          <w:spacing w:val="1"/>
        </w:rPr>
        <w:t> </w:t>
      </w:r>
      <w:r>
        <w:rPr/>
        <w:t>little incentive to shelter income, from the point of view of outside investors, because he takes</w:t>
      </w:r>
      <w:r>
        <w:rPr>
          <w:spacing w:val="-57"/>
        </w:rPr>
        <w:t> </w:t>
      </w:r>
      <w:r>
        <w:rPr/>
        <w:t>some personal risk in sheltering income but benefits very little from it (Weisbach, 2002). In</w:t>
      </w:r>
      <w:r>
        <w:rPr>
          <w:spacing w:val="1"/>
        </w:rPr>
        <w:t> </w:t>
      </w:r>
      <w:r>
        <w:rPr>
          <w:spacing w:val="-1"/>
        </w:rPr>
        <w:t>conclusion,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firm’s</w:t>
      </w:r>
      <w:r>
        <w:rPr>
          <w:spacing w:val="-15"/>
        </w:rPr>
        <w:t> </w:t>
      </w:r>
      <w:r>
        <w:rPr/>
        <w:t>ownership</w:t>
      </w:r>
      <w:r>
        <w:rPr>
          <w:spacing w:val="-15"/>
        </w:rPr>
        <w:t> </w:t>
      </w:r>
      <w:r>
        <w:rPr/>
        <w:t>structure</w:t>
      </w:r>
      <w:r>
        <w:rPr>
          <w:spacing w:val="-14"/>
        </w:rPr>
        <w:t> </w:t>
      </w:r>
      <w:r>
        <w:rPr/>
        <w:t>which</w:t>
      </w:r>
      <w:r>
        <w:rPr>
          <w:spacing w:val="-15"/>
        </w:rPr>
        <w:t> </w:t>
      </w:r>
      <w:r>
        <w:rPr/>
        <w:t>affects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nature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agency</w:t>
      </w:r>
      <w:r>
        <w:rPr>
          <w:spacing w:val="-15"/>
        </w:rPr>
        <w:t> </w:t>
      </w:r>
      <w:r>
        <w:rPr/>
        <w:t>problems</w:t>
      </w:r>
      <w:r>
        <w:rPr>
          <w:spacing w:val="-14"/>
        </w:rPr>
        <w:t> </w:t>
      </w:r>
      <w:r>
        <w:rPr/>
        <w:t>arising</w:t>
      </w:r>
      <w:r>
        <w:rPr>
          <w:spacing w:val="-57"/>
        </w:rPr>
        <w:t> </w:t>
      </w:r>
      <w:r>
        <w:rPr/>
        <w:t>in corporate settings also influences the outcomes of tax aggressiveness (Annuar et al, 2014;</w:t>
      </w:r>
      <w:r>
        <w:rPr>
          <w:spacing w:val="1"/>
        </w:rPr>
        <w:t> </w:t>
      </w:r>
      <w:r>
        <w:rPr/>
        <w:t>Chen</w:t>
      </w:r>
      <w:r>
        <w:rPr>
          <w:spacing w:val="-1"/>
        </w:rPr>
        <w:t> </w:t>
      </w:r>
      <w:r>
        <w:rPr/>
        <w:t>et al 2013).</w:t>
      </w:r>
    </w:p>
    <w:p>
      <w:pPr>
        <w:pStyle w:val="Heading1"/>
        <w:numPr>
          <w:ilvl w:val="3"/>
          <w:numId w:val="21"/>
        </w:numPr>
        <w:tabs>
          <w:tab w:pos="1602" w:val="left" w:leader="none"/>
        </w:tabs>
        <w:spacing w:line="240" w:lineRule="auto" w:before="201" w:after="0"/>
        <w:ind w:left="1602" w:right="0" w:hanging="780"/>
        <w:jc w:val="both"/>
      </w:pPr>
      <w:bookmarkStart w:name="_bookmark33" w:id="54"/>
      <w:bookmarkEnd w:id="54"/>
      <w:r>
        <w:rPr>
          <w:b w:val="0"/>
        </w:rPr>
      </w:r>
      <w:bookmarkStart w:name="_bookmark33" w:id="55"/>
      <w:bookmarkEnd w:id="55"/>
      <w:r>
        <w:rPr/>
        <w:t>5.</w:t>
      </w:r>
      <w:r>
        <w:rPr>
          <w:spacing w:val="-1"/>
        </w:rPr>
        <w:t> </w:t>
      </w:r>
      <w:r>
        <w:rPr/>
        <w:t>CEO Age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1"/>
      </w:pPr>
      <w:r>
        <w:rPr/>
        <w:t>Numerous studies examined the relationship between tax avoidance and CEO compensation</w:t>
      </w:r>
      <w:r>
        <w:rPr>
          <w:spacing w:val="1"/>
        </w:rPr>
        <w:t> </w:t>
      </w:r>
      <w:r>
        <w:rPr/>
        <w:t>but</w:t>
      </w:r>
      <w:r>
        <w:rPr>
          <w:spacing w:val="-3"/>
        </w:rPr>
        <w:t> </w:t>
      </w:r>
      <w:r>
        <w:rPr/>
        <w:t>little</w:t>
      </w:r>
      <w:r>
        <w:rPr>
          <w:spacing w:val="-4"/>
        </w:rPr>
        <w:t> </w:t>
      </w:r>
      <w:r>
        <w:rPr/>
        <w:t>attention</w:t>
      </w:r>
      <w:r>
        <w:rPr>
          <w:spacing w:val="-2"/>
        </w:rPr>
        <w:t> </w:t>
      </w:r>
      <w:r>
        <w:rPr/>
        <w:t>was</w:t>
      </w:r>
      <w:r>
        <w:rPr>
          <w:spacing w:val="-3"/>
        </w:rPr>
        <w:t> </w:t>
      </w:r>
      <w:r>
        <w:rPr/>
        <w:t>focused</w:t>
      </w:r>
      <w:r>
        <w:rPr>
          <w:spacing w:val="-4"/>
        </w:rPr>
        <w:t> </w:t>
      </w:r>
      <w:r>
        <w:rPr/>
        <w:t>on whether</w:t>
      </w:r>
      <w:r>
        <w:rPr>
          <w:spacing w:val="-3"/>
        </w:rPr>
        <w:t> </w:t>
      </w:r>
      <w:r>
        <w:rPr/>
        <w:t>CEO</w:t>
      </w:r>
      <w:r>
        <w:rPr>
          <w:spacing w:val="-4"/>
        </w:rPr>
        <w:t> </w:t>
      </w:r>
      <w:r>
        <w:rPr/>
        <w:t>age</w:t>
      </w:r>
      <w:r>
        <w:rPr>
          <w:spacing w:val="-5"/>
        </w:rPr>
        <w:t> </w:t>
      </w:r>
      <w:r>
        <w:rPr/>
        <w:t>had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impact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firm’s</w:t>
      </w:r>
      <w:r>
        <w:rPr>
          <w:spacing w:val="-4"/>
        </w:rPr>
        <w:t> </w:t>
      </w:r>
      <w:r>
        <w:rPr/>
        <w:t>tax avoidance.</w:t>
      </w:r>
      <w:r>
        <w:rPr>
          <w:spacing w:val="-58"/>
        </w:rPr>
        <w:t> </w:t>
      </w:r>
      <w:r>
        <w:rPr/>
        <w:t>Gonenc, (2017) argues that CEO age influences tax policies through its impact on CEO’s risk-</w:t>
      </w:r>
      <w:r>
        <w:rPr>
          <w:spacing w:val="-57"/>
        </w:rPr>
        <w:t> </w:t>
      </w:r>
      <w:r>
        <w:rPr/>
        <w:t>taking incentives. Compared to older CEOs with established reputation, younger CEOs are</w:t>
      </w:r>
      <w:r>
        <w:rPr>
          <w:spacing w:val="1"/>
        </w:rPr>
        <w:t> </w:t>
      </w:r>
      <w:r>
        <w:rPr/>
        <w:t>more</w:t>
      </w:r>
      <w:r>
        <w:rPr>
          <w:spacing w:val="29"/>
        </w:rPr>
        <w:t> </w:t>
      </w:r>
      <w:r>
        <w:rPr/>
        <w:t>motivated</w:t>
      </w:r>
      <w:r>
        <w:rPr>
          <w:spacing w:val="30"/>
        </w:rPr>
        <w:t> </w:t>
      </w:r>
      <w:r>
        <w:rPr/>
        <w:t>to</w:t>
      </w:r>
      <w:r>
        <w:rPr>
          <w:spacing w:val="33"/>
        </w:rPr>
        <w:t> </w:t>
      </w:r>
      <w:r>
        <w:rPr/>
        <w:t>favorably</w:t>
      </w:r>
      <w:r>
        <w:rPr>
          <w:spacing w:val="31"/>
        </w:rPr>
        <w:t> </w:t>
      </w:r>
      <w:r>
        <w:rPr/>
        <w:t>influence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labor</w:t>
      </w:r>
      <w:r>
        <w:rPr>
          <w:spacing w:val="30"/>
        </w:rPr>
        <w:t> </w:t>
      </w:r>
      <w:r>
        <w:rPr/>
        <w:t>market’s</w:t>
      </w:r>
      <w:r>
        <w:rPr>
          <w:spacing w:val="31"/>
        </w:rPr>
        <w:t> </w:t>
      </w:r>
      <w:r>
        <w:rPr/>
        <w:t>perception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their</w:t>
      </w:r>
      <w:r>
        <w:rPr>
          <w:spacing w:val="32"/>
        </w:rPr>
        <w:t> </w:t>
      </w:r>
      <w:r>
        <w:rPr/>
        <w:t>quality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7"/>
      </w:pPr>
      <w:r>
        <w:rPr/>
        <w:drawing>
          <wp:anchor distT="0" distB="0" distL="0" distR="0" allowOverlap="1" layoutInCell="1" locked="0" behindDoc="1" simplePos="0" relativeHeight="45401702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(Holmstrom, 1999), and such motivation deliberately increases younger CEOs’ risk-taking</w:t>
      </w:r>
      <w:r>
        <w:rPr>
          <w:spacing w:val="1"/>
        </w:rPr>
        <w:t> </w:t>
      </w:r>
      <w:r>
        <w:rPr/>
        <w:t>activities. For example, younger CEOs are more likely to undertake bolder expansions and</w:t>
      </w:r>
      <w:r>
        <w:rPr>
          <w:spacing w:val="1"/>
        </w:rPr>
        <w:t> </w:t>
      </w:r>
      <w:r>
        <w:rPr/>
        <w:t>divestments (Li et al., 2017), invest more in R&amp;D, make less diversifying acquisitions, and</w:t>
      </w:r>
      <w:r>
        <w:rPr>
          <w:spacing w:val="1"/>
        </w:rPr>
        <w:t> </w:t>
      </w:r>
      <w:r>
        <w:rPr>
          <w:spacing w:val="-1"/>
        </w:rPr>
        <w:t>carry</w:t>
      </w:r>
      <w:r>
        <w:rPr>
          <w:spacing w:val="-15"/>
        </w:rPr>
        <w:t> </w:t>
      </w:r>
      <w:r>
        <w:rPr>
          <w:spacing w:val="-1"/>
        </w:rPr>
        <w:t>out</w:t>
      </w:r>
      <w:r>
        <w:rPr>
          <w:spacing w:val="-14"/>
        </w:rPr>
        <w:t> </w:t>
      </w:r>
      <w:r>
        <w:rPr>
          <w:spacing w:val="-1"/>
        </w:rPr>
        <w:t>higher</w:t>
      </w:r>
      <w:r>
        <w:rPr>
          <w:spacing w:val="-16"/>
        </w:rPr>
        <w:t> </w:t>
      </w:r>
      <w:r>
        <w:rPr/>
        <w:t>leverage</w:t>
      </w:r>
      <w:r>
        <w:rPr>
          <w:spacing w:val="-12"/>
        </w:rPr>
        <w:t> </w:t>
      </w:r>
      <w:r>
        <w:rPr/>
        <w:t>(Serfling,</w:t>
      </w:r>
      <w:r>
        <w:rPr>
          <w:spacing w:val="-15"/>
        </w:rPr>
        <w:t> </w:t>
      </w:r>
      <w:r>
        <w:rPr/>
        <w:t>2014),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less</w:t>
      </w:r>
      <w:r>
        <w:rPr>
          <w:spacing w:val="-14"/>
        </w:rPr>
        <w:t> </w:t>
      </w:r>
      <w:r>
        <w:rPr/>
        <w:t>likely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minimize</w:t>
      </w:r>
      <w:r>
        <w:rPr>
          <w:spacing w:val="-15"/>
        </w:rPr>
        <w:t> </w:t>
      </w:r>
      <w:r>
        <w:rPr/>
        <w:t>portfolio</w:t>
      </w:r>
      <w:r>
        <w:rPr>
          <w:spacing w:val="-15"/>
        </w:rPr>
        <w:t> </w:t>
      </w:r>
      <w:r>
        <w:rPr/>
        <w:t>risks</w:t>
      </w:r>
      <w:r>
        <w:rPr>
          <w:spacing w:val="-15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hedging</w:t>
      </w:r>
      <w:r>
        <w:rPr>
          <w:spacing w:val="-7"/>
        </w:rPr>
        <w:t> </w:t>
      </w:r>
      <w:r>
        <w:rPr/>
        <w:t>(Croci,</w:t>
      </w:r>
      <w:r>
        <w:rPr>
          <w:spacing w:val="-7"/>
        </w:rPr>
        <w:t> </w:t>
      </w:r>
      <w:r>
        <w:rPr/>
        <w:t>Doukas,</w:t>
      </w:r>
      <w:r>
        <w:rPr>
          <w:spacing w:val="-5"/>
        </w:rPr>
        <w:t> </w:t>
      </w:r>
      <w:r>
        <w:rPr/>
        <w:t>&amp;</w:t>
      </w:r>
      <w:r>
        <w:rPr>
          <w:spacing w:val="-7"/>
        </w:rPr>
        <w:t> </w:t>
      </w:r>
      <w:r>
        <w:rPr/>
        <w:t>Gonenc,</w:t>
      </w:r>
      <w:r>
        <w:rPr>
          <w:spacing w:val="-7"/>
        </w:rPr>
        <w:t> </w:t>
      </w:r>
      <w:r>
        <w:rPr/>
        <w:t>2017).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same</w:t>
      </w:r>
      <w:r>
        <w:rPr>
          <w:spacing w:val="-8"/>
        </w:rPr>
        <w:t> </w:t>
      </w:r>
      <w:r>
        <w:rPr/>
        <w:t>vein,</w:t>
      </w:r>
      <w:r>
        <w:rPr>
          <w:spacing w:val="-7"/>
        </w:rPr>
        <w:t> </w:t>
      </w:r>
      <w:r>
        <w:rPr/>
        <w:t>Bertrand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Schoar</w:t>
      </w:r>
      <w:r>
        <w:rPr>
          <w:spacing w:val="-7"/>
        </w:rPr>
        <w:t> </w:t>
      </w:r>
      <w:r>
        <w:rPr/>
        <w:t>(2003)</w:t>
      </w:r>
      <w:r>
        <w:rPr>
          <w:spacing w:val="-8"/>
        </w:rPr>
        <w:t> </w:t>
      </w:r>
      <w:r>
        <w:rPr/>
        <w:t>show</w:t>
      </w:r>
      <w:r>
        <w:rPr>
          <w:spacing w:val="-58"/>
        </w:rPr>
        <w:t> </w:t>
      </w:r>
      <w:r>
        <w:rPr/>
        <w:t>older</w:t>
      </w:r>
      <w:r>
        <w:rPr>
          <w:spacing w:val="1"/>
        </w:rPr>
        <w:t> </w:t>
      </w:r>
      <w:r>
        <w:rPr/>
        <w:t>executives</w:t>
      </w:r>
      <w:r>
        <w:rPr>
          <w:spacing w:val="1"/>
        </w:rPr>
        <w:t> </w:t>
      </w:r>
      <w:r>
        <w:rPr/>
        <w:t>enjoy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“quite</w:t>
      </w:r>
      <w:r>
        <w:rPr>
          <w:spacing w:val="1"/>
        </w:rPr>
        <w:t> </w:t>
      </w:r>
      <w:r>
        <w:rPr/>
        <w:t>life”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investing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risky</w:t>
      </w:r>
      <w:r>
        <w:rPr>
          <w:spacing w:val="1"/>
        </w:rPr>
        <w:t> </w:t>
      </w:r>
      <w:r>
        <w:rPr/>
        <w:t>investments.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decreased risk-taking incentives in older CEOs relative to younger CEOs predict a negative</w:t>
      </w:r>
      <w:r>
        <w:rPr>
          <w:spacing w:val="1"/>
        </w:rPr>
        <w:t> </w:t>
      </w:r>
      <w:r>
        <w:rPr/>
        <w:t>relation between CEO age and tax avoidance. This hypothesis is referred to as the quite life</w:t>
      </w:r>
      <w:r>
        <w:rPr>
          <w:spacing w:val="1"/>
        </w:rPr>
        <w:t> </w:t>
      </w:r>
      <w:r>
        <w:rPr/>
        <w:t>hypothesis. In contrast, theoretical studies also point out CEOs of older age may be more risk-</w:t>
      </w:r>
      <w:r>
        <w:rPr>
          <w:spacing w:val="-57"/>
        </w:rPr>
        <w:t> </w:t>
      </w:r>
      <w:r>
        <w:rPr/>
        <w:t>tolerant than their younger peers. Less known to labor market, younger CEOs may receive</w:t>
      </w:r>
      <w:r>
        <w:rPr>
          <w:spacing w:val="1"/>
        </w:rPr>
        <w:t> </w:t>
      </w:r>
      <w:r>
        <w:rPr/>
        <w:t>worse punishment than older CEOs given poor investment decisions (Holmstrom, 1999). 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younger CEOs</w:t>
      </w:r>
      <w:r>
        <w:rPr>
          <w:spacing w:val="1"/>
        </w:rPr>
        <w:t> </w:t>
      </w:r>
      <w:r>
        <w:rPr/>
        <w:t>are more 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in</w:t>
      </w:r>
      <w:r>
        <w:rPr>
          <w:spacing w:val="1"/>
        </w:rPr>
        <w:t> </w:t>
      </w:r>
      <w:r>
        <w:rPr/>
        <w:t>the early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 their career, the</w:t>
      </w:r>
      <w:r>
        <w:rPr>
          <w:spacing w:val="1"/>
        </w:rPr>
        <w:t> </w:t>
      </w:r>
      <w:r>
        <w:rPr/>
        <w:t>consequences of impaired reputation will be carried over a longer career horizon. As a result,</w:t>
      </w:r>
      <w:r>
        <w:rPr>
          <w:spacing w:val="1"/>
        </w:rPr>
        <w:t> </w:t>
      </w:r>
      <w:r>
        <w:rPr/>
        <w:t>younger CEOs are more likely to select conservative investment policies. In the tax avoidance</w:t>
      </w:r>
      <w:r>
        <w:rPr>
          <w:spacing w:val="-57"/>
        </w:rPr>
        <w:t> </w:t>
      </w:r>
      <w:r>
        <w:rPr/>
        <w:t>context, the cost of noncompliance may be more severe for younger CEOs relative to older</w:t>
      </w:r>
      <w:r>
        <w:rPr>
          <w:spacing w:val="1"/>
        </w:rPr>
        <w:t> </w:t>
      </w:r>
      <w:r>
        <w:rPr/>
        <w:t>ones.</w:t>
      </w:r>
      <w:r>
        <w:rPr>
          <w:spacing w:val="-1"/>
        </w:rPr>
        <w:t> </w:t>
      </w:r>
      <w:r>
        <w:rPr/>
        <w:t>As such, younger</w:t>
      </w:r>
      <w:r>
        <w:rPr>
          <w:spacing w:val="-1"/>
        </w:rPr>
        <w:t> </w:t>
      </w:r>
      <w:r>
        <w:rPr/>
        <w:t>CEOs may be</w:t>
      </w:r>
      <w:r>
        <w:rPr>
          <w:spacing w:val="-3"/>
        </w:rPr>
        <w:t> </w:t>
      </w:r>
      <w:r>
        <w:rPr/>
        <w:t>more reluctant to</w:t>
      </w:r>
      <w:r>
        <w:rPr>
          <w:spacing w:val="-1"/>
        </w:rPr>
        <w:t> </w:t>
      </w:r>
      <w:r>
        <w:rPr/>
        <w:t>conduct tax avoidance</w:t>
      </w:r>
      <w:r>
        <w:rPr>
          <w:spacing w:val="-2"/>
        </w:rPr>
        <w:t> </w:t>
      </w:r>
      <w:r>
        <w:rPr/>
        <w:t>strategies.</w:t>
      </w:r>
    </w:p>
    <w:p>
      <w:pPr>
        <w:pStyle w:val="BodyText"/>
        <w:spacing w:line="480" w:lineRule="auto" w:before="202"/>
        <w:ind w:right="830"/>
      </w:pPr>
      <w:r>
        <w:rPr/>
        <w:t>Prior studies pointed out that CEO age may be systematically related to the riskiness of firms’</w:t>
      </w:r>
      <w:r>
        <w:rPr>
          <w:spacing w:val="-57"/>
        </w:rPr>
        <w:t> </w:t>
      </w:r>
      <w:r>
        <w:rPr/>
        <w:t>policies through changing managerial risk-aversion, cognitive and critical thinking, and the</w:t>
      </w:r>
      <w:r>
        <w:rPr>
          <w:spacing w:val="1"/>
        </w:rPr>
        <w:t> </w:t>
      </w:r>
      <w:r>
        <w:rPr/>
        <w:t>perception of ethical standards. Taylor (1975) posited that older executives were slower 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younger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investments,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strategies are less bold and take longer time to implement. Hambrick and Mason (1984)</w:t>
      </w:r>
      <w:r>
        <w:rPr>
          <w:spacing w:val="1"/>
        </w:rPr>
        <w:t> </w:t>
      </w:r>
      <w:r>
        <w:rPr/>
        <w:t>proposed that managerial personal characteristics, namely age, tenure, experience and gender,</w:t>
      </w:r>
      <w:r>
        <w:rPr>
          <w:spacing w:val="1"/>
        </w:rPr>
        <w:t> </w:t>
      </w:r>
      <w:r>
        <w:rPr/>
        <w:t>influenced</w:t>
      </w:r>
      <w:r>
        <w:rPr>
          <w:spacing w:val="-14"/>
        </w:rPr>
        <w:t> </w:t>
      </w:r>
      <w:r>
        <w:rPr/>
        <w:t>cognitive</w:t>
      </w:r>
      <w:r>
        <w:rPr>
          <w:spacing w:val="-15"/>
        </w:rPr>
        <w:t> </w:t>
      </w:r>
      <w:r>
        <w:rPr/>
        <w:t>thinking</w:t>
      </w:r>
      <w:r>
        <w:rPr>
          <w:spacing w:val="-14"/>
        </w:rPr>
        <w:t> </w:t>
      </w:r>
      <w:r>
        <w:rPr/>
        <w:t>thus</w:t>
      </w:r>
      <w:r>
        <w:rPr>
          <w:spacing w:val="-13"/>
        </w:rPr>
        <w:t> </w:t>
      </w:r>
      <w:r>
        <w:rPr/>
        <w:t>could</w:t>
      </w:r>
      <w:r>
        <w:rPr>
          <w:spacing w:val="-13"/>
        </w:rPr>
        <w:t> </w:t>
      </w:r>
      <w:r>
        <w:rPr/>
        <w:t>lead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different</w:t>
      </w:r>
      <w:r>
        <w:rPr>
          <w:spacing w:val="-14"/>
        </w:rPr>
        <w:t> </w:t>
      </w:r>
      <w:r>
        <w:rPr/>
        <w:t>organizational</w:t>
      </w:r>
      <w:r>
        <w:rPr>
          <w:spacing w:val="-13"/>
        </w:rPr>
        <w:t> </w:t>
      </w:r>
      <w:r>
        <w:rPr/>
        <w:t>outcomes.</w:t>
      </w:r>
      <w:r>
        <w:rPr>
          <w:spacing w:val="-15"/>
        </w:rPr>
        <w:t> </w:t>
      </w:r>
      <w:r>
        <w:rPr/>
        <w:t>They</w:t>
      </w:r>
      <w:r>
        <w:rPr>
          <w:spacing w:val="-14"/>
        </w:rPr>
        <w:t> </w:t>
      </w:r>
      <w:r>
        <w:rPr/>
        <w:t>further</w:t>
      </w:r>
      <w:r>
        <w:rPr>
          <w:spacing w:val="-57"/>
        </w:rPr>
        <w:t> </w:t>
      </w:r>
      <w:r>
        <w:rPr>
          <w:spacing w:val="-1"/>
        </w:rPr>
        <w:t>propose</w:t>
      </w:r>
      <w:r>
        <w:rPr>
          <w:spacing w:val="-16"/>
        </w:rPr>
        <w:t> </w:t>
      </w:r>
      <w:r>
        <w:rPr/>
        <w:t>that</w:t>
      </w:r>
      <w:r>
        <w:rPr>
          <w:spacing w:val="-15"/>
        </w:rPr>
        <w:t> </w:t>
      </w:r>
      <w:r>
        <w:rPr/>
        <w:t>while</w:t>
      </w:r>
      <w:r>
        <w:rPr>
          <w:spacing w:val="-15"/>
        </w:rPr>
        <w:t> </w:t>
      </w:r>
      <w:r>
        <w:rPr/>
        <w:t>older</w:t>
      </w:r>
      <w:r>
        <w:rPr>
          <w:spacing w:val="-14"/>
        </w:rPr>
        <w:t> </w:t>
      </w:r>
      <w:r>
        <w:rPr/>
        <w:t>managers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less</w:t>
      </w:r>
      <w:r>
        <w:rPr>
          <w:spacing w:val="-15"/>
        </w:rPr>
        <w:t> </w:t>
      </w:r>
      <w:r>
        <w:rPr/>
        <w:t>innovative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have</w:t>
      </w:r>
      <w:r>
        <w:rPr>
          <w:spacing w:val="-16"/>
        </w:rPr>
        <w:t> </w:t>
      </w:r>
      <w:r>
        <w:rPr/>
        <w:t>greater</w:t>
      </w:r>
      <w:r>
        <w:rPr>
          <w:spacing w:val="-16"/>
        </w:rPr>
        <w:t> </w:t>
      </w:r>
      <w:r>
        <w:rPr/>
        <w:t>commitment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status</w:t>
      </w:r>
    </w:p>
    <w:p>
      <w:pPr>
        <w:pStyle w:val="BodyText"/>
      </w:pPr>
      <w:r>
        <w:rPr/>
        <w:t>quo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firm,</w:t>
      </w:r>
      <w:r>
        <w:rPr>
          <w:spacing w:val="14"/>
        </w:rPr>
        <w:t> </w:t>
      </w:r>
      <w:r>
        <w:rPr/>
        <w:t>younger</w:t>
      </w:r>
      <w:r>
        <w:rPr>
          <w:spacing w:val="14"/>
        </w:rPr>
        <w:t> </w:t>
      </w:r>
      <w:r>
        <w:rPr/>
        <w:t>mangers</w:t>
      </w:r>
      <w:r>
        <w:rPr>
          <w:spacing w:val="16"/>
        </w:rPr>
        <w:t> </w:t>
      </w:r>
      <w:r>
        <w:rPr/>
        <w:t>can</w:t>
      </w:r>
      <w:r>
        <w:rPr>
          <w:spacing w:val="13"/>
        </w:rPr>
        <w:t> </w:t>
      </w:r>
      <w:r>
        <w:rPr/>
        <w:t>easily</w:t>
      </w:r>
      <w:r>
        <w:rPr>
          <w:spacing w:val="14"/>
        </w:rPr>
        <w:t> </w:t>
      </w:r>
      <w:r>
        <w:rPr/>
        <w:t>adapt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more</w:t>
      </w:r>
      <w:r>
        <w:rPr>
          <w:spacing w:val="12"/>
        </w:rPr>
        <w:t> </w:t>
      </w:r>
      <w:r>
        <w:rPr/>
        <w:t>aggressive</w:t>
      </w:r>
      <w:r>
        <w:rPr>
          <w:spacing w:val="12"/>
        </w:rPr>
        <w:t> </w:t>
      </w:r>
      <w:r>
        <w:rPr/>
        <w:t>projects.</w:t>
      </w:r>
      <w:r>
        <w:rPr>
          <w:spacing w:val="14"/>
        </w:rPr>
        <w:t> </w:t>
      </w:r>
      <w:r>
        <w:rPr/>
        <w:t>Fama</w:t>
      </w:r>
      <w:r>
        <w:rPr>
          <w:spacing w:val="12"/>
        </w:rPr>
        <w:t> </w:t>
      </w:r>
      <w:r>
        <w:rPr/>
        <w:t>(1980)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1753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proposed that an efficient labour market can overcome managerial myopic because poor firm</w:t>
      </w:r>
      <w:r>
        <w:rPr>
          <w:spacing w:val="1"/>
        </w:rPr>
        <w:t> </w:t>
      </w:r>
      <w:r>
        <w:rPr/>
        <w:t>performance reduces managerial compensation and increases the likelihood of early dismissal.</w:t>
      </w:r>
      <w:r>
        <w:rPr>
          <w:spacing w:val="-57"/>
        </w:rPr>
        <w:t> </w:t>
      </w:r>
      <w:r>
        <w:rPr/>
        <w:t>Consistent with this prediction, studies find the likelihood of forced CEO turnover is higher in</w:t>
      </w:r>
      <w:r>
        <w:rPr>
          <w:spacing w:val="-57"/>
        </w:rPr>
        <w:t> </w:t>
      </w:r>
      <w:r>
        <w:rPr/>
        <w:t>firms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poor</w:t>
      </w:r>
      <w:r>
        <w:rPr>
          <w:spacing w:val="-4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(Jenter</w:t>
      </w:r>
      <w:r>
        <w:rPr>
          <w:spacing w:val="-5"/>
        </w:rPr>
        <w:t> </w:t>
      </w:r>
      <w:r>
        <w:rPr/>
        <w:t>&amp;</w:t>
      </w:r>
      <w:r>
        <w:rPr>
          <w:spacing w:val="-2"/>
        </w:rPr>
        <w:t> </w:t>
      </w:r>
      <w:r>
        <w:rPr/>
        <w:t>Kanaan,</w:t>
      </w:r>
      <w:r>
        <w:rPr>
          <w:spacing w:val="-4"/>
        </w:rPr>
        <w:t> </w:t>
      </w:r>
      <w:r>
        <w:rPr/>
        <w:t>2015).</w:t>
      </w:r>
      <w:r>
        <w:rPr>
          <w:spacing w:val="-5"/>
        </w:rPr>
        <w:t> </w:t>
      </w:r>
      <w:r>
        <w:rPr/>
        <w:t>Less</w:t>
      </w:r>
      <w:r>
        <w:rPr>
          <w:spacing w:val="-1"/>
        </w:rPr>
        <w:t> </w:t>
      </w:r>
      <w:r>
        <w:rPr/>
        <w:t>known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labour</w:t>
      </w:r>
      <w:r>
        <w:rPr>
          <w:spacing w:val="-5"/>
        </w:rPr>
        <w:t> </w:t>
      </w:r>
      <w:r>
        <w:rPr/>
        <w:t>market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executives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younger</w:t>
      </w:r>
      <w:r>
        <w:rPr>
          <w:spacing w:val="-7"/>
        </w:rPr>
        <w:t> </w:t>
      </w:r>
      <w:r>
        <w:rPr/>
        <w:t>age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more</w:t>
      </w:r>
      <w:r>
        <w:rPr>
          <w:spacing w:val="-7"/>
        </w:rPr>
        <w:t> </w:t>
      </w:r>
      <w:r>
        <w:rPr/>
        <w:t>motivated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favourably</w:t>
      </w:r>
      <w:r>
        <w:rPr>
          <w:spacing w:val="-5"/>
        </w:rPr>
        <w:t> </w:t>
      </w:r>
      <w:r>
        <w:rPr/>
        <w:t>influenced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labour</w:t>
      </w:r>
      <w:r>
        <w:rPr>
          <w:spacing w:val="-8"/>
        </w:rPr>
        <w:t> </w:t>
      </w:r>
      <w:r>
        <w:rPr/>
        <w:t>market’s</w:t>
      </w:r>
      <w:r>
        <w:rPr>
          <w:spacing w:val="-58"/>
        </w:rPr>
        <w:t> </w:t>
      </w:r>
      <w:r>
        <w:rPr/>
        <w:t>perception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high-quality</w:t>
      </w:r>
      <w:r>
        <w:rPr>
          <w:spacing w:val="1"/>
        </w:rPr>
        <w:t> </w:t>
      </w:r>
      <w:r>
        <w:rPr/>
        <w:t>executives</w:t>
      </w:r>
      <w:r>
        <w:rPr>
          <w:spacing w:val="1"/>
        </w:rPr>
        <w:t> </w:t>
      </w:r>
      <w:r>
        <w:rPr/>
        <w:t>receive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>
          <w:spacing w:val="-1"/>
        </w:rPr>
        <w:t>compensation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/>
        <w:t>strengthened</w:t>
      </w:r>
      <w:r>
        <w:rPr>
          <w:spacing w:val="-15"/>
        </w:rPr>
        <w:t> </w:t>
      </w:r>
      <w:r>
        <w:rPr/>
        <w:t>job</w:t>
      </w:r>
      <w:r>
        <w:rPr>
          <w:spacing w:val="-14"/>
        </w:rPr>
        <w:t> </w:t>
      </w:r>
      <w:r>
        <w:rPr/>
        <w:t>security</w:t>
      </w:r>
      <w:r>
        <w:rPr>
          <w:spacing w:val="-13"/>
        </w:rPr>
        <w:t> </w:t>
      </w:r>
      <w:r>
        <w:rPr/>
        <w:t>(Prendergast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Stole,</w:t>
      </w:r>
      <w:r>
        <w:rPr>
          <w:spacing w:val="-15"/>
        </w:rPr>
        <w:t> </w:t>
      </w:r>
      <w:r>
        <w:rPr/>
        <w:t>1996;</w:t>
      </w:r>
      <w:r>
        <w:rPr>
          <w:spacing w:val="-14"/>
        </w:rPr>
        <w:t> </w:t>
      </w:r>
      <w:r>
        <w:rPr/>
        <w:t>Hermalin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Weisbach,</w:t>
      </w:r>
      <w:r>
        <w:rPr>
          <w:spacing w:val="-57"/>
        </w:rPr>
        <w:t> </w:t>
      </w:r>
      <w:r>
        <w:rPr/>
        <w:t>1998;</w:t>
      </w:r>
      <w:r>
        <w:rPr>
          <w:spacing w:val="-1"/>
        </w:rPr>
        <w:t> </w:t>
      </w:r>
      <w:r>
        <w:rPr/>
        <w:t>Holmstrom, 1999).</w:t>
      </w:r>
    </w:p>
    <w:p>
      <w:pPr>
        <w:pStyle w:val="BodyText"/>
        <w:spacing w:line="480" w:lineRule="auto" w:before="203"/>
        <w:ind w:right="826"/>
      </w:pPr>
      <w:r>
        <w:rPr/>
        <w:t>In addition, Bertrand and Schoar (2003) indicates that a large amount of firm specific wealth</w:t>
      </w:r>
      <w:r>
        <w:rPr>
          <w:spacing w:val="1"/>
        </w:rPr>
        <w:t> </w:t>
      </w:r>
      <w:r>
        <w:rPr/>
        <w:t>and reputation accumulated in CEO age may induce greater conservatism in CEOs with older</w:t>
      </w:r>
      <w:r>
        <w:rPr>
          <w:spacing w:val="1"/>
        </w:rPr>
        <w:t> </w:t>
      </w:r>
      <w:r>
        <w:rPr/>
        <w:t>age.</w:t>
      </w:r>
      <w:r>
        <w:rPr>
          <w:spacing w:val="-13"/>
        </w:rPr>
        <w:t> </w:t>
      </w:r>
      <w:r>
        <w:rPr/>
        <w:t>Neurophysiologic</w:t>
      </w:r>
      <w:r>
        <w:rPr>
          <w:spacing w:val="-14"/>
        </w:rPr>
        <w:t> </w:t>
      </w:r>
      <w:r>
        <w:rPr/>
        <w:t>studies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point</w:t>
      </w:r>
      <w:r>
        <w:rPr>
          <w:spacing w:val="-13"/>
        </w:rPr>
        <w:t> </w:t>
      </w:r>
      <w:r>
        <w:rPr/>
        <w:t>out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negative</w:t>
      </w:r>
      <w:r>
        <w:rPr>
          <w:spacing w:val="-14"/>
        </w:rPr>
        <w:t> </w:t>
      </w:r>
      <w:r>
        <w:rPr/>
        <w:t>relation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executive</w:t>
      </w:r>
      <w:r>
        <w:rPr>
          <w:spacing w:val="-14"/>
        </w:rPr>
        <w:t> </w:t>
      </w:r>
      <w:r>
        <w:rPr/>
        <w:t>age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risk-</w:t>
      </w:r>
      <w:r>
        <w:rPr>
          <w:spacing w:val="-58"/>
        </w:rPr>
        <w:t> </w:t>
      </w:r>
      <w:r>
        <w:rPr/>
        <w:t>taking incentives. The components of human brain in charge of complex cognition, inductive</w:t>
      </w:r>
      <w:r>
        <w:rPr>
          <w:spacing w:val="1"/>
        </w:rPr>
        <w:t> </w:t>
      </w:r>
      <w:r>
        <w:rPr/>
        <w:t>reasoning and numerical ability deteriorates with age (Raz,</w:t>
      </w:r>
      <w:r>
        <w:rPr>
          <w:spacing w:val="1"/>
        </w:rPr>
        <w:t> </w:t>
      </w:r>
      <w:r>
        <w:rPr/>
        <w:t>Rodrigue,</w:t>
      </w:r>
      <w:r>
        <w:rPr>
          <w:spacing w:val="1"/>
        </w:rPr>
        <w:t> </w:t>
      </w:r>
      <w:r>
        <w:rPr/>
        <w:t>Head, Kennedy,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Acker, 2004). The decline is more severe for people of age 60 and above (Schaie, 1996). CEO</w:t>
      </w:r>
      <w:r>
        <w:rPr>
          <w:spacing w:val="-57"/>
        </w:rPr>
        <w:t> </w:t>
      </w:r>
      <w:r>
        <w:rPr/>
        <w:t>age is negatively related to the ability to accommodate new information (Mutter &amp; Pliske,</w:t>
      </w:r>
      <w:r>
        <w:rPr>
          <w:spacing w:val="1"/>
        </w:rPr>
        <w:t> </w:t>
      </w:r>
      <w:r>
        <w:rPr/>
        <w:t>1994), to execute multiple tasks simultaneously (Verhaeghen &amp; Cerella, 2002), and to solve</w:t>
      </w:r>
      <w:r>
        <w:rPr>
          <w:spacing w:val="1"/>
        </w:rPr>
        <w:t> </w:t>
      </w:r>
      <w:r>
        <w:rPr/>
        <w:t>complex</w:t>
      </w:r>
      <w:r>
        <w:rPr>
          <w:spacing w:val="-1"/>
        </w:rPr>
        <w:t> </w:t>
      </w:r>
      <w:r>
        <w:rPr/>
        <w:t>problems with advanced heuristics.</w:t>
      </w:r>
    </w:p>
    <w:p>
      <w:pPr>
        <w:pStyle w:val="BodyText"/>
        <w:spacing w:line="480" w:lineRule="auto" w:before="200"/>
        <w:ind w:right="829"/>
      </w:pPr>
      <w:r>
        <w:rPr/>
        <w:t>Many empirical studies supported the negative relation between CEO age and risk-taking. Li</w:t>
      </w:r>
      <w:r>
        <w:rPr>
          <w:spacing w:val="1"/>
        </w:rPr>
        <w:t> </w:t>
      </w:r>
      <w:r>
        <w:rPr/>
        <w:t>(2017) showed that younger CEOs were more likely to enter new lines of businesses and exit</w:t>
      </w:r>
      <w:r>
        <w:rPr>
          <w:spacing w:val="1"/>
        </w:rPr>
        <w:t> </w:t>
      </w:r>
      <w:r>
        <w:rPr/>
        <w:t>from the current ones, to engage in acquisitions, and to undertake bolder expansions and</w:t>
      </w:r>
      <w:r>
        <w:rPr>
          <w:spacing w:val="1"/>
        </w:rPr>
        <w:t> </w:t>
      </w:r>
      <w:r>
        <w:rPr/>
        <w:t>divestments. Serfling (2014) documented that CEOs of a younger age invested more in R&amp;D,</w:t>
      </w:r>
      <w:r>
        <w:rPr>
          <w:spacing w:val="1"/>
        </w:rPr>
        <w:t> </w:t>
      </w:r>
      <w:r>
        <w:rPr/>
        <w:t>made</w:t>
      </w:r>
      <w:r>
        <w:rPr>
          <w:spacing w:val="-5"/>
        </w:rPr>
        <w:t> </w:t>
      </w:r>
      <w:r>
        <w:rPr/>
        <w:t>less</w:t>
      </w:r>
      <w:r>
        <w:rPr>
          <w:spacing w:val="-3"/>
        </w:rPr>
        <w:t> </w:t>
      </w:r>
      <w:r>
        <w:rPr/>
        <w:t>diversifying</w:t>
      </w:r>
      <w:r>
        <w:rPr>
          <w:spacing w:val="-3"/>
        </w:rPr>
        <w:t> </w:t>
      </w:r>
      <w:r>
        <w:rPr/>
        <w:t>acquisitions,</w:t>
      </w:r>
      <w:r>
        <w:rPr>
          <w:spacing w:val="-3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-3"/>
        </w:rPr>
        <w:t> </w:t>
      </w:r>
      <w:r>
        <w:rPr/>
        <w:t>higher</w:t>
      </w:r>
      <w:r>
        <w:rPr>
          <w:spacing w:val="-4"/>
        </w:rPr>
        <w:t> </w:t>
      </w:r>
      <w:r>
        <w:rPr/>
        <w:t>leverage,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associated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higher</w:t>
      </w:r>
      <w:r>
        <w:rPr>
          <w:spacing w:val="-57"/>
        </w:rPr>
        <w:t> </w:t>
      </w:r>
      <w:r>
        <w:rPr/>
        <w:t>stock return volatility. Yim (2013) shows that younger CEOs are more likely to conduct</w:t>
      </w:r>
      <w:r>
        <w:rPr>
          <w:spacing w:val="1"/>
        </w:rPr>
        <w:t> </w:t>
      </w:r>
      <w:r>
        <w:rPr/>
        <w:t>acquisitions.</w:t>
      </w:r>
      <w:r>
        <w:rPr>
          <w:spacing w:val="11"/>
        </w:rPr>
        <w:t> </w:t>
      </w:r>
      <w:r>
        <w:rPr/>
        <w:t>Croci</w:t>
      </w:r>
      <w:r>
        <w:rPr>
          <w:spacing w:val="13"/>
        </w:rPr>
        <w:t> </w:t>
      </w:r>
      <w:r>
        <w:rPr/>
        <w:t>(2017)</w:t>
      </w:r>
      <w:r>
        <w:rPr>
          <w:spacing w:val="10"/>
        </w:rPr>
        <w:t> </w:t>
      </w:r>
      <w:r>
        <w:rPr/>
        <w:t>explained</w:t>
      </w:r>
      <w:r>
        <w:rPr>
          <w:spacing w:val="11"/>
        </w:rPr>
        <w:t> </w:t>
      </w:r>
      <w:r>
        <w:rPr/>
        <w:t>that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propensity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using</w:t>
      </w:r>
      <w:r>
        <w:rPr>
          <w:spacing w:val="11"/>
        </w:rPr>
        <w:t> </w:t>
      </w:r>
      <w:r>
        <w:rPr/>
        <w:t>hedging</w:t>
      </w:r>
      <w:r>
        <w:rPr>
          <w:spacing w:val="11"/>
        </w:rPr>
        <w:t> </w:t>
      </w:r>
      <w:r>
        <w:rPr/>
        <w:t>strategies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reduce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t>portfolio risk increases with CEO age. Axelson and Bond (2009) suggested that adverse</w:t>
      </w:r>
      <w:r>
        <w:rPr>
          <w:spacing w:val="1"/>
        </w:rPr>
        <w:t> </w:t>
      </w:r>
      <w:r>
        <w:rPr/>
        <w:t>selection is more severe for younger CEOs, which incentivized them to take more aggressive</w:t>
      </w:r>
      <w:r>
        <w:rPr>
          <w:spacing w:val="1"/>
        </w:rPr>
        <w:t> </w:t>
      </w:r>
      <w:r>
        <w:rPr/>
        <w:t>policies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avoid</w:t>
      </w:r>
      <w:r>
        <w:rPr>
          <w:spacing w:val="-6"/>
        </w:rPr>
        <w:t> </w:t>
      </w:r>
      <w:r>
        <w:rPr/>
        <w:t>being</w:t>
      </w:r>
      <w:r>
        <w:rPr>
          <w:spacing w:val="-5"/>
        </w:rPr>
        <w:t> </w:t>
      </w:r>
      <w:r>
        <w:rPr/>
        <w:t>labelled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“Low</w:t>
      </w:r>
      <w:r>
        <w:rPr>
          <w:spacing w:val="-4"/>
        </w:rPr>
        <w:t> </w:t>
      </w:r>
      <w:r>
        <w:rPr/>
        <w:t>ability”.</w:t>
      </w:r>
      <w:r>
        <w:rPr>
          <w:spacing w:val="-6"/>
        </w:rPr>
        <w:t> </w:t>
      </w:r>
      <w:r>
        <w:rPr/>
        <w:t>Bamber</w:t>
      </w:r>
      <w:r>
        <w:rPr>
          <w:spacing w:val="-6"/>
        </w:rPr>
        <w:t> </w:t>
      </w:r>
      <w:r>
        <w:rPr/>
        <w:t>(2010)</w:t>
      </w:r>
      <w:r>
        <w:rPr>
          <w:spacing w:val="-7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old</w:t>
      </w:r>
      <w:r>
        <w:rPr>
          <w:spacing w:val="-5"/>
        </w:rPr>
        <w:t> </w:t>
      </w:r>
      <w:r>
        <w:rPr/>
        <w:t>managers</w:t>
      </w:r>
      <w:r>
        <w:rPr>
          <w:spacing w:val="-4"/>
        </w:rPr>
        <w:t> </w:t>
      </w:r>
      <w:r>
        <w:rPr/>
        <w:t>are</w:t>
      </w:r>
      <w:r>
        <w:rPr>
          <w:spacing w:val="-58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 certain conservative</w:t>
      </w:r>
      <w:r>
        <w:rPr>
          <w:spacing w:val="-1"/>
        </w:rPr>
        <w:t> </w:t>
      </w:r>
      <w:r>
        <w:rPr/>
        <w:t>disclosure</w:t>
      </w:r>
      <w:r>
        <w:rPr>
          <w:spacing w:val="-2"/>
        </w:rPr>
        <w:t> </w:t>
      </w:r>
      <w:r>
        <w:rPr/>
        <w:t>styles.</w:t>
      </w:r>
    </w:p>
    <w:p>
      <w:pPr>
        <w:pStyle w:val="Heading1"/>
        <w:numPr>
          <w:ilvl w:val="3"/>
          <w:numId w:val="21"/>
        </w:numPr>
        <w:tabs>
          <w:tab w:pos="1602" w:val="left" w:leader="none"/>
        </w:tabs>
        <w:spacing w:line="240" w:lineRule="auto" w:before="202" w:after="0"/>
        <w:ind w:left="1602" w:right="0" w:hanging="780"/>
        <w:jc w:val="both"/>
      </w:pPr>
      <w:r>
        <w:rPr/>
        <w:drawing>
          <wp:anchor distT="0" distB="0" distL="0" distR="0" allowOverlap="1" layoutInCell="1" locked="0" behindDoc="1" simplePos="0" relativeHeight="454018048">
            <wp:simplePos x="0" y="0"/>
            <wp:positionH relativeFrom="page">
              <wp:posOffset>1261605</wp:posOffset>
            </wp:positionH>
            <wp:positionV relativeFrom="paragraph">
              <wp:posOffset>376086</wp:posOffset>
            </wp:positionV>
            <wp:extent cx="5133225" cy="5265293"/>
            <wp:effectExtent l="0" t="0" r="0" b="0"/>
            <wp:wrapNone/>
            <wp:docPr id="1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4" w:id="56"/>
      <w:bookmarkEnd w:id="56"/>
      <w:r>
        <w:rPr>
          <w:b w:val="0"/>
        </w:rPr>
      </w:r>
      <w:bookmarkStart w:name="_bookmark34" w:id="57"/>
      <w:bookmarkEnd w:id="57"/>
      <w:r>
        <w:rPr/>
        <w:t>CEO</w:t>
      </w:r>
      <w:r>
        <w:rPr>
          <w:spacing w:val="-5"/>
        </w:rPr>
        <w:t> </w:t>
      </w:r>
      <w:r>
        <w:rPr/>
        <w:t>Ownership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0"/>
      </w:pPr>
      <w:r>
        <w:rPr/>
        <w:t>Given the separation of ownership and management, a CEO serves as the agent and runs</w:t>
      </w:r>
      <w:r>
        <w:rPr>
          <w:spacing w:val="1"/>
        </w:rPr>
        <w:t> </w:t>
      </w:r>
      <w:r>
        <w:rPr/>
        <w:t>operations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9"/>
        </w:rPr>
        <w:t> </w:t>
      </w:r>
      <w:r>
        <w:rPr/>
        <w:t>level,</w:t>
      </w:r>
      <w:r>
        <w:rPr>
          <w:spacing w:val="-7"/>
        </w:rPr>
        <w:t> </w:t>
      </w:r>
      <w:r>
        <w:rPr/>
        <w:t>meaning</w:t>
      </w:r>
      <w:r>
        <w:rPr>
          <w:spacing w:val="-8"/>
        </w:rPr>
        <w:t> </w:t>
      </w:r>
      <w:r>
        <w:rPr/>
        <w:t>they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highly</w:t>
      </w:r>
      <w:r>
        <w:rPr>
          <w:spacing w:val="-9"/>
        </w:rPr>
        <w:t> </w:t>
      </w:r>
      <w:r>
        <w:rPr/>
        <w:t>influential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tax</w:t>
      </w:r>
      <w:r>
        <w:rPr>
          <w:spacing w:val="-7"/>
        </w:rPr>
        <w:t> </w:t>
      </w:r>
      <w:r>
        <w:rPr/>
        <w:t>avoidance</w:t>
      </w:r>
      <w:r>
        <w:rPr>
          <w:spacing w:val="-6"/>
        </w:rPr>
        <w:t> </w:t>
      </w:r>
      <w:r>
        <w:rPr/>
        <w:t>strategy</w:t>
      </w:r>
      <w:r>
        <w:rPr>
          <w:spacing w:val="-58"/>
        </w:rPr>
        <w:t> </w:t>
      </w:r>
      <w:r>
        <w:rPr/>
        <w:t>(Dyreng, 2010). Chen and Chu (2005) analyzed tax avoidance based on the shareholders–</w:t>
      </w:r>
      <w:r>
        <w:rPr>
          <w:spacing w:val="1"/>
        </w:rPr>
        <w:t> </w:t>
      </w:r>
      <w:r>
        <w:rPr/>
        <w:t>managers model. Their results indicated that tax planning strategies are planned by principals,</w:t>
      </w:r>
      <w:r>
        <w:rPr>
          <w:spacing w:val="-57"/>
        </w:rPr>
        <w:t> </w:t>
      </w:r>
      <w:r>
        <w:rPr/>
        <w:t>while</w:t>
      </w:r>
      <w:r>
        <w:rPr>
          <w:spacing w:val="-12"/>
        </w:rPr>
        <w:t> </w:t>
      </w:r>
      <w:r>
        <w:rPr/>
        <w:t>agents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forced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cooperate</w:t>
      </w:r>
      <w:r>
        <w:rPr>
          <w:spacing w:val="-12"/>
        </w:rPr>
        <w:t> </w:t>
      </w:r>
      <w:r>
        <w:rPr/>
        <w:t>because</w:t>
      </w:r>
      <w:r>
        <w:rPr>
          <w:spacing w:val="-10"/>
        </w:rPr>
        <w:t> </w:t>
      </w:r>
      <w:r>
        <w:rPr/>
        <w:t>they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paid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principals.</w:t>
      </w:r>
      <w:r>
        <w:rPr>
          <w:spacing w:val="-8"/>
        </w:rPr>
        <w:t> </w:t>
      </w:r>
      <w:r>
        <w:rPr/>
        <w:t>CEOs</w:t>
      </w:r>
      <w:r>
        <w:rPr>
          <w:spacing w:val="-11"/>
        </w:rPr>
        <w:t> </w:t>
      </w:r>
      <w:r>
        <w:rPr/>
        <w:t>use</w:t>
      </w:r>
      <w:r>
        <w:rPr>
          <w:spacing w:val="-11"/>
        </w:rPr>
        <w:t> </w:t>
      </w:r>
      <w:r>
        <w:rPr/>
        <w:t>complex</w:t>
      </w:r>
      <w:r>
        <w:rPr>
          <w:spacing w:val="-58"/>
        </w:rPr>
        <w:t> </w:t>
      </w:r>
      <w:r>
        <w:rPr/>
        <w:t>transactions or structures to camouflage their intentions from the principals. According to the</w:t>
      </w:r>
      <w:r>
        <w:rPr>
          <w:spacing w:val="1"/>
        </w:rPr>
        <w:t> </w:t>
      </w:r>
      <w:r>
        <w:rPr/>
        <w:t>stewardship</w:t>
      </w:r>
      <w:r>
        <w:rPr>
          <w:spacing w:val="-9"/>
        </w:rPr>
        <w:t> </w:t>
      </w:r>
      <w:r>
        <w:rPr/>
        <w:t>theory,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assessment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net</w:t>
      </w:r>
      <w:r>
        <w:rPr>
          <w:spacing w:val="-8"/>
        </w:rPr>
        <w:t> </w:t>
      </w:r>
      <w:r>
        <w:rPr/>
        <w:t>tax</w:t>
      </w:r>
      <w:r>
        <w:rPr>
          <w:spacing w:val="-9"/>
        </w:rPr>
        <w:t> </w:t>
      </w:r>
      <w:r>
        <w:rPr/>
        <w:t>benefits</w:t>
      </w:r>
      <w:r>
        <w:rPr>
          <w:spacing w:val="-7"/>
        </w:rPr>
        <w:t> </w:t>
      </w:r>
      <w:r>
        <w:rPr/>
        <w:t>should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whether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CEO</w:t>
      </w:r>
      <w:r>
        <w:rPr>
          <w:spacing w:val="-8"/>
        </w:rPr>
        <w:t> </w:t>
      </w:r>
      <w:r>
        <w:rPr/>
        <w:t>considers</w:t>
      </w:r>
      <w:r>
        <w:rPr>
          <w:spacing w:val="-9"/>
        </w:rPr>
        <w:t> </w:t>
      </w:r>
      <w:r>
        <w:rPr/>
        <w:t>tax</w:t>
      </w:r>
      <w:r>
        <w:rPr>
          <w:spacing w:val="-57"/>
        </w:rPr>
        <w:t> </w:t>
      </w:r>
      <w:r>
        <w:rPr/>
        <w:t>avoidance at all. The more control CEOs have, the more leeway they have with policymaking.</w:t>
      </w:r>
      <w:r>
        <w:rPr>
          <w:spacing w:val="-57"/>
        </w:rPr>
        <w:t> </w:t>
      </w:r>
      <w:r>
        <w:rPr/>
        <w:t>Agency theory holds that CEOs orchestrate aggressive tax avoidance to entrench their power</w:t>
      </w:r>
      <w:r>
        <w:rPr>
          <w:spacing w:val="1"/>
        </w:rPr>
        <w:t> </w:t>
      </w:r>
      <w:r>
        <w:rPr/>
        <w:t>and pursue control and personal gain, to cover up their rent extractions, or to create financial</w:t>
      </w:r>
      <w:r>
        <w:rPr>
          <w:spacing w:val="1"/>
        </w:rPr>
        <w:t> </w:t>
      </w:r>
      <w:r>
        <w:rPr/>
        <w:t>performances,</w:t>
      </w:r>
      <w:r>
        <w:rPr>
          <w:spacing w:val="1"/>
        </w:rPr>
        <w:t> </w:t>
      </w:r>
      <w:r>
        <w:rPr/>
        <w:t>and hence,</w:t>
      </w:r>
      <w:r>
        <w:rPr>
          <w:spacing w:val="2"/>
        </w:rPr>
        <w:t> </w:t>
      </w:r>
      <w:r>
        <w:rPr/>
        <w:t>high returns.</w:t>
      </w:r>
    </w:p>
    <w:p>
      <w:pPr>
        <w:pStyle w:val="BodyText"/>
        <w:spacing w:line="480" w:lineRule="auto" w:before="201"/>
        <w:ind w:right="831"/>
      </w:pPr>
      <w:r>
        <w:rPr/>
        <w:t>In line with the agency theory, CEOs as the agent have managerial power, which is subject to</w:t>
      </w:r>
      <w:r>
        <w:rPr>
          <w:spacing w:val="1"/>
        </w:rPr>
        <w:t> </w:t>
      </w:r>
      <w:r>
        <w:rPr/>
        <w:t>the control and influence of principals. However, CEOs may also be the owners, and this will</w:t>
      </w:r>
      <w:r>
        <w:rPr>
          <w:spacing w:val="1"/>
        </w:rPr>
        <w:t> </w:t>
      </w:r>
      <w:r>
        <w:rPr/>
        <w:t>boost their status in the principal-agent relationship. In some cases, CEOs are the ultimate</w:t>
      </w:r>
      <w:r>
        <w:rPr>
          <w:spacing w:val="1"/>
        </w:rPr>
        <w:t> </w:t>
      </w:r>
      <w:r>
        <w:rPr/>
        <w:t>owners and controllers. Zald (1969) argued the most important source of managerial power is</w:t>
      </w:r>
      <w:r>
        <w:rPr>
          <w:spacing w:val="1"/>
        </w:rPr>
        <w:t> </w:t>
      </w:r>
      <w:r>
        <w:rPr/>
        <w:t>ownership. High ownership stakes held by management will enhance the influence on key</w:t>
      </w:r>
      <w:r>
        <w:rPr>
          <w:spacing w:val="1"/>
        </w:rPr>
        <w:t> </w:t>
      </w:r>
      <w:r>
        <w:rPr/>
        <w:t>decisions via voting rights. The effects of CEO’s ownership on corporate governance can be</w:t>
      </w:r>
      <w:r>
        <w:rPr>
          <w:spacing w:val="1"/>
        </w:rPr>
        <w:t> </w:t>
      </w:r>
      <w:r>
        <w:rPr/>
        <w:t>explored in the context of the agency theory. There are two hypotheses regarding high stakes</w:t>
      </w:r>
      <w:r>
        <w:rPr>
          <w:spacing w:val="1"/>
        </w:rPr>
        <w:t> </w:t>
      </w:r>
      <w:r>
        <w:rPr/>
        <w:t>owned</w:t>
      </w:r>
      <w:r>
        <w:rPr>
          <w:spacing w:val="33"/>
        </w:rPr>
        <w:t> </w:t>
      </w:r>
      <w:r>
        <w:rPr/>
        <w:t>by</w:t>
      </w:r>
      <w:r>
        <w:rPr>
          <w:spacing w:val="34"/>
        </w:rPr>
        <w:t> </w:t>
      </w:r>
      <w:r>
        <w:rPr/>
        <w:t>managers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will</w:t>
      </w:r>
      <w:r>
        <w:rPr>
          <w:spacing w:val="35"/>
        </w:rPr>
        <w:t> </w:t>
      </w:r>
      <w:r>
        <w:rPr/>
        <w:t>result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two</w:t>
      </w:r>
      <w:r>
        <w:rPr>
          <w:spacing w:val="34"/>
        </w:rPr>
        <w:t> </w:t>
      </w:r>
      <w:r>
        <w:rPr/>
        <w:t>corporate</w:t>
      </w:r>
      <w:r>
        <w:rPr>
          <w:spacing w:val="34"/>
        </w:rPr>
        <w:t> </w:t>
      </w:r>
      <w:r>
        <w:rPr/>
        <w:t>governance</w:t>
      </w:r>
      <w:r>
        <w:rPr>
          <w:spacing w:val="33"/>
        </w:rPr>
        <w:t> </w:t>
      </w:r>
      <w:r>
        <w:rPr/>
        <w:t>effects,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entrenchment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1856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0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theory and convergence-of-interest hypothesis (Jensen &amp; Ruback, 1983; Jensen and Meckling,</w:t>
      </w:r>
      <w:r>
        <w:rPr>
          <w:spacing w:val="-58"/>
        </w:rPr>
        <w:t> </w:t>
      </w:r>
      <w:r>
        <w:rPr/>
        <w:t>1976). For shareholders, these hypotheses explain two effects. According to the entrenchment</w:t>
      </w:r>
      <w:r>
        <w:rPr>
          <w:spacing w:val="1"/>
        </w:rPr>
        <w:t> </w:t>
      </w:r>
      <w:r>
        <w:rPr/>
        <w:t>theory, high ownership alleviates management from being monitored by the board. This high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allows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voting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investment</w:t>
      </w:r>
      <w:r>
        <w:rPr>
          <w:spacing w:val="-6"/>
        </w:rPr>
        <w:t> </w:t>
      </w:r>
      <w:r>
        <w:rPr/>
        <w:t>decisions</w:t>
      </w:r>
      <w:r>
        <w:rPr>
          <w:spacing w:val="-6"/>
        </w:rPr>
        <w:t> </w:t>
      </w:r>
      <w:r>
        <w:rPr/>
        <w:t>favorable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their</w:t>
      </w:r>
      <w:r>
        <w:rPr>
          <w:spacing w:val="-7"/>
        </w:rPr>
        <w:t> </w:t>
      </w:r>
      <w:r>
        <w:rPr/>
        <w:t>own</w:t>
      </w:r>
      <w:r>
        <w:rPr>
          <w:spacing w:val="-7"/>
        </w:rPr>
        <w:t> </w:t>
      </w:r>
      <w:r>
        <w:rPr/>
        <w:t>interests</w:t>
      </w:r>
      <w:r>
        <w:rPr>
          <w:spacing w:val="-6"/>
        </w:rPr>
        <w:t> </w:t>
      </w:r>
      <w:r>
        <w:rPr/>
        <w:t>(Grabke-Rundell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Gomez-Mejia,</w:t>
      </w:r>
      <w:r>
        <w:rPr>
          <w:spacing w:val="-6"/>
        </w:rPr>
        <w:t> </w:t>
      </w:r>
      <w:r>
        <w:rPr/>
        <w:t>2002).</w:t>
      </w:r>
    </w:p>
    <w:p>
      <w:pPr>
        <w:pStyle w:val="BodyText"/>
        <w:spacing w:line="480" w:lineRule="auto" w:before="202"/>
        <w:ind w:right="830"/>
      </w:pPr>
      <w:r>
        <w:rPr/>
        <w:t>In contrast, the convergence-of-interest hypothesis considers the alignment of management’s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shareholders’</w:t>
      </w:r>
      <w:r>
        <w:rPr>
          <w:spacing w:val="1"/>
        </w:rPr>
        <w:t> </w:t>
      </w:r>
      <w:r>
        <w:rPr/>
        <w:t>interests.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stakes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losses.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circumstances, CEOs are more likely to maximize firm values and protect shareholders’</w:t>
      </w:r>
      <w:r>
        <w:rPr>
          <w:spacing w:val="1"/>
        </w:rPr>
        <w:t> </w:t>
      </w:r>
      <w:r>
        <w:rPr/>
        <w:t>interests, thereby mitigating the agency problems due to the separation of ownership and</w:t>
      </w:r>
      <w:r>
        <w:rPr>
          <w:spacing w:val="1"/>
        </w:rPr>
        <w:t> </w:t>
      </w:r>
      <w:r>
        <w:rPr/>
        <w:t>management (Jensen &amp; Meckling, 1976; Teshima &amp; Shuto, 2008). Shen and Cannella (2002)</w:t>
      </w:r>
      <w:r>
        <w:rPr>
          <w:spacing w:val="1"/>
        </w:rPr>
        <w:t> </w:t>
      </w:r>
      <w:r>
        <w:rPr/>
        <w:t>argued for a positive correlation between CEO ownership and CEO loyalty. The greater the</w:t>
      </w:r>
      <w:r>
        <w:rPr>
          <w:spacing w:val="1"/>
        </w:rPr>
        <w:t> </w:t>
      </w:r>
      <w:r>
        <w:rPr/>
        <w:t>CEO ownership, the more likely he/she will be to prioritize the interests of the company.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CEO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CEO</w:t>
      </w:r>
      <w:r>
        <w:rPr>
          <w:spacing w:val="1"/>
        </w:rPr>
        <w:t> </w:t>
      </w:r>
      <w:r>
        <w:rPr/>
        <w:t>credibility.</w:t>
      </w:r>
      <w:r>
        <w:rPr>
          <w:spacing w:val="1"/>
        </w:rPr>
        <w:t> </w:t>
      </w:r>
      <w:r>
        <w:rPr/>
        <w:t>Meanwhile,</w:t>
      </w:r>
      <w:r>
        <w:rPr>
          <w:spacing w:val="1"/>
        </w:rPr>
        <w:t> </w:t>
      </w:r>
      <w:r>
        <w:rPr/>
        <w:t>significant external shareholders play an important role in corporate activities, as they provide</w:t>
      </w:r>
      <w:r>
        <w:rPr>
          <w:spacing w:val="-57"/>
        </w:rPr>
        <w:t> </w:t>
      </w:r>
      <w:r>
        <w:rPr/>
        <w:t>good</w:t>
      </w:r>
      <w:r>
        <w:rPr>
          <w:spacing w:val="-6"/>
        </w:rPr>
        <w:t> </w:t>
      </w:r>
      <w:r>
        <w:rPr/>
        <w:t>oversight</w:t>
      </w:r>
      <w:r>
        <w:rPr>
          <w:spacing w:val="-6"/>
        </w:rPr>
        <w:t> </w:t>
      </w:r>
      <w:r>
        <w:rPr/>
        <w:t>(McConnell</w:t>
      </w:r>
      <w:r>
        <w:rPr>
          <w:spacing w:val="-4"/>
        </w:rPr>
        <w:t> </w:t>
      </w:r>
      <w:r>
        <w:rPr/>
        <w:t>&amp;</w:t>
      </w:r>
      <w:r>
        <w:rPr>
          <w:spacing w:val="-6"/>
        </w:rPr>
        <w:t> </w:t>
      </w:r>
      <w:r>
        <w:rPr/>
        <w:t>Servaes,</w:t>
      </w:r>
      <w:r>
        <w:rPr>
          <w:spacing w:val="-3"/>
        </w:rPr>
        <w:t> </w:t>
      </w:r>
      <w:r>
        <w:rPr/>
        <w:t>1995),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serve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check-and-balance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pursuit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personal goals by controlling shareholders.</w:t>
      </w:r>
    </w:p>
    <w:p>
      <w:pPr>
        <w:pStyle w:val="BodyText"/>
        <w:spacing w:line="480" w:lineRule="auto" w:before="201"/>
        <w:ind w:right="831"/>
      </w:pPr>
      <w:r>
        <w:rPr/>
        <w:t>Steijver and Niskanen (2011) indicated that businesses where CEOs have high ownership are</w:t>
      </w:r>
      <w:r>
        <w:rPr>
          <w:spacing w:val="1"/>
        </w:rPr>
        <w:t> </w:t>
      </w:r>
      <w:r>
        <w:rPr/>
        <w:t>less willing to pursue tax avoidance. CEOs with low or no ownership will be tax aggressive.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directors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</w:t>
      </w:r>
      <w:r>
        <w:rPr>
          <w:spacing w:val="-5"/>
        </w:rPr>
        <w:t> </w:t>
      </w:r>
      <w:r>
        <w:rPr/>
        <w:t>can</w:t>
      </w:r>
      <w:r>
        <w:rPr>
          <w:spacing w:val="-4"/>
        </w:rPr>
        <w:t> </w:t>
      </w:r>
      <w:r>
        <w:rPr/>
        <w:t>lessen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direct</w:t>
      </w:r>
      <w:r>
        <w:rPr>
          <w:spacing w:val="-3"/>
        </w:rPr>
        <w:t> </w:t>
      </w:r>
      <w:r>
        <w:rPr/>
        <w:t>influence. In</w:t>
      </w:r>
      <w:r>
        <w:rPr>
          <w:spacing w:val="-4"/>
        </w:rPr>
        <w:t> </w:t>
      </w:r>
      <w:r>
        <w:rPr/>
        <w:t>line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convergence-of-interest</w:t>
      </w:r>
      <w:r>
        <w:rPr>
          <w:spacing w:val="1"/>
        </w:rPr>
        <w:t> </w:t>
      </w:r>
      <w:r>
        <w:rPr/>
        <w:t>hypothesis, this paper expects that, in the presence of significant</w:t>
      </w:r>
      <w:r>
        <w:rPr>
          <w:spacing w:val="1"/>
        </w:rPr>
        <w:t> </w:t>
      </w:r>
      <w:r>
        <w:rPr/>
        <w:t>shareholders, CEOs with high stakes or with ultimate control will not engage in rent transfers</w:t>
      </w:r>
      <w:r>
        <w:rPr>
          <w:spacing w:val="1"/>
        </w:rPr>
        <w:t> </w:t>
      </w:r>
      <w:r>
        <w:rPr/>
        <w:t>via</w:t>
      </w:r>
      <w:r>
        <w:rPr>
          <w:spacing w:val="16"/>
        </w:rPr>
        <w:t> </w:t>
      </w:r>
      <w:r>
        <w:rPr/>
        <w:t>tax</w:t>
      </w:r>
      <w:r>
        <w:rPr>
          <w:spacing w:val="17"/>
        </w:rPr>
        <w:t> </w:t>
      </w:r>
      <w:r>
        <w:rPr/>
        <w:t>avoidance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protect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interests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all</w:t>
      </w:r>
      <w:r>
        <w:rPr>
          <w:spacing w:val="17"/>
        </w:rPr>
        <w:t> </w:t>
      </w:r>
      <w:r>
        <w:rPr/>
        <w:t>shareholders.</w:t>
      </w:r>
      <w:r>
        <w:rPr>
          <w:spacing w:val="17"/>
        </w:rPr>
        <w:t> </w:t>
      </w:r>
      <w:r>
        <w:rPr/>
        <w:t>As</w:t>
      </w:r>
      <w:r>
        <w:rPr>
          <w:spacing w:val="16"/>
        </w:rPr>
        <w:t> </w:t>
      </w:r>
      <w:r>
        <w:rPr/>
        <w:t>CEOs</w:t>
      </w:r>
      <w:r>
        <w:rPr>
          <w:spacing w:val="18"/>
        </w:rPr>
        <w:t> </w:t>
      </w:r>
      <w:r>
        <w:rPr/>
        <w:t>with</w:t>
      </w:r>
      <w:r>
        <w:rPr>
          <w:spacing w:val="17"/>
        </w:rPr>
        <w:t> </w:t>
      </w:r>
      <w:r>
        <w:rPr/>
        <w:t>high</w:t>
      </w:r>
      <w:r>
        <w:rPr>
          <w:spacing w:val="17"/>
        </w:rPr>
        <w:t> </w:t>
      </w:r>
      <w:r>
        <w:rPr/>
        <w:t>stakes</w:t>
      </w:r>
      <w:r>
        <w:rPr>
          <w:spacing w:val="18"/>
        </w:rPr>
        <w:t> </w:t>
      </w:r>
      <w:r>
        <w:rPr/>
        <w:t>care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7"/>
      </w:pPr>
      <w:r>
        <w:rPr/>
        <w:t>about</w:t>
      </w:r>
      <w:r>
        <w:rPr>
          <w:spacing w:val="-3"/>
        </w:rPr>
        <w:t> </w:t>
      </w:r>
      <w:r>
        <w:rPr/>
        <w:t>their</w:t>
      </w:r>
      <w:r>
        <w:rPr>
          <w:spacing w:val="-5"/>
        </w:rPr>
        <w:t> </w:t>
      </w:r>
      <w:r>
        <w:rPr/>
        <w:t>own</w:t>
      </w:r>
      <w:r>
        <w:rPr>
          <w:spacing w:val="-4"/>
        </w:rPr>
        <w:t> </w:t>
      </w:r>
      <w:r>
        <w:rPr/>
        <w:t>reputation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3"/>
        </w:rPr>
        <w:t> </w:t>
      </w:r>
      <w:r>
        <w:rPr/>
        <w:t>reputation,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risk</w:t>
      </w:r>
      <w:r>
        <w:rPr>
          <w:spacing w:val="-4"/>
        </w:rPr>
        <w:t> </w:t>
      </w:r>
      <w:r>
        <w:rPr/>
        <w:t>averse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terms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tax</w:t>
      </w:r>
      <w:r>
        <w:rPr>
          <w:spacing w:val="-3"/>
        </w:rPr>
        <w:t> </w:t>
      </w:r>
      <w:r>
        <w:rPr/>
        <w:t>risk</w:t>
      </w:r>
      <w:r>
        <w:rPr>
          <w:spacing w:val="-58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 less likely to be involved in tax</w:t>
      </w:r>
      <w:r>
        <w:rPr>
          <w:spacing w:val="-1"/>
        </w:rPr>
        <w:t> </w:t>
      </w:r>
      <w:r>
        <w:rPr/>
        <w:t>avoidance.</w:t>
      </w:r>
    </w:p>
    <w:p>
      <w:pPr>
        <w:pStyle w:val="Heading1"/>
        <w:numPr>
          <w:ilvl w:val="3"/>
          <w:numId w:val="21"/>
        </w:numPr>
        <w:tabs>
          <w:tab w:pos="1602" w:val="left" w:leader="none"/>
        </w:tabs>
        <w:spacing w:line="240" w:lineRule="auto" w:before="202" w:after="0"/>
        <w:ind w:left="1602" w:right="0" w:hanging="780"/>
        <w:jc w:val="left"/>
      </w:pPr>
      <w:bookmarkStart w:name="_bookmark35" w:id="58"/>
      <w:bookmarkEnd w:id="58"/>
      <w:r>
        <w:rPr>
          <w:b w:val="0"/>
        </w:rPr>
      </w:r>
      <w:bookmarkStart w:name="_bookmark35" w:id="59"/>
      <w:bookmarkEnd w:id="59"/>
      <w:r>
        <w:rPr/>
        <w:t>CEO</w:t>
      </w:r>
      <w:r>
        <w:rPr>
          <w:spacing w:val="-3"/>
        </w:rPr>
        <w:t> </w:t>
      </w:r>
      <w:r>
        <w:rPr/>
        <w:t>Tenure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7"/>
      </w:pPr>
      <w:r>
        <w:rPr/>
        <w:drawing>
          <wp:anchor distT="0" distB="0" distL="0" distR="0" allowOverlap="1" layoutInCell="1" locked="0" behindDoc="1" simplePos="0" relativeHeight="454019072">
            <wp:simplePos x="0" y="0"/>
            <wp:positionH relativeFrom="page">
              <wp:posOffset>1261605</wp:posOffset>
            </wp:positionH>
            <wp:positionV relativeFrom="paragraph">
              <wp:posOffset>558712</wp:posOffset>
            </wp:positionV>
            <wp:extent cx="5133225" cy="5265293"/>
            <wp:effectExtent l="0" t="0" r="0" b="0"/>
            <wp:wrapNone/>
            <wp:docPr id="1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Throughout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tenure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firm,</w:t>
      </w:r>
      <w:r>
        <w:rPr>
          <w:spacing w:val="1"/>
        </w:rPr>
        <w:t> </w:t>
      </w:r>
      <w:r>
        <w:rPr/>
        <w:t>CEOs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shareholders.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evaluation</w:t>
      </w:r>
      <w:r>
        <w:rPr>
          <w:spacing w:val="-3"/>
        </w:rPr>
        <w:t> </w:t>
      </w:r>
      <w:r>
        <w:rPr/>
        <w:t>process,</w:t>
      </w:r>
      <w:r>
        <w:rPr>
          <w:spacing w:val="-3"/>
        </w:rPr>
        <w:t> </w:t>
      </w:r>
      <w:r>
        <w:rPr/>
        <w:t>there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time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crucial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CEO’s</w:t>
      </w:r>
      <w:r>
        <w:rPr>
          <w:spacing w:val="-4"/>
        </w:rPr>
        <w:t> </w:t>
      </w:r>
      <w:r>
        <w:rPr/>
        <w:t>first</w:t>
      </w:r>
      <w:r>
        <w:rPr>
          <w:spacing w:val="-58"/>
        </w:rPr>
        <w:t> </w:t>
      </w:r>
      <w:r>
        <w:rPr/>
        <w:t>few years in office. The market typically has little information on a new CEO’s ability or fit</w:t>
      </w:r>
      <w:r>
        <w:rPr>
          <w:spacing w:val="1"/>
        </w:rPr>
        <w:t> </w:t>
      </w:r>
      <w:r>
        <w:rPr/>
        <w:t>with the firm and hence watches the initial actions of the CEO closely (Ali &amp; Zhang 2015).</w:t>
      </w:r>
      <w:r>
        <w:rPr>
          <w:spacing w:val="1"/>
        </w:rPr>
        <w:t> </w:t>
      </w:r>
      <w:r>
        <w:rPr/>
        <w:t>Underscoring this need for a fast and strong positive signal about their ability, one-third of all</w:t>
      </w:r>
      <w:r>
        <w:rPr>
          <w:spacing w:val="1"/>
        </w:rPr>
        <w:t> </w:t>
      </w:r>
      <w:r>
        <w:rPr/>
        <w:t>CEOs terminated within their first three years (Coyne &amp; Rao 2005). In response to this intense</w:t>
      </w:r>
      <w:r>
        <w:rPr>
          <w:spacing w:val="-58"/>
        </w:rPr>
        <w:t> </w:t>
      </w:r>
      <w:r>
        <w:rPr>
          <w:spacing w:val="-1"/>
        </w:rPr>
        <w:t>pressure,</w:t>
      </w:r>
      <w:r>
        <w:rPr>
          <w:spacing w:val="-15"/>
        </w:rPr>
        <w:t> </w:t>
      </w:r>
      <w:r>
        <w:rPr/>
        <w:t>CEOs</w:t>
      </w:r>
      <w:r>
        <w:rPr>
          <w:spacing w:val="-15"/>
        </w:rPr>
        <w:t> </w:t>
      </w:r>
      <w:r>
        <w:rPr/>
        <w:t>have</w:t>
      </w:r>
      <w:r>
        <w:rPr>
          <w:spacing w:val="-16"/>
        </w:rPr>
        <w:t> </w:t>
      </w:r>
      <w:r>
        <w:rPr/>
        <w:t>strong</w:t>
      </w:r>
      <w:r>
        <w:rPr>
          <w:spacing w:val="-15"/>
        </w:rPr>
        <w:t> </w:t>
      </w:r>
      <w:r>
        <w:rPr/>
        <w:t>incentives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perform</w:t>
      </w:r>
      <w:r>
        <w:rPr>
          <w:spacing w:val="-13"/>
        </w:rPr>
        <w:t> </w:t>
      </w:r>
      <w:r>
        <w:rPr/>
        <w:t>well</w:t>
      </w:r>
      <w:r>
        <w:rPr>
          <w:spacing w:val="-14"/>
        </w:rPr>
        <w:t> </w:t>
      </w:r>
      <w:r>
        <w:rPr/>
        <w:t>early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their</w:t>
      </w:r>
      <w:r>
        <w:rPr>
          <w:spacing w:val="-16"/>
        </w:rPr>
        <w:t> </w:t>
      </w:r>
      <w:r>
        <w:rPr/>
        <w:t>tenure</w:t>
      </w:r>
      <w:r>
        <w:rPr>
          <w:spacing w:val="-14"/>
        </w:rPr>
        <w:t> </w:t>
      </w:r>
      <w:r>
        <w:rPr/>
        <w:t>at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firm.</w:t>
      </w:r>
      <w:r>
        <w:rPr>
          <w:spacing w:val="-14"/>
        </w:rPr>
        <w:t> </w:t>
      </w:r>
      <w:r>
        <w:rPr/>
        <w:t>Holmstrom</w:t>
      </w:r>
      <w:r>
        <w:rPr>
          <w:spacing w:val="-58"/>
        </w:rPr>
        <w:t> </w:t>
      </w:r>
      <w:r>
        <w:rPr/>
        <w:t>(1982) is the first to describe these incentives. Because CEOs have an incentive to send a</w:t>
      </w:r>
      <w:r>
        <w:rPr>
          <w:spacing w:val="1"/>
        </w:rPr>
        <w:t> </w:t>
      </w:r>
      <w:r>
        <w:rPr/>
        <w:t>positive signal of their ability early in their careers, they work hard to increase their chances</w:t>
      </w:r>
      <w:r>
        <w:rPr>
          <w:spacing w:val="1"/>
        </w:rPr>
        <w:t> </w:t>
      </w:r>
      <w:r>
        <w:rPr/>
        <w:t>that the firm will perform well, as markets often rely on current performance as a measure of a</w:t>
      </w:r>
      <w:r>
        <w:rPr>
          <w:spacing w:val="-57"/>
        </w:rPr>
        <w:t> </w:t>
      </w:r>
      <w:r>
        <w:rPr/>
        <w:t>new CEO’s ability (Holmstrom 1999). However, in response to this pressure, CEOs can also</w:t>
      </w:r>
      <w:r>
        <w:rPr>
          <w:spacing w:val="1"/>
        </w:rPr>
        <w:t> </w:t>
      </w:r>
      <w:r>
        <w:rPr/>
        <w:t>influence the firm’s financial reporting to make it appear as though the firm’s performance is</w:t>
      </w:r>
      <w:r>
        <w:rPr>
          <w:spacing w:val="1"/>
        </w:rPr>
        <w:t> </w:t>
      </w:r>
      <w:r>
        <w:rPr/>
        <w:t>better than the economics would suggest. In line with this idea, Ali and Zhang (2015) provide</w:t>
      </w:r>
      <w:r>
        <w:rPr>
          <w:spacing w:val="1"/>
        </w:rPr>
        <w:t> </w:t>
      </w:r>
      <w:r>
        <w:rPr/>
        <w:t>evidence that firms with CEOs early in their tenure have more earnings management and</w:t>
      </w:r>
      <w:r>
        <w:rPr>
          <w:spacing w:val="1"/>
        </w:rPr>
        <w:t> </w:t>
      </w:r>
      <w:r>
        <w:rPr/>
        <w:t>conclude that by managing earnings upwards, new CEOs are attempting to provide a positive</w:t>
      </w:r>
      <w:r>
        <w:rPr>
          <w:spacing w:val="1"/>
        </w:rPr>
        <w:t> </w:t>
      </w:r>
      <w:r>
        <w:rPr/>
        <w:t>signal</w:t>
      </w:r>
      <w:r>
        <w:rPr>
          <w:spacing w:val="-1"/>
        </w:rPr>
        <w:t> </w:t>
      </w:r>
      <w:r>
        <w:rPr/>
        <w:t>of their</w:t>
      </w:r>
      <w:r>
        <w:rPr>
          <w:spacing w:val="-1"/>
        </w:rPr>
        <w:t> </w:t>
      </w:r>
      <w:r>
        <w:rPr/>
        <w:t>ability to the</w:t>
      </w:r>
      <w:r>
        <w:rPr>
          <w:spacing w:val="-1"/>
        </w:rPr>
        <w:t> </w:t>
      </w:r>
      <w:r>
        <w:rPr/>
        <w:t>market.</w:t>
      </w:r>
    </w:p>
    <w:p>
      <w:pPr>
        <w:pStyle w:val="BodyText"/>
        <w:spacing w:line="480" w:lineRule="auto" w:before="202"/>
        <w:ind w:right="832"/>
      </w:pPr>
      <w:r>
        <w:rPr/>
        <w:t>Recent studies suggest that CEO tenure has a significant impact on firm operations. For</w:t>
      </w:r>
      <w:r>
        <w:rPr>
          <w:spacing w:val="1"/>
        </w:rPr>
        <w:t> </w:t>
      </w:r>
      <w:r>
        <w:rPr/>
        <w:t>example, CEOs early in their tenure influence the market’s perception of their ability through</w:t>
      </w:r>
      <w:r>
        <w:rPr>
          <w:spacing w:val="1"/>
        </w:rPr>
        <w:t> </w:t>
      </w:r>
      <w:r>
        <w:rPr/>
        <w:t>income</w:t>
      </w:r>
      <w:r>
        <w:rPr>
          <w:spacing w:val="-13"/>
        </w:rPr>
        <w:t> </w:t>
      </w:r>
      <w:r>
        <w:rPr/>
        <w:t>increasing</w:t>
      </w:r>
      <w:r>
        <w:rPr>
          <w:spacing w:val="-10"/>
        </w:rPr>
        <w:t> </w:t>
      </w:r>
      <w:r>
        <w:rPr/>
        <w:t>discretionary</w:t>
      </w:r>
      <w:r>
        <w:rPr>
          <w:spacing w:val="-11"/>
        </w:rPr>
        <w:t> </w:t>
      </w:r>
      <w:r>
        <w:rPr/>
        <w:t>accruals</w:t>
      </w:r>
      <w:r>
        <w:rPr>
          <w:spacing w:val="-8"/>
        </w:rPr>
        <w:t> </w:t>
      </w:r>
      <w:r>
        <w:rPr/>
        <w:t>(Ali</w:t>
      </w:r>
      <w:r>
        <w:rPr>
          <w:spacing w:val="-9"/>
        </w:rPr>
        <w:t> </w:t>
      </w:r>
      <w:r>
        <w:rPr/>
        <w:t>&amp;</w:t>
      </w:r>
      <w:r>
        <w:rPr>
          <w:spacing w:val="-11"/>
        </w:rPr>
        <w:t> </w:t>
      </w:r>
      <w:r>
        <w:rPr/>
        <w:t>Zhang</w:t>
      </w:r>
      <w:r>
        <w:rPr>
          <w:spacing w:val="-11"/>
        </w:rPr>
        <w:t> </w:t>
      </w:r>
      <w:r>
        <w:rPr/>
        <w:t>2015)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generating</w:t>
      </w:r>
      <w:r>
        <w:rPr>
          <w:spacing w:val="-11"/>
        </w:rPr>
        <w:t> </w:t>
      </w:r>
      <w:r>
        <w:rPr/>
        <w:t>additional</w:t>
      </w:r>
      <w:r>
        <w:rPr>
          <w:spacing w:val="-11"/>
        </w:rPr>
        <w:t> </w:t>
      </w:r>
      <w:r>
        <w:rPr/>
        <w:t>cash</w:t>
      </w:r>
      <w:r>
        <w:rPr>
          <w:spacing w:val="-58"/>
        </w:rPr>
        <w:t> </w:t>
      </w:r>
      <w:r>
        <w:rPr/>
        <w:t>flow through asset sales and the divestiture of operations (Pan, Wang &amp; Weisbach 2016).</w:t>
      </w:r>
      <w:r>
        <w:rPr>
          <w:spacing w:val="1"/>
        </w:rPr>
        <w:t> </w:t>
      </w:r>
      <w:r>
        <w:rPr/>
        <w:t>Additionally,</w:t>
      </w:r>
      <w:r>
        <w:rPr>
          <w:spacing w:val="15"/>
        </w:rPr>
        <w:t> </w:t>
      </w:r>
      <w:r>
        <w:rPr/>
        <w:t>CEOs</w:t>
      </w:r>
      <w:r>
        <w:rPr>
          <w:spacing w:val="15"/>
        </w:rPr>
        <w:t> </w:t>
      </w:r>
      <w:r>
        <w:rPr/>
        <w:t>later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their</w:t>
      </w:r>
      <w:r>
        <w:rPr>
          <w:spacing w:val="15"/>
        </w:rPr>
        <w:t> </w:t>
      </w:r>
      <w:r>
        <w:rPr/>
        <w:t>tenure</w:t>
      </w:r>
      <w:r>
        <w:rPr>
          <w:spacing w:val="16"/>
        </w:rPr>
        <w:t> </w:t>
      </w:r>
      <w:r>
        <w:rPr/>
        <w:t>have</w:t>
      </w:r>
      <w:r>
        <w:rPr>
          <w:spacing w:val="18"/>
        </w:rPr>
        <w:t> </w:t>
      </w:r>
      <w:r>
        <w:rPr/>
        <w:t>an</w:t>
      </w:r>
      <w:r>
        <w:rPr>
          <w:spacing w:val="15"/>
        </w:rPr>
        <w:t> </w:t>
      </w:r>
      <w:r>
        <w:rPr/>
        <w:t>incentive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show</w:t>
      </w:r>
      <w:r>
        <w:rPr>
          <w:spacing w:val="15"/>
        </w:rPr>
        <w:t> </w:t>
      </w:r>
      <w:r>
        <w:rPr/>
        <w:t>high</w:t>
      </w:r>
      <w:r>
        <w:rPr>
          <w:spacing w:val="17"/>
        </w:rPr>
        <w:t> </w:t>
      </w:r>
      <w:r>
        <w:rPr/>
        <w:t>firm</w:t>
      </w:r>
      <w:r>
        <w:rPr>
          <w:spacing w:val="15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to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1958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0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maximize the value of their stock options and pensions (Cassell, Huang, &amp; Sanchez 2013) and</w:t>
      </w:r>
      <w:r>
        <w:rPr>
          <w:spacing w:val="-57"/>
        </w:rPr>
        <w:t> </w:t>
      </w:r>
      <w:r>
        <w:rPr/>
        <w:t>to appear as attractive candidates for future board positions (Brickley, Linck &amp; Coles 1999).</w:t>
      </w:r>
      <w:r>
        <w:rPr>
          <w:spacing w:val="1"/>
        </w:rPr>
        <w:t> </w:t>
      </w:r>
      <w:r>
        <w:rPr>
          <w:spacing w:val="-1"/>
        </w:rPr>
        <w:t>However,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CEO’s</w:t>
      </w:r>
      <w:r>
        <w:rPr>
          <w:spacing w:val="-13"/>
        </w:rPr>
        <w:t> </w:t>
      </w:r>
      <w:r>
        <w:rPr/>
        <w:t>preference</w:t>
      </w:r>
      <w:r>
        <w:rPr>
          <w:spacing w:val="-13"/>
        </w:rPr>
        <w:t> </w:t>
      </w:r>
      <w:r>
        <w:rPr/>
        <w:t>for</w:t>
      </w:r>
      <w:r>
        <w:rPr>
          <w:spacing w:val="-16"/>
        </w:rPr>
        <w:t> </w:t>
      </w:r>
      <w:r>
        <w:rPr/>
        <w:t>tax</w:t>
      </w:r>
      <w:r>
        <w:rPr>
          <w:spacing w:val="-13"/>
        </w:rPr>
        <w:t> </w:t>
      </w:r>
      <w:r>
        <w:rPr/>
        <w:t>activities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less</w:t>
      </w:r>
      <w:r>
        <w:rPr>
          <w:spacing w:val="-15"/>
        </w:rPr>
        <w:t> </w:t>
      </w:r>
      <w:r>
        <w:rPr/>
        <w:t>clear.</w:t>
      </w:r>
      <w:r>
        <w:rPr>
          <w:spacing w:val="-13"/>
        </w:rPr>
        <w:t> </w:t>
      </w:r>
      <w:r>
        <w:rPr/>
        <w:t>While</w:t>
      </w:r>
      <w:r>
        <w:rPr>
          <w:spacing w:val="-16"/>
        </w:rPr>
        <w:t> </w:t>
      </w:r>
      <w:r>
        <w:rPr/>
        <w:t>reporting</w:t>
      </w:r>
      <w:r>
        <w:rPr>
          <w:spacing w:val="-12"/>
        </w:rPr>
        <w:t> </w:t>
      </w:r>
      <w:r>
        <w:rPr/>
        <w:t>a</w:t>
      </w:r>
      <w:r>
        <w:rPr>
          <w:spacing w:val="-16"/>
        </w:rPr>
        <w:t> </w:t>
      </w:r>
      <w:r>
        <w:rPr/>
        <w:t>lower</w:t>
      </w:r>
      <w:r>
        <w:rPr>
          <w:spacing w:val="-16"/>
        </w:rPr>
        <w:t> </w:t>
      </w:r>
      <w:r>
        <w:rPr/>
        <w:t>tax</w:t>
      </w:r>
      <w:r>
        <w:rPr>
          <w:spacing w:val="-15"/>
        </w:rPr>
        <w:t> </w:t>
      </w:r>
      <w:r>
        <w:rPr/>
        <w:t>expense</w:t>
      </w:r>
      <w:r>
        <w:rPr>
          <w:spacing w:val="-57"/>
        </w:rPr>
        <w:t> </w:t>
      </w:r>
      <w:r>
        <w:rPr/>
        <w:t>or paying fewer taxes improves firm financial performance, these actions may also affect</w:t>
      </w:r>
      <w:r>
        <w:rPr>
          <w:spacing w:val="1"/>
        </w:rPr>
        <w:t> </w:t>
      </w:r>
      <w:r>
        <w:rPr/>
        <w:t>reputation risk (Graham, Hanlon, Shevlin, &amp; Shroff 2014) and executives are sometimes fired</w:t>
      </w:r>
      <w:r>
        <w:rPr>
          <w:spacing w:val="1"/>
        </w:rPr>
        <w:t> </w:t>
      </w:r>
      <w:r>
        <w:rPr/>
        <w:t>when the firm pays too much or too little tax (Chyz &amp; Gartner 2017). CEO tenure-related</w:t>
      </w:r>
      <w:r>
        <w:rPr>
          <w:spacing w:val="1"/>
        </w:rPr>
        <w:t> </w:t>
      </w:r>
      <w:r>
        <w:rPr/>
        <w:t>incentives</w:t>
      </w:r>
      <w:r>
        <w:rPr>
          <w:spacing w:val="-1"/>
        </w:rPr>
        <w:t> </w:t>
      </w:r>
      <w:r>
        <w:rPr/>
        <w:t>may be</w:t>
      </w:r>
      <w:r>
        <w:rPr>
          <w:spacing w:val="-3"/>
        </w:rPr>
        <w:t> </w:t>
      </w:r>
      <w:r>
        <w:rPr/>
        <w:t>associated with tax</w:t>
      </w:r>
      <w:r>
        <w:rPr>
          <w:spacing w:val="-1"/>
        </w:rPr>
        <w:t> </w:t>
      </w:r>
      <w:r>
        <w:rPr/>
        <w:t>planning of</w:t>
      </w:r>
      <w:r>
        <w:rPr>
          <w:spacing w:val="1"/>
        </w:rPr>
        <w:t> </w:t>
      </w:r>
      <w:r>
        <w:rPr/>
        <w:t>income</w:t>
      </w:r>
      <w:r>
        <w:rPr>
          <w:spacing w:val="-2"/>
        </w:rPr>
        <w:t> </w:t>
      </w:r>
      <w:r>
        <w:rPr/>
        <w:t>taxes for</w:t>
      </w:r>
      <w:r>
        <w:rPr>
          <w:spacing w:val="-2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reasons.</w:t>
      </w:r>
    </w:p>
    <w:p>
      <w:pPr>
        <w:pStyle w:val="BodyText"/>
        <w:spacing w:line="480" w:lineRule="auto" w:before="203"/>
        <w:ind w:right="829"/>
      </w:pPr>
      <w:r>
        <w:rPr/>
        <w:t>First, prior researchers have found out that executives responded to both implicit and explicit</w:t>
      </w:r>
      <w:r>
        <w:rPr>
          <w:spacing w:val="1"/>
        </w:rPr>
        <w:t> </w:t>
      </w:r>
      <w:r>
        <w:rPr/>
        <w:t>contractual</w:t>
      </w:r>
      <w:r>
        <w:rPr>
          <w:spacing w:val="-11"/>
        </w:rPr>
        <w:t> </w:t>
      </w:r>
      <w:r>
        <w:rPr/>
        <w:t>incentives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tax</w:t>
      </w:r>
      <w:r>
        <w:rPr>
          <w:spacing w:val="-12"/>
        </w:rPr>
        <w:t> </w:t>
      </w:r>
      <w:r>
        <w:rPr/>
        <w:t>planning</w:t>
      </w:r>
      <w:r>
        <w:rPr>
          <w:spacing w:val="-11"/>
        </w:rPr>
        <w:t> </w:t>
      </w:r>
      <w:r>
        <w:rPr/>
        <w:t>(Brown,</w:t>
      </w:r>
      <w:r>
        <w:rPr>
          <w:spacing w:val="-11"/>
        </w:rPr>
        <w:t> </w:t>
      </w:r>
      <w:r>
        <w:rPr/>
        <w:t>Drake,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Martin,</w:t>
      </w:r>
      <w:r>
        <w:rPr>
          <w:spacing w:val="-11"/>
        </w:rPr>
        <w:t> </w:t>
      </w:r>
      <w:r>
        <w:rPr/>
        <w:t>2016;</w:t>
      </w:r>
      <w:r>
        <w:rPr>
          <w:spacing w:val="-11"/>
        </w:rPr>
        <w:t> </w:t>
      </w:r>
      <w:r>
        <w:rPr/>
        <w:t>Chyz</w:t>
      </w:r>
      <w:r>
        <w:rPr>
          <w:spacing w:val="-11"/>
        </w:rPr>
        <w:t> </w:t>
      </w:r>
      <w:r>
        <w:rPr/>
        <w:t>&amp;</w:t>
      </w:r>
      <w:r>
        <w:rPr>
          <w:spacing w:val="-10"/>
        </w:rPr>
        <w:t> </w:t>
      </w:r>
      <w:r>
        <w:rPr/>
        <w:t>Gaertner</w:t>
      </w:r>
      <w:r>
        <w:rPr>
          <w:spacing w:val="-12"/>
        </w:rPr>
        <w:t> </w:t>
      </w:r>
      <w:r>
        <w:rPr/>
        <w:t>2017;</w:t>
      </w:r>
      <w:r>
        <w:rPr>
          <w:spacing w:val="-58"/>
        </w:rPr>
        <w:t> </w:t>
      </w:r>
      <w:r>
        <w:rPr/>
        <w:t>Powers, Robinson &amp; Stomberg, 2016; Rego &amp; Wilson, 2012) and play an important role in</w:t>
      </w:r>
      <w:r>
        <w:rPr>
          <w:spacing w:val="1"/>
        </w:rPr>
        <w:t> </w:t>
      </w:r>
      <w:r>
        <w:rPr>
          <w:spacing w:val="-1"/>
        </w:rPr>
        <w:t>shaping</w:t>
      </w:r>
      <w:r>
        <w:rPr>
          <w:spacing w:val="-14"/>
        </w:rPr>
        <w:t> </w:t>
      </w:r>
      <w:r>
        <w:rPr>
          <w:spacing w:val="-1"/>
        </w:rPr>
        <w:t>corporate</w:t>
      </w:r>
      <w:r>
        <w:rPr>
          <w:spacing w:val="-16"/>
        </w:rPr>
        <w:t> </w:t>
      </w:r>
      <w:r>
        <w:rPr>
          <w:spacing w:val="-1"/>
        </w:rPr>
        <w:t>tax</w:t>
      </w:r>
      <w:r>
        <w:rPr>
          <w:spacing w:val="-14"/>
        </w:rPr>
        <w:t> </w:t>
      </w:r>
      <w:r>
        <w:rPr>
          <w:spacing w:val="-1"/>
        </w:rPr>
        <w:t>policy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setting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“tone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top”</w:t>
      </w:r>
      <w:r>
        <w:rPr>
          <w:spacing w:val="-14"/>
        </w:rPr>
        <w:t> </w:t>
      </w:r>
      <w:r>
        <w:rPr/>
        <w:t>(Dyreng,</w:t>
      </w:r>
      <w:r>
        <w:rPr>
          <w:spacing w:val="-15"/>
        </w:rPr>
        <w:t> </w:t>
      </w:r>
      <w:r>
        <w:rPr/>
        <w:t>Hanlon</w:t>
      </w:r>
      <w:r>
        <w:rPr>
          <w:spacing w:val="-10"/>
        </w:rPr>
        <w:t> </w:t>
      </w:r>
      <w:r>
        <w:rPr/>
        <w:t>&amp;</w:t>
      </w:r>
      <w:r>
        <w:rPr>
          <w:spacing w:val="-13"/>
        </w:rPr>
        <w:t> </w:t>
      </w:r>
      <w:r>
        <w:rPr/>
        <w:t>Maydew,</w:t>
      </w:r>
      <w:r>
        <w:rPr>
          <w:spacing w:val="-15"/>
        </w:rPr>
        <w:t> </w:t>
      </w:r>
      <w:r>
        <w:rPr/>
        <w:t>2010).</w:t>
      </w:r>
      <w:r>
        <w:rPr>
          <w:spacing w:val="-57"/>
        </w:rPr>
        <w:t> </w:t>
      </w:r>
      <w:r>
        <w:rPr/>
        <w:t>Thus,</w:t>
      </w:r>
      <w:r>
        <w:rPr>
          <w:spacing w:val="-4"/>
        </w:rPr>
        <w:t> </w:t>
      </w:r>
      <w:r>
        <w:rPr/>
        <w:t>even</w:t>
      </w:r>
      <w:r>
        <w:rPr>
          <w:spacing w:val="-3"/>
        </w:rPr>
        <w:t> </w:t>
      </w:r>
      <w:r>
        <w:rPr/>
        <w:t>though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CEOs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involved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tax</w:t>
      </w:r>
      <w:r>
        <w:rPr>
          <w:spacing w:val="-1"/>
        </w:rPr>
        <w:t> </w:t>
      </w:r>
      <w:r>
        <w:rPr/>
        <w:t>function, prior</w:t>
      </w:r>
      <w:r>
        <w:rPr>
          <w:spacing w:val="-3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that their influence reaches the tax function. Additionally, after the cost of goods sold, income</w:t>
      </w:r>
      <w:r>
        <w:rPr>
          <w:spacing w:val="-57"/>
        </w:rPr>
        <w:t> </w:t>
      </w:r>
      <w:r>
        <w:rPr/>
        <w:t>tax often represents one of the largest recurring expenses for the firm. Therefore, income taxes</w:t>
      </w:r>
      <w:r>
        <w:rPr>
          <w:spacing w:val="-58"/>
        </w:rPr>
        <w:t> </w:t>
      </w:r>
      <w:r>
        <w:rPr/>
        <w:t>provide CEOs with an economically significant opportunity to increase cash flows and net</w:t>
      </w:r>
      <w:r>
        <w:rPr>
          <w:spacing w:val="1"/>
        </w:rPr>
        <w:t> </w:t>
      </w:r>
      <w:r>
        <w:rPr/>
        <w:t>income. Income tax is also unique in that companies have to report both cash taxes paid and</w:t>
      </w:r>
      <w:r>
        <w:rPr>
          <w:spacing w:val="1"/>
        </w:rPr>
        <w:t> </w:t>
      </w:r>
      <w:r>
        <w:rPr/>
        <w:t>income tax expense. As an accrual, income tax expense is affected by both permanent tax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estimates.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opportunistic accruals in the income tax expense (Frank &amp; Rego 2006; Graham, Raedy, &amp;</w:t>
      </w:r>
      <w:r>
        <w:rPr>
          <w:spacing w:val="1"/>
        </w:rPr>
        <w:t> </w:t>
      </w:r>
      <w:r>
        <w:rPr/>
        <w:t>Shackelford</w:t>
      </w:r>
      <w:r>
        <w:rPr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Krull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expense</w:t>
      </w:r>
      <w:r>
        <w:rPr>
          <w:spacing w:val="1"/>
        </w:rPr>
        <w:t> </w:t>
      </w:r>
      <w:r>
        <w:rPr/>
        <w:t>accrual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-57"/>
        </w:rPr>
        <w:t> </w:t>
      </w:r>
      <w:r>
        <w:rPr/>
        <w:t>additional tax planning that also yields a financial reporting benefit, opportunistic financial</w:t>
      </w:r>
      <w:r>
        <w:rPr>
          <w:spacing w:val="1"/>
        </w:rPr>
        <w:t> </w:t>
      </w:r>
      <w:r>
        <w:rPr/>
        <w:t>reporting</w:t>
      </w:r>
      <w:r>
        <w:rPr>
          <w:spacing w:val="-1"/>
        </w:rPr>
        <w:t> </w:t>
      </w:r>
      <w:r>
        <w:rPr/>
        <w:t>or both.</w:t>
      </w:r>
    </w:p>
    <w:p>
      <w:pPr>
        <w:pStyle w:val="BodyText"/>
        <w:spacing w:line="480" w:lineRule="auto" w:before="201"/>
        <w:ind w:right="833"/>
      </w:pPr>
      <w:r>
        <w:rPr/>
        <w:t>In this study, we have argued that the incentive for an executive to perform well early in their</w:t>
      </w:r>
      <w:r>
        <w:rPr>
          <w:spacing w:val="1"/>
        </w:rPr>
        <w:t> </w:t>
      </w:r>
      <w:r>
        <w:rPr/>
        <w:t>tenure</w:t>
      </w:r>
      <w:r>
        <w:rPr>
          <w:spacing w:val="20"/>
        </w:rPr>
        <w:t> </w:t>
      </w:r>
      <w:r>
        <w:rPr/>
        <w:t>may</w:t>
      </w:r>
      <w:r>
        <w:rPr>
          <w:spacing w:val="22"/>
        </w:rPr>
        <w:t> </w:t>
      </w:r>
      <w:r>
        <w:rPr/>
        <w:t>also</w:t>
      </w:r>
      <w:r>
        <w:rPr>
          <w:spacing w:val="22"/>
        </w:rPr>
        <w:t> </w:t>
      </w:r>
      <w:r>
        <w:rPr/>
        <w:t>affect</w:t>
      </w:r>
      <w:r>
        <w:rPr>
          <w:spacing w:val="23"/>
        </w:rPr>
        <w:t> </w:t>
      </w:r>
      <w:r>
        <w:rPr/>
        <w:t>a</w:t>
      </w:r>
      <w:r>
        <w:rPr>
          <w:spacing w:val="20"/>
        </w:rPr>
        <w:t> </w:t>
      </w:r>
      <w:r>
        <w:rPr/>
        <w:t>firm’s</w:t>
      </w:r>
      <w:r>
        <w:rPr>
          <w:spacing w:val="22"/>
        </w:rPr>
        <w:t> </w:t>
      </w:r>
      <w:r>
        <w:rPr/>
        <w:t>financial</w:t>
      </w:r>
      <w:r>
        <w:rPr>
          <w:spacing w:val="24"/>
        </w:rPr>
        <w:t> </w:t>
      </w:r>
      <w:r>
        <w:rPr/>
        <w:t>reporting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income</w:t>
      </w:r>
      <w:r>
        <w:rPr>
          <w:spacing w:val="20"/>
        </w:rPr>
        <w:t> </w:t>
      </w:r>
      <w:r>
        <w:rPr/>
        <w:t>taxes.</w:t>
      </w:r>
      <w:r>
        <w:rPr>
          <w:spacing w:val="23"/>
        </w:rPr>
        <w:t> </w:t>
      </w:r>
      <w:r>
        <w:rPr/>
        <w:t>Income</w:t>
      </w:r>
      <w:r>
        <w:rPr>
          <w:spacing w:val="22"/>
        </w:rPr>
        <w:t> </w:t>
      </w:r>
      <w:r>
        <w:rPr/>
        <w:t>tax</w:t>
      </w:r>
      <w:r>
        <w:rPr>
          <w:spacing w:val="21"/>
        </w:rPr>
        <w:t> </w:t>
      </w:r>
      <w:r>
        <w:rPr/>
        <w:t>represents</w:t>
      </w:r>
      <w:r>
        <w:rPr>
          <w:spacing w:val="23"/>
        </w:rPr>
        <w:t> </w:t>
      </w:r>
      <w:r>
        <w:rPr/>
        <w:t>a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2009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1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6" w:id="60"/>
      <w:bookmarkEnd w:id="60"/>
      <w:r>
        <w:rPr/>
      </w:r>
      <w:r>
        <w:rPr/>
        <w:t>significant expense for many corporations – often the largest expense after cost of goods sold.</w:t>
      </w:r>
      <w:r>
        <w:rPr>
          <w:spacing w:val="1"/>
        </w:rPr>
        <w:t> </w:t>
      </w:r>
      <w:r>
        <w:rPr/>
        <w:t>As such, decreasing this expense can increase net income and provide a positive signal to</w:t>
      </w:r>
      <w:r>
        <w:rPr>
          <w:spacing w:val="1"/>
        </w:rPr>
        <w:t> </w:t>
      </w:r>
      <w:r>
        <w:rPr/>
        <w:t>boards. Income tax expense captures permanent tax planning, such as tax credits, but also</w:t>
      </w:r>
      <w:r>
        <w:rPr>
          <w:spacing w:val="1"/>
        </w:rPr>
        <w:t> </w:t>
      </w:r>
      <w:r>
        <w:rPr/>
        <w:t>requires significant judgment and discretion in determining other components of the accrual.</w:t>
      </w:r>
      <w:r>
        <w:rPr>
          <w:spacing w:val="1"/>
        </w:rPr>
        <w:t> </w:t>
      </w:r>
      <w:r>
        <w:rPr/>
        <w:t>The</w:t>
      </w:r>
      <w:r>
        <w:rPr>
          <w:spacing w:val="-15"/>
        </w:rPr>
        <w:t> </w:t>
      </w:r>
      <w:r>
        <w:rPr/>
        <w:t>increased</w:t>
      </w:r>
      <w:r>
        <w:rPr>
          <w:spacing w:val="-13"/>
        </w:rPr>
        <w:t> </w:t>
      </w:r>
      <w:r>
        <w:rPr/>
        <w:t>pressure</w:t>
      </w:r>
      <w:r>
        <w:rPr>
          <w:spacing w:val="-14"/>
        </w:rPr>
        <w:t> </w:t>
      </w:r>
      <w:r>
        <w:rPr/>
        <w:t>faced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executives</w:t>
      </w:r>
      <w:r>
        <w:rPr>
          <w:spacing w:val="-13"/>
        </w:rPr>
        <w:t> </w:t>
      </w:r>
      <w:r>
        <w:rPr/>
        <w:t>early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their</w:t>
      </w:r>
      <w:r>
        <w:rPr>
          <w:spacing w:val="-14"/>
        </w:rPr>
        <w:t> </w:t>
      </w:r>
      <w:r>
        <w:rPr/>
        <w:t>tenure</w:t>
      </w:r>
      <w:r>
        <w:rPr>
          <w:spacing w:val="-14"/>
        </w:rPr>
        <w:t> </w:t>
      </w:r>
      <w:r>
        <w:rPr/>
        <w:t>may</w:t>
      </w:r>
      <w:r>
        <w:rPr>
          <w:spacing w:val="-14"/>
        </w:rPr>
        <w:t> </w:t>
      </w:r>
      <w:r>
        <w:rPr/>
        <w:t>provide</w:t>
      </w:r>
      <w:r>
        <w:rPr>
          <w:spacing w:val="-15"/>
        </w:rPr>
        <w:t> </w:t>
      </w:r>
      <w:r>
        <w:rPr/>
        <w:t>incentives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lower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tax expense</w:t>
      </w:r>
      <w:r>
        <w:rPr>
          <w:spacing w:val="-1"/>
        </w:rPr>
        <w:t> </w:t>
      </w:r>
      <w:r>
        <w:rPr/>
        <w:t>in order to increase</w:t>
      </w:r>
      <w:r>
        <w:rPr>
          <w:spacing w:val="-1"/>
        </w:rPr>
        <w:t> </w:t>
      </w:r>
      <w:r>
        <w:rPr/>
        <w:t>earnings</w:t>
      </w:r>
      <w:r>
        <w:rPr>
          <w:spacing w:val="-1"/>
        </w:rPr>
        <w:t> </w:t>
      </w:r>
      <w:r>
        <w:rPr/>
        <w:t>(Chyz</w:t>
      </w:r>
      <w:r>
        <w:rPr>
          <w:spacing w:val="-1"/>
        </w:rPr>
        <w:t> </w:t>
      </w:r>
      <w:r>
        <w:rPr/>
        <w:t>&amp;</w:t>
      </w:r>
      <w:r>
        <w:rPr>
          <w:spacing w:val="2"/>
        </w:rPr>
        <w:t> </w:t>
      </w:r>
      <w:r>
        <w:rPr/>
        <w:t>Gartner 2017).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numPr>
          <w:ilvl w:val="2"/>
          <w:numId w:val="19"/>
        </w:numPr>
        <w:tabs>
          <w:tab w:pos="1362" w:val="left" w:leader="none"/>
        </w:tabs>
        <w:spacing w:line="240" w:lineRule="auto" w:before="77" w:after="0"/>
        <w:ind w:left="1362" w:right="0" w:hanging="540"/>
        <w:jc w:val="left"/>
      </w:pP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3"/>
      </w:pPr>
      <w:r>
        <w:rPr/>
        <w:drawing>
          <wp:anchor distT="0" distB="0" distL="0" distR="0" allowOverlap="1" layoutInCell="1" locked="0" behindDoc="1" simplePos="0" relativeHeight="454020608">
            <wp:simplePos x="0" y="0"/>
            <wp:positionH relativeFrom="page">
              <wp:posOffset>1261605</wp:posOffset>
            </wp:positionH>
            <wp:positionV relativeFrom="paragraph">
              <wp:posOffset>1388403</wp:posOffset>
            </wp:positionV>
            <wp:extent cx="5133225" cy="5265293"/>
            <wp:effectExtent l="0" t="0" r="0" b="0"/>
            <wp:wrapNone/>
            <wp:docPr id="1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Companies‟</w:t>
      </w:r>
      <w:r>
        <w:rPr>
          <w:spacing w:val="-9"/>
        </w:rPr>
        <w:t> </w:t>
      </w:r>
      <w:r>
        <w:rPr/>
        <w:t>tax</w:t>
      </w:r>
      <w:r>
        <w:rPr>
          <w:spacing w:val="-8"/>
        </w:rPr>
        <w:t> </w:t>
      </w:r>
      <w:r>
        <w:rPr/>
        <w:t>aggressiveness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10"/>
        </w:rPr>
        <w:t> </w:t>
      </w:r>
      <w:r>
        <w:rPr/>
        <w:t>seen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two</w:t>
      </w:r>
      <w:r>
        <w:rPr>
          <w:spacing w:val="-6"/>
        </w:rPr>
        <w:t> </w:t>
      </w:r>
      <w:r>
        <w:rPr/>
        <w:t>ways.</w:t>
      </w:r>
      <w:r>
        <w:rPr>
          <w:spacing w:val="-7"/>
        </w:rPr>
        <w:t> </w:t>
      </w:r>
      <w:r>
        <w:rPr/>
        <w:t>One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legal</w:t>
      </w:r>
      <w:r>
        <w:rPr>
          <w:spacing w:val="-7"/>
        </w:rPr>
        <w:t> </w:t>
      </w:r>
      <w:r>
        <w:rPr/>
        <w:t>way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find</w:t>
      </w:r>
      <w:r>
        <w:rPr>
          <w:spacing w:val="-8"/>
        </w:rPr>
        <w:t> </w:t>
      </w:r>
      <w:r>
        <w:rPr/>
        <w:t>out</w:t>
      </w:r>
      <w:r>
        <w:rPr>
          <w:spacing w:val="-58"/>
        </w:rPr>
        <w:t> </w:t>
      </w:r>
      <w:r>
        <w:rPr/>
        <w:t>what</w:t>
      </w:r>
      <w:r>
        <w:rPr>
          <w:spacing w:val="-3"/>
        </w:rPr>
        <w:t> </w:t>
      </w:r>
      <w:r>
        <w:rPr/>
        <w:t>kinds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transactions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/>
        <w:t>favorable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law.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legal</w:t>
      </w:r>
      <w:r>
        <w:rPr>
          <w:spacing w:val="-1"/>
        </w:rPr>
        <w:t> </w:t>
      </w:r>
      <w:r>
        <w:rPr/>
        <w:t>tax</w:t>
      </w:r>
      <w:r>
        <w:rPr>
          <w:spacing w:val="-4"/>
        </w:rPr>
        <w:t> </w:t>
      </w:r>
      <w:r>
        <w:rPr/>
        <w:t>avoidance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it is one kind of the valid services provided by the accountants. The second way is to do tax</w:t>
      </w:r>
      <w:r>
        <w:rPr>
          <w:spacing w:val="1"/>
        </w:rPr>
        <w:t> </w:t>
      </w:r>
      <w:r>
        <w:rPr/>
        <w:t>sheltering. It was described that a tax shelter is to design a transaction and its purpose is 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liability.</w:t>
      </w:r>
      <w:r>
        <w:rPr>
          <w:spacing w:val="1"/>
        </w:rPr>
        <w:t> </w:t>
      </w:r>
      <w:r>
        <w:rPr/>
        <w:t>(Desai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Dharmapala,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Congress,</w:t>
      </w:r>
      <w:r>
        <w:rPr>
          <w:spacing w:val="1"/>
        </w:rPr>
        <w:t> </w:t>
      </w:r>
      <w:r>
        <w:rPr/>
        <w:t>Joint</w:t>
      </w:r>
      <w:r>
        <w:rPr>
          <w:spacing w:val="-57"/>
        </w:rPr>
        <w:t> </w:t>
      </w:r>
      <w:r>
        <w:rPr/>
        <w:t>Committee on Taxation defined a corporate tax shelter as a plan or arrangement designed</w:t>
      </w:r>
      <w:r>
        <w:rPr>
          <w:spacing w:val="1"/>
        </w:rPr>
        <w:t> </w:t>
      </w:r>
      <w:r>
        <w:rPr/>
        <w:t>principally to avoid or evade federal income tax without exposure to economic risk or loss</w:t>
      </w:r>
      <w:r>
        <w:rPr>
          <w:spacing w:val="1"/>
        </w:rPr>
        <w:t> </w:t>
      </w:r>
      <w:r>
        <w:rPr/>
        <w:t>(Wilson,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200"/>
        <w:ind w:right="829"/>
      </w:pPr>
      <w:r>
        <w:rPr/>
        <w:t>In</w:t>
      </w:r>
      <w:r>
        <w:rPr>
          <w:spacing w:val="-12"/>
        </w:rPr>
        <w:t> </w:t>
      </w:r>
      <w:r>
        <w:rPr/>
        <w:t>tax</w:t>
      </w:r>
      <w:r>
        <w:rPr>
          <w:spacing w:val="-11"/>
        </w:rPr>
        <w:t> </w:t>
      </w:r>
      <w:r>
        <w:rPr/>
        <w:t>research,</w:t>
      </w:r>
      <w:r>
        <w:rPr>
          <w:spacing w:val="-12"/>
        </w:rPr>
        <w:t> </w:t>
      </w:r>
      <w:r>
        <w:rPr/>
        <w:t>“tax</w:t>
      </w:r>
      <w:r>
        <w:rPr>
          <w:spacing w:val="-9"/>
        </w:rPr>
        <w:t> </w:t>
      </w:r>
      <w:r>
        <w:rPr/>
        <w:t>aggressiveness”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generally</w:t>
      </w:r>
      <w:r>
        <w:rPr>
          <w:spacing w:val="-11"/>
        </w:rPr>
        <w:t> </w:t>
      </w:r>
      <w:r>
        <w:rPr/>
        <w:t>defined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broad</w:t>
      </w:r>
      <w:r>
        <w:rPr>
          <w:spacing w:val="-10"/>
        </w:rPr>
        <w:t> </w:t>
      </w:r>
      <w:r>
        <w:rPr/>
        <w:t>continuum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activities</w:t>
      </w:r>
      <w:r>
        <w:rPr>
          <w:spacing w:val="-12"/>
        </w:rPr>
        <w:t> </w:t>
      </w:r>
      <w:r>
        <w:rPr/>
        <w:t>that</w:t>
      </w:r>
      <w:r>
        <w:rPr>
          <w:spacing w:val="-57"/>
        </w:rPr>
        <w:t> </w:t>
      </w:r>
      <w:r>
        <w:rPr/>
        <w:t>range from benign behaviors that were envisioned by tax policies at one end, to outright tax</w:t>
      </w:r>
      <w:r>
        <w:rPr>
          <w:spacing w:val="1"/>
        </w:rPr>
        <w:t> </w:t>
      </w:r>
      <w:r>
        <w:rPr/>
        <w:t>fraud and tax evasion at the other (Hanlon &amp; Heitzman 2010). While the term has a specific</w:t>
      </w:r>
      <w:r>
        <w:rPr>
          <w:spacing w:val="1"/>
        </w:rPr>
        <w:t> </w:t>
      </w:r>
      <w:r>
        <w:rPr/>
        <w:t>meaning within accounting research into tax, in wider practice it is used interchangeably with</w:t>
      </w:r>
      <w:r>
        <w:rPr>
          <w:spacing w:val="1"/>
        </w:rPr>
        <w:t> </w:t>
      </w:r>
      <w:r>
        <w:rPr/>
        <w:t>the term “tax avoidance”, and it is often referred to as “aggressive tax planning”. According to</w:t>
      </w:r>
      <w:r>
        <w:rPr>
          <w:spacing w:val="-57"/>
        </w:rPr>
        <w:t> </w:t>
      </w:r>
      <w:r>
        <w:rPr/>
        <w:t>Chen, Chen, Cheng and Shevlin (2010), tax aggressiveness is defined as the effort of the</w:t>
      </w:r>
      <w:r>
        <w:rPr>
          <w:spacing w:val="1"/>
        </w:rPr>
        <w:t> </w:t>
      </w:r>
      <w:r>
        <w:rPr/>
        <w:t>company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minimize</w:t>
      </w:r>
      <w:r>
        <w:rPr>
          <w:spacing w:val="-5"/>
        </w:rPr>
        <w:t> </w:t>
      </w:r>
      <w:r>
        <w:rPr/>
        <w:t>tax</w:t>
      </w:r>
      <w:r>
        <w:rPr>
          <w:spacing w:val="-7"/>
        </w:rPr>
        <w:t> </w:t>
      </w:r>
      <w:r>
        <w:rPr/>
        <w:t>payments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aggressive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tax</w:t>
      </w:r>
      <w:r>
        <w:rPr>
          <w:spacing w:val="-4"/>
        </w:rPr>
        <w:t> </w:t>
      </w:r>
      <w:r>
        <w:rPr/>
        <w:t>avoidance.</w:t>
      </w:r>
      <w:r>
        <w:rPr>
          <w:spacing w:val="-58"/>
        </w:rPr>
        <w:t> </w:t>
      </w:r>
      <w:r>
        <w:rPr/>
        <w:t>It seems to Frank Lynch and Rego (2009) that the aggressive tax returns is the manipulation to</w:t>
      </w:r>
      <w:r>
        <w:rPr>
          <w:spacing w:val="-58"/>
        </w:rPr>
        <w:t> </w:t>
      </w:r>
      <w:r>
        <w:rPr/>
        <w:t>lower tax income due to a kind of tax planning that can be considered as tax management.</w:t>
      </w:r>
      <w:r>
        <w:rPr>
          <w:spacing w:val="1"/>
        </w:rPr>
        <w:t> </w:t>
      </w:r>
      <w:r>
        <w:rPr/>
        <w:t>Alternatively,</w:t>
      </w:r>
      <w:r>
        <w:rPr>
          <w:spacing w:val="1"/>
        </w:rPr>
        <w:t> </w:t>
      </w:r>
      <w:r>
        <w:rPr/>
        <w:t>Frischmann,</w:t>
      </w:r>
      <w:r>
        <w:rPr>
          <w:spacing w:val="1"/>
        </w:rPr>
        <w:t> </w:t>
      </w:r>
      <w:r>
        <w:rPr/>
        <w:t>Shevlin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Wilson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narrowly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“engaging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positions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weak</w:t>
      </w:r>
      <w:r>
        <w:rPr>
          <w:spacing w:val="-57"/>
        </w:rPr>
        <w:t> </w:t>
      </w:r>
      <w:r>
        <w:rPr/>
        <w:t>supporting facts.” Lisowsky (2010) view tax aggressiveness as actions close to the end of a</w:t>
      </w:r>
      <w:r>
        <w:rPr>
          <w:spacing w:val="1"/>
        </w:rPr>
        <w:t> </w:t>
      </w:r>
      <w:r>
        <w:rPr/>
        <w:t>continuum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/>
        <w:t>avoidance</w:t>
      </w:r>
      <w:r>
        <w:rPr>
          <w:spacing w:val="-5"/>
        </w:rPr>
        <w:t> </w:t>
      </w:r>
      <w:r>
        <w:rPr/>
        <w:t>activities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range</w:t>
      </w:r>
      <w:r>
        <w:rPr>
          <w:spacing w:val="-5"/>
        </w:rPr>
        <w:t> </w:t>
      </w:r>
      <w:r>
        <w:rPr/>
        <w:t>from</w:t>
      </w:r>
      <w:r>
        <w:rPr>
          <w:spacing w:val="-3"/>
        </w:rPr>
        <w:t> </w:t>
      </w:r>
      <w:r>
        <w:rPr/>
        <w:t>legitimate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investments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/>
        <w:t>abusive</w:t>
      </w:r>
      <w:r>
        <w:rPr>
          <w:spacing w:val="-2"/>
        </w:rPr>
        <w:t> </w:t>
      </w:r>
      <w:r>
        <w:rPr/>
        <w:t>tax shelters.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drawing>
          <wp:anchor distT="0" distB="0" distL="0" distR="0" allowOverlap="1" layoutInCell="1" locked="0" behindDoc="1" simplePos="0" relativeHeight="45402112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particular, it is admitted that tax aggressiveness is not only the reduction of the tax due.</w:t>
      </w:r>
      <w:r>
        <w:rPr>
          <w:spacing w:val="1"/>
        </w:rPr>
        <w:t> </w:t>
      </w:r>
      <w:r>
        <w:rPr/>
        <w:t>However, the implementation of such strategies to reduce the tax base allows the generation</w:t>
      </w:r>
      <w:r>
        <w:rPr>
          <w:spacing w:val="1"/>
        </w:rPr>
        <w:t> </w:t>
      </w:r>
      <w:r>
        <w:rPr/>
        <w:t>high potential non-tax cost that arises from agency conflicts or tax-authority, such as penalties</w:t>
      </w:r>
      <w:r>
        <w:rPr>
          <w:spacing w:val="-57"/>
        </w:rPr>
        <w:t> </w:t>
      </w:r>
      <w:r>
        <w:rPr/>
        <w:t>and</w:t>
      </w:r>
      <w:r>
        <w:rPr>
          <w:spacing w:val="-4"/>
        </w:rPr>
        <w:t> </w:t>
      </w:r>
      <w:r>
        <w:rPr/>
        <w:t>rent</w:t>
      </w:r>
      <w:r>
        <w:rPr>
          <w:spacing w:val="-1"/>
        </w:rPr>
        <w:t> </w:t>
      </w:r>
      <w:r>
        <w:rPr/>
        <w:t>extraction</w:t>
      </w:r>
      <w:r>
        <w:rPr>
          <w:spacing w:val="-4"/>
        </w:rPr>
        <w:t> </w:t>
      </w:r>
      <w:r>
        <w:rPr/>
        <w:t>(Boussaidi</w:t>
      </w:r>
      <w:r>
        <w:rPr>
          <w:spacing w:val="-3"/>
        </w:rPr>
        <w:t> </w:t>
      </w:r>
      <w:r>
        <w:rPr/>
        <w:t>&amp;</w:t>
      </w:r>
      <w:r>
        <w:rPr>
          <w:spacing w:val="-2"/>
        </w:rPr>
        <w:t> </w:t>
      </w:r>
      <w:r>
        <w:rPr/>
        <w:t>Hamed,</w:t>
      </w:r>
      <w:r>
        <w:rPr>
          <w:spacing w:val="-4"/>
        </w:rPr>
        <w:t> </w:t>
      </w:r>
      <w:r>
        <w:rPr/>
        <w:t>2015).</w:t>
      </w:r>
      <w:r>
        <w:rPr>
          <w:spacing w:val="-2"/>
        </w:rPr>
        <w:t> </w:t>
      </w:r>
      <w:r>
        <w:rPr/>
        <w:t>Bruce,</w:t>
      </w:r>
      <w:r>
        <w:rPr>
          <w:spacing w:val="-1"/>
        </w:rPr>
        <w:t> </w:t>
      </w:r>
      <w:r>
        <w:rPr/>
        <w:t>Deskins</w:t>
      </w:r>
      <w:r>
        <w:rPr>
          <w:spacing w:val="-3"/>
        </w:rPr>
        <w:t> </w:t>
      </w:r>
      <w:r>
        <w:rPr/>
        <w:t>and Fox</w:t>
      </w:r>
      <w:r>
        <w:rPr>
          <w:spacing w:val="-4"/>
        </w:rPr>
        <w:t> </w:t>
      </w:r>
      <w:r>
        <w:rPr/>
        <w:t>(2007)</w:t>
      </w:r>
      <w:r>
        <w:rPr>
          <w:spacing w:val="-5"/>
        </w:rPr>
        <w:t> </w:t>
      </w:r>
      <w:r>
        <w:rPr/>
        <w:t>report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tax aggressiveness seen by their fervent is a set of actions taken by companies to reduce their</w:t>
      </w:r>
      <w:r>
        <w:rPr>
          <w:spacing w:val="1"/>
        </w:rPr>
        <w:t> </w:t>
      </w:r>
      <w:r>
        <w:rPr/>
        <w:t>public debts from shaping and affecting only their scheme financial strategy. Aggressive tax</w:t>
      </w:r>
      <w:r>
        <w:rPr>
          <w:spacing w:val="1"/>
        </w:rPr>
        <w:t> </w:t>
      </w:r>
      <w:r>
        <w:rPr>
          <w:spacing w:val="-1"/>
        </w:rPr>
        <w:t>represents</w:t>
      </w:r>
      <w:r>
        <w:rPr>
          <w:spacing w:val="-14"/>
        </w:rPr>
        <w:t> </w:t>
      </w:r>
      <w:r>
        <w:rPr>
          <w:spacing w:val="-1"/>
        </w:rPr>
        <w:t>different</w:t>
      </w:r>
      <w:r>
        <w:rPr>
          <w:spacing w:val="-13"/>
        </w:rPr>
        <w:t> </w:t>
      </w:r>
      <w:r>
        <w:rPr/>
        <w:t>handling</w:t>
      </w:r>
      <w:r>
        <w:rPr>
          <w:spacing w:val="-14"/>
        </w:rPr>
        <w:t> </w:t>
      </w:r>
      <w:r>
        <w:rPr/>
        <w:t>activities</w:t>
      </w:r>
      <w:r>
        <w:rPr>
          <w:spacing w:val="-14"/>
        </w:rPr>
        <w:t> </w:t>
      </w:r>
      <w:r>
        <w:rPr/>
        <w:t>to</w:t>
      </w:r>
      <w:r>
        <w:rPr>
          <w:spacing w:val="-13"/>
        </w:rPr>
        <w:t> </w:t>
      </w:r>
      <w:r>
        <w:rPr/>
        <w:t>lower</w:t>
      </w:r>
      <w:r>
        <w:rPr>
          <w:spacing w:val="-16"/>
        </w:rPr>
        <w:t> </w:t>
      </w:r>
      <w:r>
        <w:rPr/>
        <w:t>taxable</w:t>
      </w:r>
      <w:r>
        <w:rPr>
          <w:spacing w:val="-14"/>
        </w:rPr>
        <w:t> </w:t>
      </w:r>
      <w:r>
        <w:rPr/>
        <w:t>income</w:t>
      </w:r>
      <w:r>
        <w:rPr>
          <w:spacing w:val="-16"/>
        </w:rPr>
        <w:t> </w:t>
      </w:r>
      <w:r>
        <w:rPr/>
        <w:t>that</w:t>
      </w:r>
      <w:r>
        <w:rPr>
          <w:spacing w:val="-11"/>
        </w:rPr>
        <w:t> </w:t>
      </w:r>
      <w:r>
        <w:rPr/>
        <w:t>can</w:t>
      </w:r>
      <w:r>
        <w:rPr>
          <w:spacing w:val="-14"/>
        </w:rPr>
        <w:t> </w:t>
      </w:r>
      <w:r>
        <w:rPr/>
        <w:t>be</w:t>
      </w:r>
      <w:r>
        <w:rPr>
          <w:spacing w:val="-16"/>
        </w:rPr>
        <w:t> </w:t>
      </w:r>
      <w:r>
        <w:rPr/>
        <w:t>legal</w:t>
      </w:r>
      <w:r>
        <w:rPr>
          <w:spacing w:val="-13"/>
        </w:rPr>
        <w:t> </w:t>
      </w:r>
      <w:r>
        <w:rPr/>
        <w:t>or</w:t>
      </w:r>
      <w:r>
        <w:rPr>
          <w:spacing w:val="-16"/>
        </w:rPr>
        <w:t> </w:t>
      </w:r>
      <w:r>
        <w:rPr/>
        <w:t>illegal.</w:t>
      </w:r>
      <w:r>
        <w:rPr>
          <w:spacing w:val="-13"/>
        </w:rPr>
        <w:t> </w:t>
      </w:r>
      <w:r>
        <w:rPr/>
        <w:t>Desai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Dharmapala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complexity and obfuscation, which is practically difficult to detect. In fact the most significant</w:t>
      </w:r>
      <w:r>
        <w:rPr>
          <w:spacing w:val="-57"/>
        </w:rPr>
        <w:t> </w:t>
      </w:r>
      <w:r>
        <w:rPr/>
        <w:t>goal is to increase the net income of the company which creates a positive signal to foreign</w:t>
      </w:r>
      <w:r>
        <w:rPr>
          <w:spacing w:val="1"/>
        </w:rPr>
        <w:t> </w:t>
      </w:r>
      <w:r>
        <w:rPr/>
        <w:t>investors.</w:t>
      </w:r>
      <w:r>
        <w:rPr>
          <w:spacing w:val="-1"/>
        </w:rPr>
        <w:t> </w:t>
      </w:r>
      <w:r>
        <w:rPr/>
        <w:t>(Chen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2010).</w:t>
      </w:r>
    </w:p>
    <w:p>
      <w:pPr>
        <w:pStyle w:val="BodyText"/>
        <w:spacing w:line="480" w:lineRule="auto" w:before="203"/>
        <w:ind w:right="832"/>
      </w:pPr>
      <w:r>
        <w:rPr/>
        <w:t>Tax aggressiveness can be seen as a trigger in tax management activities that is used for tax</w:t>
      </w:r>
      <w:r>
        <w:rPr>
          <w:spacing w:val="1"/>
        </w:rPr>
        <w:t> </w:t>
      </w:r>
      <w:r>
        <w:rPr/>
        <w:t>planning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arrival</w:t>
      </w:r>
      <w:r>
        <w:rPr>
          <w:spacing w:val="-11"/>
        </w:rPr>
        <w:t> </w:t>
      </w:r>
      <w:r>
        <w:rPr/>
        <w:t>point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tax</w:t>
      </w:r>
      <w:r>
        <w:rPr>
          <w:spacing w:val="-12"/>
        </w:rPr>
        <w:t> </w:t>
      </w:r>
      <w:r>
        <w:rPr/>
        <w:t>evasion.</w:t>
      </w:r>
      <w:r>
        <w:rPr>
          <w:spacing w:val="-13"/>
        </w:rPr>
        <w:t> </w:t>
      </w:r>
      <w:r>
        <w:rPr/>
        <w:t>It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simply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strategy</w:t>
      </w:r>
      <w:r>
        <w:rPr>
          <w:spacing w:val="-12"/>
        </w:rPr>
        <w:t> </w:t>
      </w:r>
      <w:r>
        <w:rPr/>
        <w:t>deployed</w:t>
      </w:r>
      <w:r>
        <w:rPr>
          <w:spacing w:val="-12"/>
        </w:rPr>
        <w:t> </w:t>
      </w:r>
      <w:r>
        <w:rPr/>
        <w:t>by</w:t>
      </w:r>
      <w:r>
        <w:rPr>
          <w:spacing w:val="-11"/>
        </w:rPr>
        <w:t> </w:t>
      </w:r>
      <w:r>
        <w:rPr/>
        <w:t>managers,</w:t>
      </w:r>
      <w:r>
        <w:rPr>
          <w:spacing w:val="-58"/>
        </w:rPr>
        <w:t> </w:t>
      </w:r>
      <w:r>
        <w:rPr/>
        <w:t>a</w:t>
      </w:r>
      <w:r>
        <w:rPr>
          <w:spacing w:val="-13"/>
        </w:rPr>
        <w:t> </w:t>
      </w:r>
      <w:r>
        <w:rPr/>
        <w:t>set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processes,</w:t>
      </w:r>
      <w:r>
        <w:rPr>
          <w:spacing w:val="-11"/>
        </w:rPr>
        <w:t> </w:t>
      </w:r>
      <w:r>
        <w:rPr/>
        <w:t>practices,</w:t>
      </w:r>
      <w:r>
        <w:rPr>
          <w:spacing w:val="-11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choices</w:t>
      </w:r>
      <w:r>
        <w:rPr>
          <w:spacing w:val="-8"/>
        </w:rPr>
        <w:t> </w:t>
      </w:r>
      <w:r>
        <w:rPr/>
        <w:t>whose</w:t>
      </w:r>
      <w:r>
        <w:rPr>
          <w:spacing w:val="-12"/>
        </w:rPr>
        <w:t> </w:t>
      </w:r>
      <w:r>
        <w:rPr/>
        <w:t>objective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maximize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after</w:t>
      </w:r>
      <w:r>
        <w:rPr>
          <w:spacing w:val="-58"/>
        </w:rPr>
        <w:t> </w:t>
      </w:r>
      <w:r>
        <w:rPr/>
        <w:t>all company’s liabilities owed to the state and other stakeholders (Boussiadi &amp; Hamed, 2015).</w:t>
      </w:r>
      <w:r>
        <w:rPr>
          <w:spacing w:val="-57"/>
        </w:rPr>
        <w:t> </w:t>
      </w:r>
      <w:r>
        <w:rPr/>
        <w:t>This concept have the same meaning as tax planning, tax avoidance and tax shelters in terms</w:t>
      </w:r>
      <w:r>
        <w:rPr>
          <w:spacing w:val="1"/>
        </w:rPr>
        <w:t> </w:t>
      </w:r>
      <w:r>
        <w:rPr/>
        <w:t>that they meet the legal and ethical provisions established by the tax authorities. The extreme</w:t>
      </w:r>
      <w:r>
        <w:rPr>
          <w:spacing w:val="1"/>
        </w:rPr>
        <w:t> </w:t>
      </w:r>
      <w:r>
        <w:rPr/>
        <w:t>level of tax aggressiveness is tax avoidance. Tax aggressiveness or tax avoidance is defined as</w:t>
      </w:r>
      <w:r>
        <w:rPr>
          <w:spacing w:val="-57"/>
        </w:rPr>
        <w:t> </w:t>
      </w:r>
      <w:r>
        <w:rPr/>
        <w:t>the legal utilization of the tax regime to own advantage, to reduce the amount of tax that is</w:t>
      </w:r>
      <w:r>
        <w:rPr>
          <w:spacing w:val="1"/>
        </w:rPr>
        <w:t> </w:t>
      </w:r>
      <w:r>
        <w:rPr/>
        <w:t>payable</w:t>
      </w:r>
      <w:r>
        <w:rPr>
          <w:spacing w:val="-1"/>
        </w:rPr>
        <w:t> </w:t>
      </w:r>
      <w:r>
        <w:rPr/>
        <w:t>by means that are</w:t>
      </w:r>
      <w:r>
        <w:rPr>
          <w:spacing w:val="-1"/>
        </w:rPr>
        <w:t> </w:t>
      </w:r>
      <w:r>
        <w:rPr/>
        <w:t>within the law (Rawiwan,</w:t>
      </w:r>
      <w:r>
        <w:rPr>
          <w:spacing w:val="-1"/>
        </w:rPr>
        <w:t> </w:t>
      </w:r>
      <w:r>
        <w:rPr/>
        <w:t>2013).</w:t>
      </w:r>
    </w:p>
    <w:p>
      <w:pPr>
        <w:pStyle w:val="Heading1"/>
        <w:numPr>
          <w:ilvl w:val="2"/>
          <w:numId w:val="22"/>
        </w:numPr>
        <w:tabs>
          <w:tab w:pos="1362" w:val="left" w:leader="none"/>
        </w:tabs>
        <w:spacing w:line="240" w:lineRule="auto" w:before="201" w:after="0"/>
        <w:ind w:left="1362" w:right="0" w:hanging="540"/>
        <w:jc w:val="both"/>
      </w:pPr>
      <w:bookmarkStart w:name="_bookmark37" w:id="61"/>
      <w:bookmarkEnd w:id="61"/>
      <w:r>
        <w:rPr>
          <w:b w:val="0"/>
        </w:rPr>
      </w:r>
      <w:bookmarkStart w:name="_bookmark37" w:id="62"/>
      <w:bookmarkEnd w:id="62"/>
      <w:r>
        <w:rPr/>
        <w:t>M</w:t>
      </w:r>
      <w:r>
        <w:rPr/>
        <w:t>easurement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Tax</w:t>
      </w:r>
      <w:r>
        <w:rPr>
          <w:spacing w:val="-3"/>
        </w:rPr>
        <w:t> </w:t>
      </w:r>
      <w:r>
        <w:rPr/>
        <w:t>Aggressiveness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1"/>
      </w:pPr>
      <w:r>
        <w:rPr/>
        <w:t>Measuring tax aggressiveness is an important issue facing empirical tax researchers. The tax</w:t>
      </w:r>
      <w:r>
        <w:rPr>
          <w:spacing w:val="1"/>
        </w:rPr>
        <w:t> </w:t>
      </w:r>
      <w:r>
        <w:rPr/>
        <w:t>aggressiveness measures are as follows. Four are variants of effective tax rate (ETR) ratios in</w:t>
      </w:r>
      <w:r>
        <w:rPr>
          <w:spacing w:val="1"/>
        </w:rPr>
        <w:t> </w:t>
      </w:r>
      <w:r>
        <w:rPr/>
        <w:t>which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numerator</w:t>
      </w:r>
      <w:r>
        <w:rPr>
          <w:spacing w:val="32"/>
        </w:rPr>
        <w:t> </w:t>
      </w:r>
      <w:r>
        <w:rPr/>
        <w:t>contains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measure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tax</w:t>
      </w:r>
      <w:r>
        <w:rPr>
          <w:spacing w:val="37"/>
        </w:rPr>
        <w:t> </w:t>
      </w:r>
      <w:r>
        <w:rPr/>
        <w:t>burden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denominator</w:t>
      </w:r>
      <w:r>
        <w:rPr>
          <w:spacing w:val="39"/>
        </w:rPr>
        <w:t> </w:t>
      </w:r>
      <w:r>
        <w:rPr/>
        <w:t>represents</w:t>
      </w:r>
      <w:r>
        <w:rPr>
          <w:spacing w:val="33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2163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1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ability to pay tax. Two measures are based solely on book-tax differences. The first group</w:t>
      </w:r>
      <w:r>
        <w:rPr>
          <w:spacing w:val="1"/>
        </w:rPr>
        <w:t> </w:t>
      </w:r>
      <w:r>
        <w:rPr/>
        <w:t>includes those measures that consider the multitude of the gap between book and taxable</w:t>
      </w:r>
      <w:r>
        <w:rPr>
          <w:spacing w:val="1"/>
        </w:rPr>
        <w:t> </w:t>
      </w:r>
      <w:r>
        <w:rPr/>
        <w:t>income. These comprise of total book-tax gap; residual book-tax gap and tax-effect book-tax</w:t>
      </w:r>
      <w:r>
        <w:rPr>
          <w:spacing w:val="1"/>
        </w:rPr>
        <w:t> </w:t>
      </w:r>
      <w:r>
        <w:rPr/>
        <w:t>gap.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</w:t>
      </w:r>
      <w:r>
        <w:rPr>
          <w:spacing w:val="-3"/>
        </w:rPr>
        <w:t> </w:t>
      </w:r>
      <w:r>
        <w:rPr/>
        <w:t>group</w:t>
      </w:r>
      <w:r>
        <w:rPr>
          <w:spacing w:val="-5"/>
        </w:rPr>
        <w:t> </w:t>
      </w:r>
      <w:r>
        <w:rPr/>
        <w:t>has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those</w:t>
      </w:r>
      <w:r>
        <w:rPr>
          <w:spacing w:val="-3"/>
        </w:rPr>
        <w:t> </w:t>
      </w:r>
      <w:r>
        <w:rPr/>
        <w:t>constructs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measure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proportional</w:t>
      </w:r>
      <w:r>
        <w:rPr>
          <w:spacing w:val="-3"/>
        </w:rPr>
        <w:t> </w:t>
      </w:r>
      <w:r>
        <w:rPr/>
        <w:t>amount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taxes to business income. These include effective tax rates (this comes in several variants like</w:t>
      </w:r>
      <w:r>
        <w:rPr>
          <w:spacing w:val="1"/>
        </w:rPr>
        <w:t> </w:t>
      </w:r>
      <w:r>
        <w:rPr/>
        <w:t>accounting</w:t>
      </w:r>
      <w:r>
        <w:rPr>
          <w:spacing w:val="-12"/>
        </w:rPr>
        <w:t> </w:t>
      </w:r>
      <w:r>
        <w:rPr/>
        <w:t>ETR;</w:t>
      </w:r>
      <w:r>
        <w:rPr>
          <w:spacing w:val="-11"/>
        </w:rPr>
        <w:t> </w:t>
      </w:r>
      <w:r>
        <w:rPr/>
        <w:t>current</w:t>
      </w:r>
      <w:r>
        <w:rPr>
          <w:spacing w:val="-8"/>
        </w:rPr>
        <w:t> </w:t>
      </w:r>
      <w:r>
        <w:rPr/>
        <w:t>ETR;</w:t>
      </w:r>
      <w:r>
        <w:rPr>
          <w:spacing w:val="-12"/>
        </w:rPr>
        <w:t> </w:t>
      </w:r>
      <w:r>
        <w:rPr/>
        <w:t>cash</w:t>
      </w:r>
      <w:r>
        <w:rPr>
          <w:spacing w:val="-11"/>
        </w:rPr>
        <w:t> </w:t>
      </w:r>
      <w:r>
        <w:rPr/>
        <w:t>ETR;</w:t>
      </w:r>
      <w:r>
        <w:rPr>
          <w:spacing w:val="-10"/>
        </w:rPr>
        <w:t> </w:t>
      </w:r>
      <w:r>
        <w:rPr/>
        <w:t>long-run</w:t>
      </w:r>
      <w:r>
        <w:rPr>
          <w:spacing w:val="-12"/>
        </w:rPr>
        <w:t> </w:t>
      </w:r>
      <w:r>
        <w:rPr/>
        <w:t>cash</w:t>
      </w:r>
      <w:r>
        <w:rPr>
          <w:spacing w:val="-12"/>
        </w:rPr>
        <w:t> </w:t>
      </w:r>
      <w:r>
        <w:rPr/>
        <w:t>ETR;</w:t>
      </w:r>
      <w:r>
        <w:rPr>
          <w:spacing w:val="-11"/>
        </w:rPr>
        <w:t> </w:t>
      </w:r>
      <w:r>
        <w:rPr/>
        <w:t>ETR</w:t>
      </w:r>
      <w:r>
        <w:rPr>
          <w:spacing w:val="-11"/>
        </w:rPr>
        <w:t> </w:t>
      </w:r>
      <w:r>
        <w:rPr/>
        <w:t>differential;</w:t>
      </w:r>
      <w:r>
        <w:rPr>
          <w:spacing w:val="-11"/>
        </w:rPr>
        <w:t> </w:t>
      </w:r>
      <w:r>
        <w:rPr/>
        <w:t>ratio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income</w:t>
      </w:r>
      <w:r>
        <w:rPr>
          <w:spacing w:val="-58"/>
        </w:rPr>
        <w:t> </w:t>
      </w:r>
      <w:r>
        <w:rPr/>
        <w:t>tax expense to operating cash flow; and ratio of cash taxes paid to operating cash flow). The</w:t>
      </w:r>
      <w:r>
        <w:rPr>
          <w:spacing w:val="1"/>
        </w:rPr>
        <w:t> </w:t>
      </w:r>
      <w:r>
        <w:rPr/>
        <w:t>third</w:t>
      </w:r>
      <w:r>
        <w:rPr>
          <w:spacing w:val="-1"/>
        </w:rPr>
        <w:t> </w:t>
      </w:r>
      <w:r>
        <w:rPr/>
        <w:t>group involves</w:t>
      </w:r>
      <w:r>
        <w:rPr>
          <w:spacing w:val="-1"/>
        </w:rPr>
        <w:t> </w:t>
      </w:r>
      <w:r>
        <w:rPr/>
        <w:t>other measures</w:t>
      </w:r>
      <w:r>
        <w:rPr>
          <w:spacing w:val="-1"/>
        </w:rPr>
        <w:t> </w:t>
      </w:r>
      <w:r>
        <w:rPr/>
        <w:t>such as</w:t>
      </w:r>
      <w:r>
        <w:rPr>
          <w:spacing w:val="-1"/>
        </w:rPr>
        <w:t> </w:t>
      </w:r>
      <w:r>
        <w:rPr/>
        <w:t>discretionary permanent</w:t>
      </w:r>
      <w:r>
        <w:rPr>
          <w:spacing w:val="-1"/>
        </w:rPr>
        <w:t> </w:t>
      </w:r>
      <w:r>
        <w:rPr/>
        <w:t>differences</w:t>
      </w: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203" w:after="0"/>
        <w:ind w:left="1542" w:right="0" w:hanging="720"/>
        <w:jc w:val="both"/>
      </w:pPr>
      <w:bookmarkStart w:name="_bookmark38" w:id="63"/>
      <w:bookmarkEnd w:id="63"/>
      <w:r>
        <w:rPr>
          <w:b w:val="0"/>
        </w:rPr>
      </w:r>
      <w:bookmarkStart w:name="_bookmark38" w:id="64"/>
      <w:bookmarkEnd w:id="64"/>
      <w:r>
        <w:rPr/>
        <w:t>Boo</w:t>
      </w:r>
      <w:r>
        <w:rPr/>
        <w:t>k-Tax</w:t>
      </w:r>
      <w:r>
        <w:rPr>
          <w:spacing w:val="-4"/>
        </w:rPr>
        <w:t> </w:t>
      </w:r>
      <w:r>
        <w:rPr/>
        <w:t>Difference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1"/>
      </w:pPr>
      <w:r>
        <w:rPr/>
        <w:t>Some studies have utilized the total difference between book and taxable income (BTD) as a</w:t>
      </w:r>
      <w:r>
        <w:rPr>
          <w:spacing w:val="1"/>
        </w:rPr>
        <w:t> </w:t>
      </w:r>
      <w:r>
        <w:rPr/>
        <w:t>proxy for tax aggressiveness statutory tax rate. Empirically, Wilson (2009) finds that BTD is</w:t>
      </w:r>
      <w:r>
        <w:rPr>
          <w:spacing w:val="1"/>
        </w:rPr>
        <w:t> </w:t>
      </w:r>
      <w:r>
        <w:rPr/>
        <w:t>positively</w:t>
      </w:r>
      <w:r>
        <w:rPr>
          <w:spacing w:val="-13"/>
        </w:rPr>
        <w:t> </w:t>
      </w:r>
      <w:r>
        <w:rPr/>
        <w:t>associated</w:t>
      </w:r>
      <w:r>
        <w:rPr>
          <w:spacing w:val="-14"/>
        </w:rPr>
        <w:t> </w:t>
      </w:r>
      <w:r>
        <w:rPr/>
        <w:t>with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measure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tax</w:t>
      </w:r>
      <w:r>
        <w:rPr>
          <w:spacing w:val="-11"/>
        </w:rPr>
        <w:t> </w:t>
      </w:r>
      <w:r>
        <w:rPr/>
        <w:t>sheltering.</w:t>
      </w:r>
      <w:r>
        <w:rPr>
          <w:spacing w:val="-10"/>
        </w:rPr>
        <w:t> </w:t>
      </w:r>
      <w:r>
        <w:rPr/>
        <w:t>According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Rego</w:t>
      </w:r>
      <w:r>
        <w:rPr>
          <w:spacing w:val="-12"/>
        </w:rPr>
        <w:t> </w:t>
      </w:r>
      <w:r>
        <w:rPr/>
        <w:t>(2003),</w:t>
      </w:r>
      <w:r>
        <w:rPr>
          <w:spacing w:val="-13"/>
        </w:rPr>
        <w:t> </w:t>
      </w:r>
      <w:r>
        <w:rPr/>
        <w:t>tax</w:t>
      </w:r>
      <w:r>
        <w:rPr>
          <w:spacing w:val="-12"/>
        </w:rPr>
        <w:t> </w:t>
      </w:r>
      <w:r>
        <w:rPr/>
        <w:t>avoidance</w:t>
      </w:r>
      <w:r>
        <w:rPr>
          <w:spacing w:val="-57"/>
        </w:rPr>
        <w:t> </w:t>
      </w:r>
      <w:r>
        <w:rPr/>
        <w:t>activities created book-tax differences, which are either temporary or permanent differences</w:t>
      </w:r>
      <w:r>
        <w:rPr>
          <w:spacing w:val="1"/>
        </w:rPr>
        <w:t> </w:t>
      </w:r>
      <w:r>
        <w:rPr/>
        <w:t>between</w:t>
      </w:r>
      <w:r>
        <w:rPr>
          <w:spacing w:val="-6"/>
        </w:rPr>
        <w:t> </w:t>
      </w:r>
      <w:r>
        <w:rPr/>
        <w:t>a</w:t>
      </w:r>
      <w:r>
        <w:rPr>
          <w:spacing w:val="-10"/>
        </w:rPr>
        <w:t> </w:t>
      </w:r>
      <w:r>
        <w:rPr/>
        <w:t>company's</w:t>
      </w:r>
      <w:r>
        <w:rPr>
          <w:spacing w:val="-9"/>
        </w:rPr>
        <w:t> </w:t>
      </w:r>
      <w:r>
        <w:rPr/>
        <w:t>financial</w:t>
      </w:r>
      <w:r>
        <w:rPr>
          <w:spacing w:val="-9"/>
        </w:rPr>
        <w:t> </w:t>
      </w:r>
      <w:r>
        <w:rPr/>
        <w:t>accounting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taxable</w:t>
      </w:r>
      <w:r>
        <w:rPr>
          <w:spacing w:val="-9"/>
        </w:rPr>
        <w:t> </w:t>
      </w:r>
      <w:r>
        <w:rPr/>
        <w:t>income.</w:t>
      </w:r>
      <w:r>
        <w:rPr>
          <w:spacing w:val="-9"/>
        </w:rPr>
        <w:t> </w:t>
      </w:r>
      <w:r>
        <w:rPr/>
        <w:t>Thus,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numerator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58"/>
        </w:rPr>
        <w:t> </w:t>
      </w:r>
      <w:r>
        <w:rPr/>
        <w:t>taxable income and the denominator is based on financial accounting income to accommodate</w:t>
      </w:r>
      <w:r>
        <w:rPr>
          <w:spacing w:val="-57"/>
        </w:rPr>
        <w:t> </w:t>
      </w:r>
      <w:r>
        <w:rPr/>
        <w:t>book-tax</w:t>
      </w:r>
      <w:r>
        <w:rPr>
          <w:spacing w:val="1"/>
        </w:rPr>
        <w:t> </w:t>
      </w:r>
      <w:r>
        <w:rPr/>
        <w:t>differences.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book-tax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(BTD)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proxy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 of tax avoidance activity. It focuses on the magnitude of the difference between</w:t>
      </w:r>
      <w:r>
        <w:rPr>
          <w:spacing w:val="1"/>
        </w:rPr>
        <w:t> </w:t>
      </w:r>
      <w:r>
        <w:rPr/>
        <w:t>the accounting income and taxable income (book-tax gap). Although the causes of BTD are</w:t>
      </w:r>
      <w:r>
        <w:rPr>
          <w:spacing w:val="1"/>
        </w:rPr>
        <w:t> </w:t>
      </w:r>
      <w:r>
        <w:rPr/>
        <w:t>many and usually classified as permanent and temporary differences, the size of the gap</w:t>
      </w:r>
      <w:r>
        <w:rPr>
          <w:spacing w:val="1"/>
        </w:rPr>
        <w:t> </w:t>
      </w:r>
      <w:r>
        <w:rPr/>
        <w:t>suggests the presence of tax avoidance practices (Kim, Li &amp; Zhang, 2011). To buttress the</w:t>
      </w:r>
      <w:r>
        <w:rPr>
          <w:spacing w:val="1"/>
        </w:rPr>
        <w:t> </w:t>
      </w:r>
      <w:r>
        <w:rPr/>
        <w:t>argument, Mills (1998) find a positive relationship between BTD and larger audit adjustment</w:t>
      </w:r>
      <w:r>
        <w:rPr>
          <w:spacing w:val="1"/>
        </w:rPr>
        <w:t> </w:t>
      </w:r>
      <w:r>
        <w:rPr/>
        <w:t>and tax audit among US firms. There are two commonly used measures of BTD to capture tax</w:t>
      </w:r>
      <w:r>
        <w:rPr>
          <w:spacing w:val="-57"/>
        </w:rPr>
        <w:t> </w:t>
      </w:r>
      <w:r>
        <w:rPr>
          <w:spacing w:val="-1"/>
        </w:rPr>
        <w:t>avoidance;</w:t>
      </w:r>
      <w:r>
        <w:rPr>
          <w:spacing w:val="-14"/>
        </w:rPr>
        <w:t> </w:t>
      </w:r>
      <w:r>
        <w:rPr>
          <w:spacing w:val="-1"/>
        </w:rPr>
        <w:t>these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total</w:t>
      </w:r>
      <w:r>
        <w:rPr>
          <w:spacing w:val="-11"/>
        </w:rPr>
        <w:t> </w:t>
      </w:r>
      <w:r>
        <w:rPr/>
        <w:t>book-tax</w:t>
      </w:r>
      <w:r>
        <w:rPr>
          <w:spacing w:val="-15"/>
        </w:rPr>
        <w:t> </w:t>
      </w:r>
      <w:r>
        <w:rPr/>
        <w:t>gap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residual</w:t>
      </w:r>
      <w:r>
        <w:rPr>
          <w:spacing w:val="-12"/>
        </w:rPr>
        <w:t> </w:t>
      </w:r>
      <w:r>
        <w:rPr/>
        <w:t>book-tax</w:t>
      </w:r>
      <w:r>
        <w:rPr>
          <w:spacing w:val="-15"/>
        </w:rPr>
        <w:t> </w:t>
      </w:r>
      <w:r>
        <w:rPr/>
        <w:t>gap.</w:t>
      </w:r>
      <w:r>
        <w:rPr>
          <w:spacing w:val="-12"/>
        </w:rPr>
        <w:t> </w:t>
      </w:r>
      <w:r>
        <w:rPr/>
        <w:t>There</w:t>
      </w:r>
      <w:r>
        <w:rPr>
          <w:spacing w:val="-14"/>
        </w:rPr>
        <w:t> </w:t>
      </w:r>
      <w:r>
        <w:rPr/>
        <w:t>are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number</w:t>
      </w:r>
      <w:r>
        <w:rPr>
          <w:spacing w:val="-16"/>
        </w:rPr>
        <w:t> </w:t>
      </w:r>
      <w:r>
        <w:rPr/>
        <w:t>of</w:t>
      </w:r>
      <w:r>
        <w:rPr>
          <w:spacing w:val="-13"/>
        </w:rPr>
        <w:t> </w:t>
      </w:r>
      <w:r>
        <w:rPr/>
        <w:t>studies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suggest</w:t>
      </w:r>
      <w:r>
        <w:rPr>
          <w:spacing w:val="-1"/>
        </w:rPr>
        <w:t> </w:t>
      </w:r>
      <w:r>
        <w:rPr/>
        <w:t>book-tax differences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signal of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activity</w:t>
      </w:r>
      <w:r>
        <w:rPr>
          <w:spacing w:val="-1"/>
        </w:rPr>
        <w:t> </w:t>
      </w:r>
      <w:r>
        <w:rPr/>
        <w:t>(Badertscher,</w:t>
      </w:r>
    </w:p>
    <w:p>
      <w:pPr>
        <w:pStyle w:val="BodyText"/>
        <w:spacing w:before="1"/>
      </w:pPr>
      <w:r>
        <w:rPr/>
        <w:t>Katz</w:t>
      </w:r>
      <w:r>
        <w:rPr>
          <w:spacing w:val="17"/>
        </w:rPr>
        <w:t> </w:t>
      </w:r>
      <w:r>
        <w:rPr/>
        <w:t>&amp;</w:t>
      </w:r>
      <w:r>
        <w:rPr>
          <w:spacing w:val="18"/>
        </w:rPr>
        <w:t> </w:t>
      </w:r>
      <w:r>
        <w:rPr/>
        <w:t>Rego,</w:t>
      </w:r>
      <w:r>
        <w:rPr>
          <w:spacing w:val="18"/>
        </w:rPr>
        <w:t> </w:t>
      </w:r>
      <w:r>
        <w:rPr/>
        <w:t>2010).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book-tax</w:t>
      </w:r>
      <w:r>
        <w:rPr>
          <w:spacing w:val="18"/>
        </w:rPr>
        <w:t> </w:t>
      </w:r>
      <w:r>
        <w:rPr/>
        <w:t>difference</w:t>
      </w:r>
      <w:r>
        <w:rPr>
          <w:spacing w:val="19"/>
        </w:rPr>
        <w:t> </w:t>
      </w:r>
      <w:r>
        <w:rPr/>
        <w:t>was</w:t>
      </w:r>
      <w:r>
        <w:rPr>
          <w:spacing w:val="18"/>
        </w:rPr>
        <w:t> </w:t>
      </w:r>
      <w:r>
        <w:rPr/>
        <w:t>developed</w:t>
      </w:r>
      <w:r>
        <w:rPr>
          <w:spacing w:val="18"/>
        </w:rPr>
        <w:t> </w:t>
      </w:r>
      <w:r>
        <w:rPr/>
        <w:t>by</w:t>
      </w:r>
      <w:r>
        <w:rPr>
          <w:spacing w:val="17"/>
        </w:rPr>
        <w:t> </w:t>
      </w:r>
      <w:r>
        <w:rPr/>
        <w:t>Manzon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Plesko</w:t>
      </w:r>
      <w:r>
        <w:rPr>
          <w:spacing w:val="17"/>
        </w:rPr>
        <w:t> </w:t>
      </w:r>
      <w:r>
        <w:rPr/>
        <w:t>(2002)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t>and followed by Desai and Dharmapala (2006, 2009b). Book-tax differences are differences</w:t>
      </w:r>
      <w:r>
        <w:rPr>
          <w:spacing w:val="1"/>
        </w:rPr>
        <w:t> </w:t>
      </w:r>
      <w:r>
        <w:rPr/>
        <w:t>between income reported to capital markets and tax authorities. The literature on taxation e.g.,</w:t>
      </w:r>
      <w:r>
        <w:rPr>
          <w:spacing w:val="-57"/>
        </w:rPr>
        <w:t> </w:t>
      </w:r>
      <w:r>
        <w:rPr/>
        <w:t>on tax avoidance, tax planning and tax sheltering holds the view that the positive book-tax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rates</w:t>
      </w:r>
      <w:r>
        <w:rPr>
          <w:spacing w:val="-1"/>
        </w:rPr>
        <w:t> </w:t>
      </w:r>
      <w:r>
        <w:rPr/>
        <w:t>reflect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behavior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avoidance</w:t>
      </w:r>
      <w:r>
        <w:rPr>
          <w:spacing w:val="-2"/>
        </w:rPr>
        <w:t> </w:t>
      </w:r>
      <w:r>
        <w:rPr/>
        <w:t>(Plesko, 2004).</w:t>
      </w:r>
    </w:p>
    <w:p>
      <w:pPr>
        <w:pStyle w:val="BodyText"/>
        <w:spacing w:line="480" w:lineRule="auto" w:before="202"/>
        <w:ind w:right="831"/>
      </w:pPr>
      <w:r>
        <w:rPr/>
        <w:drawing>
          <wp:anchor distT="0" distB="0" distL="0" distR="0" allowOverlap="1" layoutInCell="1" locked="0" behindDoc="1" simplePos="0" relativeHeight="454022144">
            <wp:simplePos x="0" y="0"/>
            <wp:positionH relativeFrom="page">
              <wp:posOffset>1261605</wp:posOffset>
            </wp:positionH>
            <wp:positionV relativeFrom="paragraph">
              <wp:posOffset>376086</wp:posOffset>
            </wp:positionV>
            <wp:extent cx="5133225" cy="5265293"/>
            <wp:effectExtent l="0" t="0" r="0" b="0"/>
            <wp:wrapNone/>
            <wp:docPr id="11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Desai (2003) posits that the growing difference between book and taxable income in the US</w:t>
      </w:r>
      <w:r>
        <w:rPr>
          <w:spacing w:val="1"/>
        </w:rPr>
        <w:t> </w:t>
      </w:r>
      <w:r>
        <w:rPr/>
        <w:t>during the 1990’s was caused by increased levels of tax sheltering. In addition, Wilson (2009)</w:t>
      </w:r>
      <w:r>
        <w:rPr>
          <w:spacing w:val="-57"/>
        </w:rPr>
        <w:t> </w:t>
      </w:r>
      <w:r>
        <w:rPr/>
        <w:t>finds that book-tax differences are positively associated with actual cases of tax sheltering.</w:t>
      </w:r>
      <w:r>
        <w:rPr>
          <w:spacing w:val="1"/>
        </w:rPr>
        <w:t> </w:t>
      </w:r>
      <w:r>
        <w:rPr/>
        <w:t>Despite evidence that large positive book-tax differences are associated with tax avoidance</w:t>
      </w:r>
      <w:r>
        <w:rPr>
          <w:spacing w:val="1"/>
        </w:rPr>
        <w:t> </w:t>
      </w:r>
      <w:r>
        <w:rPr/>
        <w:t>activity, this measure has limitations. Manzon and Plesko (2002) and Hanlon (2003) identify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book-tax differences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 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reflective of corporate tax planning. Additionally, results in Phillips, Pincus, and Rego (2003)</w:t>
      </w:r>
      <w:r>
        <w:rPr>
          <w:spacing w:val="1"/>
        </w:rPr>
        <w:t> </w:t>
      </w:r>
      <w:r>
        <w:rPr/>
        <w:t>and Hanlon (2005) suggest that temporary book-tax differences are associated with earnings</w:t>
      </w:r>
      <w:r>
        <w:rPr>
          <w:spacing w:val="1"/>
        </w:rPr>
        <w:t> </w:t>
      </w:r>
      <w:r>
        <w:rPr/>
        <w:t>management activities. To the extent that earnings management and innate firm characteristics</w:t>
      </w:r>
      <w:r>
        <w:rPr>
          <w:spacing w:val="-58"/>
        </w:rPr>
        <w:t> </w:t>
      </w:r>
      <w:r>
        <w:rPr/>
        <w:t>unrelated</w:t>
      </w:r>
      <w:r>
        <w:rPr>
          <w:spacing w:val="-1"/>
        </w:rPr>
        <w:t> </w:t>
      </w:r>
      <w:r>
        <w:rPr/>
        <w:t>to tax avoidance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  <w:r>
        <w:rPr>
          <w:spacing w:val="-1"/>
        </w:rPr>
        <w:t> </w:t>
      </w:r>
      <w:r>
        <w:rPr/>
        <w:t>determinants of book-tax differences.</w:t>
      </w:r>
    </w:p>
    <w:p>
      <w:pPr>
        <w:pStyle w:val="BodyText"/>
        <w:spacing w:line="480" w:lineRule="auto" w:before="201"/>
        <w:ind w:right="829"/>
      </w:pPr>
      <w:r>
        <w:rPr/>
        <w:t>Manzon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Plesko</w:t>
      </w:r>
      <w:r>
        <w:rPr>
          <w:spacing w:val="-4"/>
        </w:rPr>
        <w:t> </w:t>
      </w:r>
      <w:r>
        <w:rPr/>
        <w:t>(2002)</w:t>
      </w:r>
      <w:r>
        <w:rPr>
          <w:spacing w:val="-4"/>
        </w:rPr>
        <w:t> </w:t>
      </w:r>
      <w:r>
        <w:rPr/>
        <w:t>developed a</w:t>
      </w:r>
      <w:r>
        <w:rPr>
          <w:spacing w:val="-5"/>
        </w:rPr>
        <w:t> </w:t>
      </w:r>
      <w:r>
        <w:rPr/>
        <w:t>model for</w:t>
      </w:r>
      <w:r>
        <w:rPr>
          <w:spacing w:val="-1"/>
        </w:rPr>
        <w:t> </w:t>
      </w:r>
      <w:r>
        <w:rPr/>
        <w:t>measuring</w:t>
      </w:r>
      <w:r>
        <w:rPr>
          <w:spacing w:val="-4"/>
        </w:rPr>
        <w:t> </w:t>
      </w:r>
      <w:r>
        <w:rPr/>
        <w:t>total</w:t>
      </w:r>
      <w:r>
        <w:rPr>
          <w:spacing w:val="-1"/>
        </w:rPr>
        <w:t> </w:t>
      </w:r>
      <w:r>
        <w:rPr/>
        <w:t>BTD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Chen</w:t>
      </w:r>
      <w:r>
        <w:rPr>
          <w:spacing w:val="-3"/>
        </w:rPr>
        <w:t> </w:t>
      </w:r>
      <w:r>
        <w:rPr/>
        <w:t>et</w:t>
      </w:r>
      <w:r>
        <w:rPr>
          <w:spacing w:val="-1"/>
        </w:rPr>
        <w:t> </w:t>
      </w:r>
      <w:r>
        <w:rPr/>
        <w:t>al. (2010)</w:t>
      </w:r>
      <w:r>
        <w:rPr>
          <w:spacing w:val="-58"/>
        </w:rPr>
        <w:t> </w:t>
      </w:r>
      <w:r>
        <w:rPr/>
        <w:t>use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model</w:t>
      </w:r>
      <w:r>
        <w:rPr>
          <w:spacing w:val="-5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measurements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tax</w:t>
      </w:r>
      <w:r>
        <w:rPr>
          <w:spacing w:val="-4"/>
        </w:rPr>
        <w:t> </w:t>
      </w:r>
      <w:r>
        <w:rPr/>
        <w:t>aggressiveness</w:t>
      </w:r>
      <w:r>
        <w:rPr>
          <w:spacing w:val="-5"/>
        </w:rPr>
        <w:t> </w:t>
      </w:r>
      <w:r>
        <w:rPr/>
        <w:t>among</w:t>
      </w:r>
      <w:r>
        <w:rPr>
          <w:spacing w:val="-6"/>
        </w:rPr>
        <w:t> </w:t>
      </w:r>
      <w:r>
        <w:rPr/>
        <w:t>US</w:t>
      </w:r>
      <w:r>
        <w:rPr>
          <w:spacing w:val="-5"/>
        </w:rPr>
        <w:t> </w:t>
      </w:r>
      <w:r>
        <w:rPr/>
        <w:t>companies.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BTD</w:t>
      </w:r>
      <w:r>
        <w:rPr>
          <w:spacing w:val="-58"/>
        </w:rPr>
        <w:t> </w:t>
      </w:r>
      <w:r>
        <w:rPr>
          <w:spacing w:val="-1"/>
        </w:rPr>
        <w:t>may</w:t>
      </w:r>
      <w:r>
        <w:rPr>
          <w:spacing w:val="-15"/>
        </w:rPr>
        <w:t> </w:t>
      </w:r>
      <w:r>
        <w:rPr>
          <w:spacing w:val="-1"/>
        </w:rPr>
        <w:t>also</w:t>
      </w:r>
      <w:r>
        <w:rPr>
          <w:spacing w:val="-14"/>
        </w:rPr>
        <w:t> </w:t>
      </w:r>
      <w:r>
        <w:rPr>
          <w:spacing w:val="-1"/>
        </w:rPr>
        <w:t>be</w:t>
      </w:r>
      <w:r>
        <w:rPr>
          <w:spacing w:val="-16"/>
        </w:rPr>
        <w:t> </w:t>
      </w:r>
      <w:r>
        <w:rPr>
          <w:spacing w:val="-1"/>
        </w:rPr>
        <w:t>affected</w:t>
      </w:r>
      <w:r>
        <w:rPr>
          <w:spacing w:val="-15"/>
        </w:rPr>
        <w:t> </w:t>
      </w:r>
      <w:r>
        <w:rPr>
          <w:spacing w:val="-1"/>
        </w:rPr>
        <w:t>by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/>
        <w:t>firm’s</w:t>
      </w:r>
      <w:r>
        <w:rPr>
          <w:spacing w:val="-15"/>
        </w:rPr>
        <w:t> </w:t>
      </w:r>
      <w:r>
        <w:rPr/>
        <w:t>earning</w:t>
      </w:r>
      <w:r>
        <w:rPr>
          <w:spacing w:val="-15"/>
        </w:rPr>
        <w:t> </w:t>
      </w:r>
      <w:r>
        <w:rPr/>
        <w:t>management</w:t>
      </w:r>
      <w:r>
        <w:rPr>
          <w:spacing w:val="-15"/>
        </w:rPr>
        <w:t> </w:t>
      </w:r>
      <w:r>
        <w:rPr/>
        <w:t>practices,</w:t>
      </w:r>
      <w:r>
        <w:rPr>
          <w:spacing w:val="-14"/>
        </w:rPr>
        <w:t> </w:t>
      </w:r>
      <w:r>
        <w:rPr/>
        <w:t>Desai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Dharmapala</w:t>
      </w:r>
      <w:r>
        <w:rPr>
          <w:spacing w:val="-16"/>
        </w:rPr>
        <w:t> </w:t>
      </w:r>
      <w:r>
        <w:rPr/>
        <w:t>(2006)</w:t>
      </w:r>
      <w:r>
        <w:rPr>
          <w:spacing w:val="-57"/>
        </w:rPr>
        <w:t> </w:t>
      </w:r>
      <w:r>
        <w:rPr/>
        <w:t>try to capture the unexplained portion of the total BTD, otherwise known as “abnormal total</w:t>
      </w:r>
      <w:r>
        <w:rPr>
          <w:spacing w:val="1"/>
        </w:rPr>
        <w:t> </w:t>
      </w:r>
      <w:r>
        <w:rPr/>
        <w:t>BTG”</w:t>
      </w:r>
      <w:r>
        <w:rPr>
          <w:spacing w:val="-6"/>
        </w:rPr>
        <w:t> </w:t>
      </w:r>
      <w:r>
        <w:rPr/>
        <w:t>(Hanlon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Heitzman,</w:t>
      </w:r>
      <w:r>
        <w:rPr>
          <w:spacing w:val="-5"/>
        </w:rPr>
        <w:t> </w:t>
      </w:r>
      <w:r>
        <w:rPr/>
        <w:t>2010),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thus</w:t>
      </w:r>
      <w:r>
        <w:rPr>
          <w:spacing w:val="-4"/>
        </w:rPr>
        <w:t> </w:t>
      </w:r>
      <w:r>
        <w:rPr/>
        <w:t>develop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residual</w:t>
      </w:r>
      <w:r>
        <w:rPr>
          <w:spacing w:val="-4"/>
        </w:rPr>
        <w:t> </w:t>
      </w:r>
      <w:r>
        <w:rPr/>
        <w:t>BTD.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measure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57"/>
        </w:rPr>
        <w:t> </w:t>
      </w:r>
      <w:r>
        <w:rPr/>
        <w:t>used to measure tax avoidance in Chen et al. (2010); Desai and Dharmapala (2009); and Kim,</w:t>
      </w:r>
      <w:r>
        <w:rPr>
          <w:spacing w:val="1"/>
        </w:rPr>
        <w:t> </w:t>
      </w:r>
      <w:r>
        <w:rPr/>
        <w:t>Li and Zhang (2011).</w:t>
      </w:r>
      <w:r>
        <w:rPr>
          <w:spacing w:val="1"/>
        </w:rPr>
        <w:t> </w:t>
      </w:r>
      <w:r>
        <w:rPr/>
        <w:t>Another form of BTD was developed in Tang and Firth (2011). The</w:t>
      </w:r>
      <w:r>
        <w:rPr>
          <w:spacing w:val="1"/>
        </w:rPr>
        <w:t> </w:t>
      </w:r>
      <w:r>
        <w:rPr/>
        <w:t>measure is termed Tax-effect BTD. It is argued that commonly used BTD is an income-effect</w:t>
      </w:r>
      <w:r>
        <w:rPr>
          <w:spacing w:val="1"/>
        </w:rPr>
        <w:t> </w:t>
      </w:r>
      <w:r>
        <w:rPr/>
        <w:t>BTD,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uses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general</w:t>
      </w:r>
      <w:r>
        <w:rPr>
          <w:spacing w:val="-8"/>
        </w:rPr>
        <w:t> </w:t>
      </w:r>
      <w:r>
        <w:rPr/>
        <w:t>company</w:t>
      </w:r>
      <w:r>
        <w:rPr>
          <w:spacing w:val="-6"/>
        </w:rPr>
        <w:t> </w:t>
      </w:r>
      <w:r>
        <w:rPr/>
        <w:t>income</w:t>
      </w:r>
      <w:r>
        <w:rPr>
          <w:spacing w:val="-9"/>
        </w:rPr>
        <w:t> </w:t>
      </w:r>
      <w:r>
        <w:rPr/>
        <w:t>tax</w:t>
      </w:r>
      <w:r>
        <w:rPr>
          <w:spacing w:val="-6"/>
        </w:rPr>
        <w:t> </w:t>
      </w:r>
      <w:r>
        <w:rPr/>
        <w:t>rate.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tax-effect</w:t>
      </w:r>
      <w:r>
        <w:rPr>
          <w:spacing w:val="-7"/>
        </w:rPr>
        <w:t> </w:t>
      </w:r>
      <w:r>
        <w:rPr/>
        <w:t>BTD,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4"/>
      </w:pPr>
      <w:r>
        <w:rPr>
          <w:spacing w:val="-1"/>
        </w:rPr>
        <w:t>difference</w:t>
      </w:r>
      <w:r>
        <w:rPr>
          <w:spacing w:val="-14"/>
        </w:rPr>
        <w:t> </w:t>
      </w:r>
      <w:r>
        <w:rPr>
          <w:spacing w:val="-1"/>
        </w:rPr>
        <w:t>between</w:t>
      </w:r>
      <w:r>
        <w:rPr>
          <w:spacing w:val="-15"/>
        </w:rPr>
        <w:t> </w:t>
      </w:r>
      <w:r>
        <w:rPr/>
        <w:t>income</w:t>
      </w:r>
      <w:r>
        <w:rPr>
          <w:spacing w:val="-14"/>
        </w:rPr>
        <w:t> </w:t>
      </w:r>
      <w:r>
        <w:rPr/>
        <w:t>tax</w:t>
      </w:r>
      <w:r>
        <w:rPr>
          <w:spacing w:val="-13"/>
        </w:rPr>
        <w:t> </w:t>
      </w:r>
      <w:r>
        <w:rPr/>
        <w:t>expense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current</w:t>
      </w:r>
      <w:r>
        <w:rPr>
          <w:spacing w:val="-14"/>
        </w:rPr>
        <w:t> </w:t>
      </w:r>
      <w:r>
        <w:rPr/>
        <w:t>tax</w:t>
      </w:r>
      <w:r>
        <w:rPr>
          <w:spacing w:val="-14"/>
        </w:rPr>
        <w:t> </w:t>
      </w:r>
      <w:r>
        <w:rPr/>
        <w:t>expenses,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thus</w:t>
      </w:r>
      <w:r>
        <w:rPr>
          <w:spacing w:val="-9"/>
        </w:rPr>
        <w:t> </w:t>
      </w:r>
      <w:r>
        <w:rPr/>
        <w:t>relevant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business</w:t>
      </w:r>
      <w:r>
        <w:rPr>
          <w:spacing w:val="-57"/>
        </w:rPr>
        <w:t> </w:t>
      </w:r>
      <w:r>
        <w:rPr/>
        <w:t>setting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firms are</w:t>
      </w:r>
      <w:r>
        <w:rPr>
          <w:spacing w:val="-2"/>
        </w:rPr>
        <w:t> </w:t>
      </w:r>
      <w:r>
        <w:rPr/>
        <w:t>subjected to different tax rates.</w:t>
      </w:r>
    </w:p>
    <w:p>
      <w:pPr>
        <w:pStyle w:val="BodyText"/>
        <w:spacing w:line="480" w:lineRule="auto" w:before="202"/>
        <w:ind w:right="830"/>
      </w:pPr>
      <w:r>
        <w:rPr/>
        <w:t>The</w:t>
      </w:r>
      <w:r>
        <w:rPr>
          <w:spacing w:val="-4"/>
        </w:rPr>
        <w:t> </w:t>
      </w:r>
      <w:r>
        <w:rPr/>
        <w:t>general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tax</w:t>
      </w:r>
      <w:r>
        <w:rPr>
          <w:spacing w:val="-1"/>
        </w:rPr>
        <w:t> </w:t>
      </w:r>
      <w:r>
        <w:rPr/>
        <w:t>avoidance</w:t>
      </w:r>
      <w:r>
        <w:rPr>
          <w:spacing w:val="-2"/>
        </w:rPr>
        <w:t> </w:t>
      </w:r>
      <w:r>
        <w:rPr/>
        <w:t>components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book-tax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(BTD)</w:t>
      </w:r>
      <w:r>
        <w:rPr>
          <w:spacing w:val="-58"/>
        </w:rPr>
        <w:t> </w:t>
      </w:r>
      <w:r>
        <w:rPr/>
        <w:t>is</w:t>
      </w:r>
      <w:r>
        <w:rPr>
          <w:spacing w:val="-1"/>
        </w:rPr>
        <w:t> </w:t>
      </w:r>
      <w:r>
        <w:rPr/>
        <w:t>stated below;</w:t>
      </w:r>
    </w:p>
    <w:p>
      <w:pPr>
        <w:spacing w:before="199"/>
        <w:ind w:left="154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54022656">
            <wp:simplePos x="0" y="0"/>
            <wp:positionH relativeFrom="page">
              <wp:posOffset>1261605</wp:posOffset>
            </wp:positionH>
            <wp:positionV relativeFrom="paragraph">
              <wp:posOffset>248197</wp:posOffset>
            </wp:positionV>
            <wp:extent cx="5133225" cy="5265293"/>
            <wp:effectExtent l="0" t="0" r="0" b="0"/>
            <wp:wrapNone/>
            <wp:docPr id="12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  <w:sz w:val="24"/>
        </w:rPr>
        <w:t>BTD</w:t>
      </w:r>
      <w:r>
        <w:rPr>
          <w:sz w:val="16"/>
        </w:rPr>
        <w:t>it</w:t>
      </w:r>
      <w:r>
        <w:rPr>
          <w:spacing w:val="18"/>
          <w:sz w:val="16"/>
        </w:rPr>
        <w:t> </w:t>
      </w:r>
      <w:r>
        <w:rPr>
          <w:position w:val="2"/>
          <w:sz w:val="24"/>
        </w:rPr>
        <w:t>=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FI</w:t>
      </w:r>
      <w:r>
        <w:rPr>
          <w:sz w:val="16"/>
        </w:rPr>
        <w:t>it</w:t>
      </w:r>
      <w:r>
        <w:rPr>
          <w:spacing w:val="19"/>
          <w:sz w:val="16"/>
        </w:rPr>
        <w:t> </w:t>
      </w:r>
      <w:r>
        <w:rPr>
          <w:position w:val="2"/>
          <w:sz w:val="24"/>
        </w:rPr>
        <w:t>–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TI</w:t>
      </w:r>
      <w:r>
        <w:rPr>
          <w:sz w:val="16"/>
        </w:rPr>
        <w:t>it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652" w:lineRule="auto" w:before="173"/>
        <w:ind w:right="5360"/>
        <w:jc w:val="left"/>
      </w:pPr>
      <w:r>
        <w:rPr>
          <w:position w:val="2"/>
        </w:rPr>
        <w:t>BTD</w:t>
      </w:r>
      <w:r>
        <w:rPr>
          <w:sz w:val="16"/>
        </w:rPr>
        <w:t>it </w:t>
      </w:r>
      <w:r>
        <w:rPr>
          <w:position w:val="2"/>
        </w:rPr>
        <w:t>– book-tax difference for firm i in year t;</w:t>
      </w:r>
      <w:r>
        <w:rPr>
          <w:spacing w:val="-57"/>
          <w:position w:val="2"/>
        </w:rPr>
        <w:t> </w:t>
      </w:r>
      <w:r>
        <w:rPr>
          <w:position w:val="2"/>
        </w:rPr>
        <w:t>FI</w:t>
      </w:r>
      <w:r>
        <w:rPr>
          <w:sz w:val="16"/>
        </w:rPr>
        <w:t>it</w:t>
      </w:r>
      <w:r>
        <w:rPr>
          <w:spacing w:val="19"/>
          <w:sz w:val="16"/>
        </w:rPr>
        <w:t> </w:t>
      </w:r>
      <w:r>
        <w:rPr>
          <w:position w:val="2"/>
        </w:rPr>
        <w:t>– financial income;</w:t>
      </w:r>
    </w:p>
    <w:p>
      <w:pPr>
        <w:pStyle w:val="BodyText"/>
        <w:spacing w:line="277" w:lineRule="exact"/>
        <w:jc w:val="left"/>
      </w:pPr>
      <w:r>
        <w:rPr>
          <w:position w:val="2"/>
        </w:rPr>
        <w:t>TI</w:t>
      </w:r>
      <w:r>
        <w:rPr>
          <w:sz w:val="16"/>
        </w:rPr>
        <w:t>it</w:t>
      </w:r>
      <w:r>
        <w:rPr>
          <w:spacing w:val="18"/>
          <w:sz w:val="16"/>
        </w:rPr>
        <w:t> </w:t>
      </w:r>
      <w:r>
        <w:rPr>
          <w:position w:val="2"/>
        </w:rPr>
        <w:t>–</w:t>
      </w:r>
      <w:r>
        <w:rPr>
          <w:spacing w:val="-2"/>
          <w:position w:val="2"/>
        </w:rPr>
        <w:t> </w:t>
      </w:r>
      <w:r>
        <w:rPr>
          <w:position w:val="2"/>
        </w:rPr>
        <w:t>taxable</w:t>
      </w:r>
      <w:r>
        <w:rPr>
          <w:spacing w:val="-1"/>
          <w:position w:val="2"/>
        </w:rPr>
        <w:t> </w:t>
      </w:r>
      <w:r>
        <w:rPr>
          <w:position w:val="2"/>
        </w:rPr>
        <w:t>income.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480" w:lineRule="auto" w:before="175"/>
        <w:ind w:right="830"/>
      </w:pPr>
      <w:r>
        <w:rPr/>
        <w:t>Financial</w:t>
      </w:r>
      <w:r>
        <w:rPr>
          <w:spacing w:val="-7"/>
        </w:rPr>
        <w:t> </w:t>
      </w:r>
      <w:r>
        <w:rPr/>
        <w:t>income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income</w:t>
      </w:r>
      <w:r>
        <w:rPr>
          <w:spacing w:val="-8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capital</w:t>
      </w:r>
      <w:r>
        <w:rPr>
          <w:spacing w:val="-6"/>
        </w:rPr>
        <w:t> </w:t>
      </w:r>
      <w:r>
        <w:rPr/>
        <w:t>markets,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firm`s</w:t>
      </w:r>
      <w:r>
        <w:rPr>
          <w:spacing w:val="-8"/>
        </w:rPr>
        <w:t> </w:t>
      </w:r>
      <w:r>
        <w:rPr/>
        <w:t>pre</w:t>
      </w:r>
      <w:r>
        <w:rPr>
          <w:spacing w:val="-6"/>
        </w:rPr>
        <w:t> </w:t>
      </w:r>
      <w:r>
        <w:rPr/>
        <w:t>–</w:t>
      </w:r>
      <w:r>
        <w:rPr>
          <w:spacing w:val="-6"/>
        </w:rPr>
        <w:t> </w:t>
      </w:r>
      <w:r>
        <w:rPr/>
        <w:t>tax</w:t>
      </w:r>
      <w:r>
        <w:rPr>
          <w:spacing w:val="-7"/>
        </w:rPr>
        <w:t> </w:t>
      </w:r>
      <w:r>
        <w:rPr/>
        <w:t>income</w:t>
      </w:r>
      <w:r>
        <w:rPr>
          <w:spacing w:val="-58"/>
        </w:rPr>
        <w:t> </w:t>
      </w:r>
      <w:r>
        <w:rPr/>
        <w:t>given in the income statement. Taxable income is not disclosed in the financial statements.</w:t>
      </w:r>
      <w:r>
        <w:rPr>
          <w:spacing w:val="1"/>
        </w:rPr>
        <w:t> </w:t>
      </w:r>
      <w:r>
        <w:rPr/>
        <w:t>Desai and Dharmapala (2006) compute abnormal BTDs (AbBTD) using the residuals from</w:t>
      </w:r>
      <w:r>
        <w:rPr>
          <w:spacing w:val="1"/>
        </w:rPr>
        <w:t> </w:t>
      </w:r>
      <w:r>
        <w:rPr/>
        <w:t>estimating</w:t>
      </w:r>
      <w:r>
        <w:rPr>
          <w:spacing w:val="-9"/>
        </w:rPr>
        <w:t> </w:t>
      </w:r>
      <w:r>
        <w:rPr/>
        <w:t>book-tax</w:t>
      </w:r>
      <w:r>
        <w:rPr>
          <w:spacing w:val="-10"/>
        </w:rPr>
        <w:t> </w:t>
      </w:r>
      <w:r>
        <w:rPr/>
        <w:t>differences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total</w:t>
      </w:r>
      <w:r>
        <w:rPr>
          <w:spacing w:val="-9"/>
        </w:rPr>
        <w:t> </w:t>
      </w:r>
      <w:r>
        <w:rPr/>
        <w:t>accruals.</w:t>
      </w:r>
      <w:r>
        <w:rPr>
          <w:spacing w:val="-6"/>
        </w:rPr>
        <w:t> </w:t>
      </w:r>
      <w:r>
        <w:rPr/>
        <w:t>This</w:t>
      </w:r>
      <w:r>
        <w:rPr>
          <w:spacing w:val="-9"/>
        </w:rPr>
        <w:t> </w:t>
      </w:r>
      <w:r>
        <w:rPr/>
        <w:t>measure</w:t>
      </w:r>
      <w:r>
        <w:rPr>
          <w:spacing w:val="-11"/>
        </w:rPr>
        <w:t> </w:t>
      </w:r>
      <w:r>
        <w:rPr/>
        <w:t>attempts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separate</w:t>
      </w:r>
      <w:r>
        <w:rPr>
          <w:spacing w:val="-10"/>
        </w:rPr>
        <w:t> </w:t>
      </w:r>
      <w:r>
        <w:rPr/>
        <w:t>total</w:t>
      </w:r>
      <w:r>
        <w:rPr>
          <w:spacing w:val="-9"/>
        </w:rPr>
        <w:t> </w:t>
      </w:r>
      <w:r>
        <w:rPr/>
        <w:t>BTDs</w:t>
      </w:r>
      <w:r>
        <w:rPr>
          <w:spacing w:val="-58"/>
        </w:rPr>
        <w:t> </w:t>
      </w:r>
      <w:r>
        <w:rPr/>
        <w:t>into</w:t>
      </w:r>
      <w:r>
        <w:rPr>
          <w:spacing w:val="-9"/>
        </w:rPr>
        <w:t> </w:t>
      </w:r>
      <w:r>
        <w:rPr/>
        <w:t>those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-9"/>
        </w:rPr>
        <w:t> </w:t>
      </w:r>
      <w:r>
        <w:rPr/>
        <w:t>not</w:t>
      </w:r>
      <w:r>
        <w:rPr>
          <w:spacing w:val="-5"/>
        </w:rPr>
        <w:t> </w:t>
      </w:r>
      <w:r>
        <w:rPr/>
        <w:t>attributable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tax</w:t>
      </w:r>
      <w:r>
        <w:rPr>
          <w:spacing w:val="-8"/>
        </w:rPr>
        <w:t> </w:t>
      </w:r>
      <w:r>
        <w:rPr/>
        <w:t>planning</w:t>
      </w:r>
      <w:r>
        <w:rPr>
          <w:spacing w:val="-7"/>
        </w:rPr>
        <w:t> </w:t>
      </w:r>
      <w:r>
        <w:rPr/>
        <w:t>(normal</w:t>
      </w:r>
      <w:r>
        <w:rPr>
          <w:spacing w:val="-7"/>
        </w:rPr>
        <w:t> </w:t>
      </w:r>
      <w:r>
        <w:rPr/>
        <w:t>BTDs)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those</w:t>
      </w:r>
      <w:r>
        <w:rPr>
          <w:spacing w:val="-3"/>
        </w:rPr>
        <w:t> </w:t>
      </w:r>
      <w:r>
        <w:rPr/>
        <w:t>that</w:t>
      </w:r>
      <w:r>
        <w:rPr>
          <w:spacing w:val="-8"/>
        </w:rPr>
        <w:t> </w:t>
      </w:r>
      <w:r>
        <w:rPr/>
        <w:t>are</w:t>
      </w:r>
      <w:r>
        <w:rPr>
          <w:spacing w:val="-7"/>
        </w:rPr>
        <w:t> </w:t>
      </w:r>
      <w:r>
        <w:rPr/>
        <w:t>attributable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tax planning (abnormal BTDs).</w:t>
      </w: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200" w:after="0"/>
        <w:ind w:left="1542" w:right="0" w:hanging="720"/>
        <w:jc w:val="both"/>
      </w:pPr>
      <w:bookmarkStart w:name="_bookmark39" w:id="65"/>
      <w:bookmarkEnd w:id="65"/>
      <w:r>
        <w:rPr>
          <w:b w:val="0"/>
        </w:rPr>
      </w:r>
      <w:bookmarkStart w:name="_bookmark39" w:id="66"/>
      <w:bookmarkEnd w:id="66"/>
      <w:r>
        <w:rPr/>
        <w:t>Ef</w:t>
      </w:r>
      <w:r>
        <w:rPr/>
        <w:t>fective</w:t>
      </w:r>
      <w:r>
        <w:rPr>
          <w:spacing w:val="-3"/>
        </w:rPr>
        <w:t> </w:t>
      </w:r>
      <w:r>
        <w:rPr/>
        <w:t>Tax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7"/>
      </w:pPr>
      <w:r>
        <w:rPr/>
        <w:t>The</w:t>
      </w:r>
      <w:r>
        <w:rPr>
          <w:spacing w:val="-12"/>
        </w:rPr>
        <w:t> </w:t>
      </w:r>
      <w:r>
        <w:rPr/>
        <w:t>firms’</w:t>
      </w:r>
      <w:r>
        <w:rPr>
          <w:spacing w:val="-11"/>
        </w:rPr>
        <w:t> </w:t>
      </w:r>
      <w:r>
        <w:rPr/>
        <w:t>effective</w:t>
      </w:r>
      <w:r>
        <w:rPr>
          <w:spacing w:val="-11"/>
        </w:rPr>
        <w:t> </w:t>
      </w:r>
      <w:r>
        <w:rPr/>
        <w:t>tax</w:t>
      </w:r>
      <w:r>
        <w:rPr>
          <w:spacing w:val="-11"/>
        </w:rPr>
        <w:t> </w:t>
      </w:r>
      <w:r>
        <w:rPr/>
        <w:t>rate</w:t>
      </w:r>
      <w:r>
        <w:rPr>
          <w:spacing w:val="-11"/>
        </w:rPr>
        <w:t> </w:t>
      </w:r>
      <w:r>
        <w:rPr/>
        <w:t>(ETR),</w:t>
      </w:r>
      <w:r>
        <w:rPr>
          <w:spacing w:val="-10"/>
        </w:rPr>
        <w:t> </w:t>
      </w:r>
      <w:r>
        <w:rPr/>
        <w:t>defined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some</w:t>
      </w:r>
      <w:r>
        <w:rPr>
          <w:spacing w:val="-10"/>
        </w:rPr>
        <w:t> </w:t>
      </w:r>
      <w:r>
        <w:rPr/>
        <w:t>measure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tax</w:t>
      </w:r>
      <w:r>
        <w:rPr>
          <w:spacing w:val="-10"/>
        </w:rPr>
        <w:t> </w:t>
      </w:r>
      <w:r>
        <w:rPr/>
        <w:t>liability</w:t>
      </w:r>
      <w:r>
        <w:rPr>
          <w:spacing w:val="-11"/>
        </w:rPr>
        <w:t> </w:t>
      </w:r>
      <w:r>
        <w:rPr/>
        <w:t>divided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income,</w:t>
      </w:r>
      <w:r>
        <w:rPr>
          <w:spacing w:val="-58"/>
        </w:rPr>
        <w:t> </w:t>
      </w:r>
      <w:r>
        <w:rPr/>
        <w:t>has long been used in the literature as a measure of active tax planning. sing on the accounting</w:t>
      </w:r>
      <w:r>
        <w:rPr>
          <w:spacing w:val="-57"/>
        </w:rPr>
        <w:t> </w:t>
      </w:r>
      <w:r>
        <w:rPr/>
        <w:t>and tax literature (Dyreng, Hanlon &amp; Maydew, 2008; Richardson </w:t>
      </w:r>
      <w:r>
        <w:rPr>
          <w:i/>
        </w:rPr>
        <w:t>et al., </w:t>
      </w:r>
      <w:r>
        <w:rPr/>
        <w:t>2013; Robinson and</w:t>
      </w:r>
      <w:r>
        <w:rPr>
          <w:spacing w:val="1"/>
        </w:rPr>
        <w:t> </w:t>
      </w:r>
      <w:r>
        <w:rPr/>
        <w:t>Sikes,</w:t>
      </w:r>
      <w:r>
        <w:rPr>
          <w:spacing w:val="-6"/>
        </w:rPr>
        <w:t> </w:t>
      </w:r>
      <w:r>
        <w:rPr/>
        <w:t>2006),</w:t>
      </w:r>
      <w:r>
        <w:rPr>
          <w:spacing w:val="-5"/>
        </w:rPr>
        <w:t> </w:t>
      </w:r>
      <w:r>
        <w:rPr/>
        <w:t>we</w:t>
      </w:r>
      <w:r>
        <w:rPr>
          <w:spacing w:val="-7"/>
        </w:rPr>
        <w:t> </w:t>
      </w:r>
      <w:r>
        <w:rPr/>
        <w:t>can</w:t>
      </w:r>
      <w:r>
        <w:rPr>
          <w:spacing w:val="-5"/>
        </w:rPr>
        <w:t> </w:t>
      </w:r>
      <w:r>
        <w:rPr/>
        <w:t>detect</w:t>
      </w:r>
      <w:r>
        <w:rPr>
          <w:spacing w:val="-6"/>
        </w:rPr>
        <w:t> </w:t>
      </w:r>
      <w:r>
        <w:rPr/>
        <w:t>tax</w:t>
      </w:r>
      <w:r>
        <w:rPr>
          <w:spacing w:val="-3"/>
        </w:rPr>
        <w:t> </w:t>
      </w:r>
      <w:r>
        <w:rPr/>
        <w:t>aggressiveness</w:t>
      </w:r>
      <w:r>
        <w:rPr>
          <w:spacing w:val="-6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effective</w:t>
      </w:r>
      <w:r>
        <w:rPr>
          <w:spacing w:val="-6"/>
        </w:rPr>
        <w:t> </w:t>
      </w:r>
      <w:r>
        <w:rPr/>
        <w:t>tax</w:t>
      </w:r>
      <w:r>
        <w:rPr>
          <w:spacing w:val="-5"/>
        </w:rPr>
        <w:t> </w:t>
      </w:r>
      <w:r>
        <w:rPr/>
        <w:t>rate</w:t>
      </w:r>
      <w:r>
        <w:rPr>
          <w:spacing w:val="-6"/>
        </w:rPr>
        <w:t> </w:t>
      </w:r>
      <w:r>
        <w:rPr/>
        <w:t>“ETR”.</w:t>
      </w:r>
      <w:r>
        <w:rPr>
          <w:spacing w:val="-6"/>
        </w:rPr>
        <w:t> </w:t>
      </w:r>
      <w:r>
        <w:rPr/>
        <w:t>Several</w:t>
      </w:r>
      <w:r>
        <w:rPr>
          <w:spacing w:val="-5"/>
        </w:rPr>
        <w:t> </w:t>
      </w:r>
      <w:r>
        <w:rPr/>
        <w:t>authors</w:t>
      </w:r>
      <w:r>
        <w:rPr>
          <w:spacing w:val="-58"/>
        </w:rPr>
        <w:t> </w:t>
      </w:r>
      <w:r>
        <w:rPr/>
        <w:t>have</w:t>
      </w:r>
      <w:r>
        <w:rPr>
          <w:spacing w:val="-7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measure</w:t>
      </w:r>
      <w:r>
        <w:rPr>
          <w:spacing w:val="-8"/>
        </w:rPr>
        <w:t> </w:t>
      </w:r>
      <w:r>
        <w:rPr/>
        <w:t>"ETR"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measure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ability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58"/>
        </w:rPr>
        <w:t> </w:t>
      </w:r>
      <w:r>
        <w:rPr/>
        <w:t>to optimize its tax burden (Ayers, Jiang &amp; Laplante 2009; Chadefaux &amp; Rossignol, 2006;</w:t>
      </w:r>
      <w:r>
        <w:rPr>
          <w:spacing w:val="1"/>
        </w:rPr>
        <w:t> </w:t>
      </w:r>
      <w:r>
        <w:rPr/>
        <w:t>Minnik</w:t>
      </w:r>
      <w:r>
        <w:rPr>
          <w:spacing w:val="18"/>
        </w:rPr>
        <w:t> </w:t>
      </w:r>
      <w:r>
        <w:rPr/>
        <w:t>&amp;</w:t>
      </w:r>
      <w:r>
        <w:rPr>
          <w:spacing w:val="19"/>
        </w:rPr>
        <w:t> </w:t>
      </w:r>
      <w:r>
        <w:rPr/>
        <w:t>Noga,</w:t>
      </w:r>
      <w:r>
        <w:rPr>
          <w:spacing w:val="19"/>
        </w:rPr>
        <w:t> </w:t>
      </w:r>
      <w:r>
        <w:rPr/>
        <w:t>2010;</w:t>
      </w:r>
      <w:r>
        <w:rPr>
          <w:spacing w:val="16"/>
        </w:rPr>
        <w:t> </w:t>
      </w:r>
      <w:r>
        <w:rPr/>
        <w:t>Rego</w:t>
      </w:r>
      <w:r>
        <w:rPr>
          <w:spacing w:val="18"/>
        </w:rPr>
        <w:t> </w:t>
      </w:r>
      <w:r>
        <w:rPr/>
        <w:t>2003).</w:t>
      </w:r>
      <w:r>
        <w:rPr>
          <w:spacing w:val="18"/>
        </w:rPr>
        <w:t> </w:t>
      </w:r>
      <w:r>
        <w:rPr/>
        <w:t>Callihan</w:t>
      </w:r>
      <w:r>
        <w:rPr>
          <w:spacing w:val="17"/>
        </w:rPr>
        <w:t> </w:t>
      </w:r>
      <w:r>
        <w:rPr/>
        <w:t>(1994),</w:t>
      </w:r>
      <w:r>
        <w:rPr>
          <w:spacing w:val="18"/>
        </w:rPr>
        <w:t> </w:t>
      </w:r>
      <w:r>
        <w:rPr/>
        <w:t>measured</w:t>
      </w:r>
      <w:r>
        <w:rPr>
          <w:spacing w:val="18"/>
        </w:rPr>
        <w:t> </w:t>
      </w:r>
      <w:r>
        <w:rPr/>
        <w:t>tax</w:t>
      </w:r>
      <w:r>
        <w:rPr>
          <w:spacing w:val="17"/>
        </w:rPr>
        <w:t> </w:t>
      </w:r>
      <w:r>
        <w:rPr/>
        <w:t>burden</w:t>
      </w:r>
      <w:r>
        <w:rPr>
          <w:spacing w:val="18"/>
        </w:rPr>
        <w:t> </w:t>
      </w:r>
      <w:r>
        <w:rPr/>
        <w:t>by</w:t>
      </w:r>
      <w:r>
        <w:rPr>
          <w:spacing w:val="18"/>
        </w:rPr>
        <w:t> </w:t>
      </w:r>
      <w:r>
        <w:rPr/>
        <w:t>using</w:t>
      </w:r>
      <w:r>
        <w:rPr>
          <w:spacing w:val="18"/>
        </w:rPr>
        <w:t> </w:t>
      </w:r>
      <w:r>
        <w:rPr/>
        <w:t>average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5"/>
      </w:pPr>
      <w:r>
        <w:rPr/>
        <w:t>ETR and observed that the average ETR is appropriate for measuring cash flows and the</w:t>
      </w:r>
      <w:r>
        <w:rPr>
          <w:spacing w:val="1"/>
        </w:rPr>
        <w:t> </w:t>
      </w:r>
      <w:r>
        <w:rPr/>
        <w:t>distributional</w:t>
      </w:r>
      <w:r>
        <w:rPr>
          <w:spacing w:val="-11"/>
        </w:rPr>
        <w:t> </w:t>
      </w:r>
      <w:r>
        <w:rPr/>
        <w:t>tax</w:t>
      </w:r>
      <w:r>
        <w:rPr>
          <w:spacing w:val="-12"/>
        </w:rPr>
        <w:t> </w:t>
      </w:r>
      <w:r>
        <w:rPr/>
        <w:t>burden.</w:t>
      </w:r>
      <w:r>
        <w:rPr>
          <w:spacing w:val="-9"/>
        </w:rPr>
        <w:t> </w:t>
      </w:r>
      <w:r>
        <w:rPr/>
        <w:t>Spooner</w:t>
      </w:r>
      <w:r>
        <w:rPr>
          <w:spacing w:val="-11"/>
        </w:rPr>
        <w:t> </w:t>
      </w:r>
      <w:r>
        <w:rPr/>
        <w:t>(1986)</w:t>
      </w:r>
      <w:r>
        <w:rPr>
          <w:spacing w:val="-12"/>
        </w:rPr>
        <w:t> </w:t>
      </w:r>
      <w:r>
        <w:rPr/>
        <w:t>measured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corporate</w:t>
      </w:r>
      <w:r>
        <w:rPr>
          <w:spacing w:val="-12"/>
        </w:rPr>
        <w:t> </w:t>
      </w:r>
      <w:r>
        <w:rPr/>
        <w:t>tax</w:t>
      </w:r>
      <w:r>
        <w:rPr>
          <w:spacing w:val="-9"/>
        </w:rPr>
        <w:t> </w:t>
      </w:r>
      <w:r>
        <w:rPr/>
        <w:t>burden</w:t>
      </w:r>
      <w:r>
        <w:rPr>
          <w:spacing w:val="-10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ETR.</w:t>
      </w:r>
    </w:p>
    <w:p>
      <w:pPr>
        <w:pStyle w:val="BodyText"/>
        <w:spacing w:line="480" w:lineRule="auto" w:before="202"/>
        <w:ind w:right="831"/>
      </w:pPr>
      <w:r>
        <w:rPr/>
        <w:drawing>
          <wp:anchor distT="0" distB="0" distL="0" distR="0" allowOverlap="1" layoutInCell="1" locked="0" behindDoc="1" simplePos="0" relativeHeight="454023168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12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ETR-based measures have two important limitations. First, because total tax expense is</w:t>
      </w:r>
      <w:r>
        <w:rPr>
          <w:spacing w:val="1"/>
        </w:rPr>
        <w:t> </w:t>
      </w:r>
      <w:r>
        <w:rPr/>
        <w:t>comprised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current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deferred</w:t>
      </w:r>
      <w:r>
        <w:rPr>
          <w:spacing w:val="-6"/>
        </w:rPr>
        <w:t> </w:t>
      </w:r>
      <w:r>
        <w:rPr/>
        <w:t>taxes,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book</w:t>
      </w:r>
      <w:r>
        <w:rPr>
          <w:spacing w:val="-6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tax</w:t>
      </w:r>
      <w:r>
        <w:rPr>
          <w:spacing w:val="-6"/>
        </w:rPr>
        <w:t> </w:t>
      </w:r>
      <w:r>
        <w:rPr/>
        <w:t>rate</w:t>
      </w:r>
      <w:r>
        <w:rPr>
          <w:spacing w:val="-4"/>
        </w:rPr>
        <w:t> </w:t>
      </w:r>
      <w:r>
        <w:rPr/>
        <w:t>(BETR)</w:t>
      </w:r>
      <w:r>
        <w:rPr>
          <w:spacing w:val="-4"/>
        </w:rPr>
        <w:t> </w:t>
      </w:r>
      <w:r>
        <w:rPr/>
        <w:t>fails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account</w:t>
      </w:r>
      <w:r>
        <w:rPr>
          <w:spacing w:val="-6"/>
        </w:rPr>
        <w:t> </w:t>
      </w:r>
      <w:r>
        <w:rPr/>
        <w:t>for</w:t>
      </w:r>
      <w:r>
        <w:rPr>
          <w:spacing w:val="-58"/>
        </w:rPr>
        <w:t> </w:t>
      </w:r>
      <w:r>
        <w:rPr/>
        <w:t>tax</w:t>
      </w:r>
      <w:r>
        <w:rPr>
          <w:spacing w:val="-14"/>
        </w:rPr>
        <w:t> </w:t>
      </w:r>
      <w:r>
        <w:rPr/>
        <w:t>aggressiveness</w:t>
      </w:r>
      <w:r>
        <w:rPr>
          <w:spacing w:val="-11"/>
        </w:rPr>
        <w:t> </w:t>
      </w:r>
      <w:r>
        <w:rPr/>
        <w:t>associated</w:t>
      </w:r>
      <w:r>
        <w:rPr>
          <w:spacing w:val="-14"/>
        </w:rPr>
        <w:t> </w:t>
      </w:r>
      <w:r>
        <w:rPr/>
        <w:t>with</w:t>
      </w:r>
      <w:r>
        <w:rPr>
          <w:spacing w:val="-12"/>
        </w:rPr>
        <w:t> </w:t>
      </w:r>
      <w:r>
        <w:rPr/>
        <w:t>temporary</w:t>
      </w:r>
      <w:r>
        <w:rPr>
          <w:spacing w:val="-14"/>
        </w:rPr>
        <w:t> </w:t>
      </w:r>
      <w:r>
        <w:rPr/>
        <w:t>book-tax</w:t>
      </w:r>
      <w:r>
        <w:rPr>
          <w:spacing w:val="-14"/>
        </w:rPr>
        <w:t> </w:t>
      </w:r>
      <w:r>
        <w:rPr/>
        <w:t>differences</w:t>
      </w:r>
      <w:r>
        <w:rPr>
          <w:spacing w:val="-12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decreases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current</w:t>
      </w:r>
      <w:r>
        <w:rPr>
          <w:spacing w:val="-57"/>
        </w:rPr>
        <w:t> </w:t>
      </w:r>
      <w:r>
        <w:rPr/>
        <w:t>tax expense are offset by corresponding increases in deferred tax expense. Second, both the</w:t>
      </w:r>
      <w:r>
        <w:rPr>
          <w:spacing w:val="1"/>
        </w:rPr>
        <w:t> </w:t>
      </w:r>
      <w:r>
        <w:rPr/>
        <w:t>(BETR) and current book effective tax rate (CETR) may understate a firm’s level of tax</w:t>
      </w:r>
      <w:r>
        <w:rPr>
          <w:spacing w:val="1"/>
        </w:rPr>
        <w:t> </w:t>
      </w:r>
      <w:r>
        <w:rPr/>
        <w:t>aggressiveness</w:t>
      </w:r>
      <w:r>
        <w:rPr>
          <w:spacing w:val="-12"/>
        </w:rPr>
        <w:t> </w:t>
      </w:r>
      <w:r>
        <w:rPr/>
        <w:t>if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firm</w:t>
      </w:r>
      <w:r>
        <w:rPr>
          <w:spacing w:val="-9"/>
        </w:rPr>
        <w:t> </w:t>
      </w:r>
      <w:r>
        <w:rPr/>
        <w:t>records</w:t>
      </w:r>
      <w:r>
        <w:rPr>
          <w:spacing w:val="-12"/>
        </w:rPr>
        <w:t> </w:t>
      </w:r>
      <w:r>
        <w:rPr/>
        <w:t>contingencies</w:t>
      </w:r>
      <w:r>
        <w:rPr>
          <w:spacing w:val="-12"/>
        </w:rPr>
        <w:t> </w:t>
      </w:r>
      <w:r>
        <w:rPr/>
        <w:t>associated</w:t>
      </w:r>
      <w:r>
        <w:rPr>
          <w:spacing w:val="-12"/>
        </w:rPr>
        <w:t> </w:t>
      </w:r>
      <w:r>
        <w:rPr/>
        <w:t>with</w:t>
      </w:r>
      <w:r>
        <w:rPr>
          <w:spacing w:val="-12"/>
        </w:rPr>
        <w:t> </w:t>
      </w:r>
      <w:r>
        <w:rPr/>
        <w:t>uncertain</w:t>
      </w:r>
      <w:r>
        <w:rPr>
          <w:spacing w:val="-12"/>
        </w:rPr>
        <w:t> </w:t>
      </w:r>
      <w:r>
        <w:rPr/>
        <w:t>tax</w:t>
      </w:r>
      <w:r>
        <w:rPr>
          <w:spacing w:val="-11"/>
        </w:rPr>
        <w:t> </w:t>
      </w:r>
      <w:r>
        <w:rPr/>
        <w:t>benefits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arise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taking aggressive</w:t>
      </w:r>
      <w:r>
        <w:rPr>
          <w:spacing w:val="-1"/>
        </w:rPr>
        <w:t> </w:t>
      </w:r>
      <w:r>
        <w:rPr/>
        <w:t>tax positions (De</w:t>
      </w:r>
      <w:r>
        <w:rPr>
          <w:spacing w:val="-2"/>
        </w:rPr>
        <w:t> </w:t>
      </w:r>
      <w:r>
        <w:rPr/>
        <w:t>Waegenaere, Richard &amp;</w:t>
      </w:r>
      <w:r>
        <w:rPr>
          <w:spacing w:val="1"/>
        </w:rPr>
        <w:t> </w:t>
      </w:r>
      <w:r>
        <w:rPr/>
        <w:t>Jacco, 2010).</w:t>
      </w: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200" w:after="0"/>
        <w:ind w:left="1542" w:right="0" w:hanging="720"/>
        <w:jc w:val="both"/>
      </w:pPr>
      <w:bookmarkStart w:name="_bookmark40" w:id="67"/>
      <w:bookmarkEnd w:id="67"/>
      <w:r>
        <w:rPr>
          <w:b w:val="0"/>
        </w:rPr>
      </w:r>
      <w:bookmarkStart w:name="_bookmark40" w:id="68"/>
      <w:bookmarkEnd w:id="68"/>
      <w:r>
        <w:rPr/>
        <w:t>A</w:t>
      </w:r>
      <w:r>
        <w:rPr/>
        <w:t>ccounting</w:t>
      </w:r>
      <w:r>
        <w:rPr>
          <w:spacing w:val="-4"/>
        </w:rPr>
        <w:t> </w:t>
      </w:r>
      <w:r>
        <w:rPr/>
        <w:t>ETR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7"/>
      </w:pPr>
      <w:r>
        <w:rPr/>
        <w:t>This is known as GAAP ETR in the US context. It is the reported ETR as par the financial</w:t>
      </w:r>
      <w:r>
        <w:rPr>
          <w:spacing w:val="1"/>
        </w:rPr>
        <w:t> </w:t>
      </w:r>
      <w:r>
        <w:rPr/>
        <w:t>statements. It is the effective tax rate, which firms are required to disclose in the footnotes to</w:t>
      </w:r>
      <w:r>
        <w:rPr>
          <w:spacing w:val="1"/>
        </w:rPr>
        <w:t> </w:t>
      </w:r>
      <w:r>
        <w:rPr/>
        <w:t>their financial statements, is the ratio of tax expense to pretax income (Dyreng, et al., 2005).</w:t>
      </w:r>
      <w:r>
        <w:rPr>
          <w:spacing w:val="1"/>
        </w:rPr>
        <w:t> </w:t>
      </w:r>
      <w:r>
        <w:rPr/>
        <w:t>Thus, it reflects the aggregate proportion of the accounting income payable as taxes.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therefore, measures tax avoidance relative to accounting earnings. Although accounting ETR</w:t>
      </w:r>
      <w:r>
        <w:rPr>
          <w:spacing w:val="1"/>
        </w:rPr>
        <w:t> </w:t>
      </w:r>
      <w:r>
        <w:rPr/>
        <w:t>has been a widely used measure of tax avoidance, it does not go without certain limitations.</w:t>
      </w:r>
      <w:r>
        <w:rPr>
          <w:spacing w:val="1"/>
        </w:rPr>
        <w:t> </w:t>
      </w:r>
      <w:r>
        <w:rPr/>
        <w:t>Firstly, accounting ETR could only capture the non-conforming tax avoidance because it</w:t>
      </w:r>
      <w:r>
        <w:rPr>
          <w:spacing w:val="1"/>
        </w:rPr>
        <w:t> </w:t>
      </w:r>
      <w:r>
        <w:rPr/>
        <w:t>measures tax avoidance relative to accounting earnings. Secondly, it might not also reflect the</w:t>
      </w:r>
      <w:r>
        <w:rPr>
          <w:spacing w:val="1"/>
        </w:rPr>
        <w:t> </w:t>
      </w:r>
      <w:r>
        <w:rPr/>
        <w:t>strategies for tax deferral due to use of aggregate tax expenses. Thus, the traditional effective</w:t>
      </w:r>
      <w:r>
        <w:rPr>
          <w:spacing w:val="1"/>
        </w:rPr>
        <w:t> </w:t>
      </w:r>
      <w:r>
        <w:rPr/>
        <w:t>tax</w:t>
      </w:r>
      <w:r>
        <w:rPr>
          <w:spacing w:val="-1"/>
        </w:rPr>
        <w:t> </w:t>
      </w:r>
      <w:r>
        <w:rPr/>
        <w:t>rate for a</w:t>
      </w:r>
      <w:r>
        <w:rPr>
          <w:spacing w:val="-2"/>
        </w:rPr>
        <w:t> </w:t>
      </w:r>
      <w:r>
        <w:rPr/>
        <w:t>given</w:t>
      </w:r>
      <w:r>
        <w:rPr>
          <w:spacing w:val="1"/>
        </w:rPr>
        <w:t> </w:t>
      </w:r>
      <w:r>
        <w:rPr/>
        <w:t>firm i for</w:t>
      </w:r>
      <w:r>
        <w:rPr>
          <w:spacing w:val="-2"/>
        </w:rPr>
        <w:t> </w:t>
      </w:r>
      <w:r>
        <w:rPr/>
        <w:t>year t (</w:t>
      </w:r>
      <w:r>
        <w:rPr>
          <w:i/>
        </w:rPr>
        <w:t>ETRit</w:t>
      </w:r>
      <w:r>
        <w:rPr/>
        <w:t>) is given by:</w:t>
      </w:r>
    </w:p>
    <w:p>
      <w:pPr>
        <w:pStyle w:val="BodyText"/>
        <w:spacing w:before="200"/>
        <w:ind w:left="1542"/>
        <w:rPr>
          <w:sz w:val="16"/>
        </w:rPr>
      </w:pPr>
      <w:r>
        <w:rPr>
          <w:position w:val="2"/>
        </w:rPr>
        <w:t>ETR</w:t>
      </w:r>
      <w:r>
        <w:rPr>
          <w:sz w:val="16"/>
        </w:rPr>
        <w:t>it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Total</w:t>
      </w:r>
      <w:r>
        <w:rPr>
          <w:spacing w:val="-1"/>
          <w:position w:val="2"/>
        </w:rPr>
        <w:t> </w:t>
      </w:r>
      <w:r>
        <w:rPr>
          <w:position w:val="2"/>
        </w:rPr>
        <w:t>tax</w:t>
      </w:r>
      <w:r>
        <w:rPr>
          <w:spacing w:val="-1"/>
          <w:position w:val="2"/>
        </w:rPr>
        <w:t> </w:t>
      </w:r>
      <w:r>
        <w:rPr>
          <w:position w:val="2"/>
        </w:rPr>
        <w:t>expense</w:t>
      </w:r>
      <w:r>
        <w:rPr>
          <w:sz w:val="16"/>
        </w:rPr>
        <w:t>it</w:t>
      </w:r>
      <w:r>
        <w:rPr>
          <w:spacing w:val="19"/>
          <w:sz w:val="16"/>
        </w:rPr>
        <w:t> </w:t>
      </w:r>
      <w:r>
        <w:rPr>
          <w:position w:val="2"/>
        </w:rPr>
        <w:t>/</w:t>
      </w:r>
      <w:r>
        <w:rPr>
          <w:spacing w:val="-1"/>
          <w:position w:val="2"/>
        </w:rPr>
        <w:t> </w:t>
      </w:r>
      <w:r>
        <w:rPr>
          <w:position w:val="2"/>
        </w:rPr>
        <w:t>Pre-tax</w:t>
      </w:r>
      <w:r>
        <w:rPr>
          <w:spacing w:val="-1"/>
          <w:position w:val="2"/>
        </w:rPr>
        <w:t> </w:t>
      </w:r>
      <w:r>
        <w:rPr>
          <w:position w:val="2"/>
        </w:rPr>
        <w:t>income</w:t>
      </w:r>
      <w:r>
        <w:rPr>
          <w:sz w:val="16"/>
        </w:rPr>
        <w:t>it</w:t>
      </w:r>
    </w:p>
    <w:p>
      <w:pPr>
        <w:spacing w:after="0"/>
        <w:rPr>
          <w:sz w:val="16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77" w:after="0"/>
        <w:ind w:left="1542" w:right="0" w:hanging="720"/>
        <w:jc w:val="left"/>
      </w:pPr>
      <w:bookmarkStart w:name="_bookmark41" w:id="69"/>
      <w:bookmarkEnd w:id="69"/>
      <w:r>
        <w:rPr>
          <w:b w:val="0"/>
        </w:rPr>
      </w:r>
      <w:bookmarkStart w:name="_bookmark41" w:id="70"/>
      <w:bookmarkEnd w:id="70"/>
      <w:r>
        <w:rPr/>
        <w:t>L</w:t>
      </w:r>
      <w:r>
        <w:rPr/>
        <w:t>ong-run</w:t>
      </w:r>
      <w:r>
        <w:rPr>
          <w:spacing w:val="-3"/>
        </w:rPr>
        <w:t> </w:t>
      </w:r>
      <w:r>
        <w:rPr/>
        <w:t>cash</w:t>
      </w:r>
      <w:r>
        <w:rPr>
          <w:spacing w:val="-3"/>
        </w:rPr>
        <w:t> </w:t>
      </w:r>
      <w:r>
        <w:rPr/>
        <w:t>ETR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8"/>
      </w:pPr>
      <w:r>
        <w:rPr/>
        <w:drawing>
          <wp:anchor distT="0" distB="0" distL="0" distR="0" allowOverlap="1" layoutInCell="1" locked="0" behindDoc="1" simplePos="0" relativeHeight="454023680">
            <wp:simplePos x="0" y="0"/>
            <wp:positionH relativeFrom="page">
              <wp:posOffset>1261605</wp:posOffset>
            </wp:positionH>
            <wp:positionV relativeFrom="paragraph">
              <wp:posOffset>1388403</wp:posOffset>
            </wp:positionV>
            <wp:extent cx="5133225" cy="5265293"/>
            <wp:effectExtent l="0" t="0" r="0" b="0"/>
            <wp:wrapNone/>
            <wp:docPr id="12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Dyreng, Hanlon and Maydew (2010) introduce an alternative measure of tax aggressiveness,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long-run</w:t>
      </w:r>
      <w:r>
        <w:rPr>
          <w:spacing w:val="-12"/>
        </w:rPr>
        <w:t> </w:t>
      </w:r>
      <w:r>
        <w:rPr/>
        <w:t>cash</w:t>
      </w:r>
      <w:r>
        <w:rPr>
          <w:spacing w:val="-11"/>
        </w:rPr>
        <w:t> </w:t>
      </w:r>
      <w:r>
        <w:rPr/>
        <w:t>effective</w:t>
      </w:r>
      <w:r>
        <w:rPr>
          <w:spacing w:val="-12"/>
        </w:rPr>
        <w:t> </w:t>
      </w:r>
      <w:r>
        <w:rPr/>
        <w:t>tax</w:t>
      </w:r>
      <w:r>
        <w:rPr>
          <w:spacing w:val="-12"/>
        </w:rPr>
        <w:t> </w:t>
      </w:r>
      <w:r>
        <w:rPr/>
        <w:t>rate</w:t>
      </w:r>
      <w:r>
        <w:rPr>
          <w:spacing w:val="-12"/>
        </w:rPr>
        <w:t> </w:t>
      </w:r>
      <w:r>
        <w:rPr/>
        <w:t>(LRCashETR).</w:t>
      </w:r>
      <w:r>
        <w:rPr>
          <w:spacing w:val="-9"/>
        </w:rPr>
        <w:t> </w:t>
      </w:r>
      <w:r>
        <w:rPr/>
        <w:t>Long-run</w:t>
      </w:r>
      <w:r>
        <w:rPr>
          <w:spacing w:val="-12"/>
        </w:rPr>
        <w:t> </w:t>
      </w:r>
      <w:r>
        <w:rPr/>
        <w:t>cash</w:t>
      </w:r>
      <w:r>
        <w:rPr>
          <w:spacing w:val="-11"/>
        </w:rPr>
        <w:t> </w:t>
      </w:r>
      <w:r>
        <w:rPr/>
        <w:t>ETR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proportion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cash</w:t>
      </w:r>
      <w:r>
        <w:rPr>
          <w:spacing w:val="-58"/>
        </w:rPr>
        <w:t> </w:t>
      </w:r>
      <w:r>
        <w:rPr/>
        <w:t>taxes paid to the accounting income before tax. The use of cash amount of tax paid as opposed</w:t>
      </w:r>
      <w:r>
        <w:rPr>
          <w:spacing w:val="-58"/>
        </w:rPr>
        <w:t> </w:t>
      </w:r>
      <w:r>
        <w:rPr/>
        <w:t>to tax expense help to minimize the likely effects of items such as valuation allowance and tax</w:t>
      </w:r>
      <w:r>
        <w:rPr>
          <w:spacing w:val="-57"/>
        </w:rPr>
        <w:t> </w:t>
      </w:r>
      <w:r>
        <w:rPr/>
        <w:t>cushions (Dyreng, Hanlon, &amp; Maydew 2010).</w:t>
      </w:r>
      <w:r>
        <w:rPr>
          <w:spacing w:val="1"/>
        </w:rPr>
        <w:t> </w:t>
      </w:r>
      <w:r>
        <w:rPr/>
        <w:t>Minnick and Noga (2010) also argue that cash</w:t>
      </w:r>
      <w:r>
        <w:rPr>
          <w:spacing w:val="1"/>
        </w:rPr>
        <w:t> </w:t>
      </w:r>
      <w:r>
        <w:rPr/>
        <w:t>tax measured “ETR takes into account the tax benefits of employee stock options, which</w:t>
      </w:r>
      <w:r>
        <w:rPr>
          <w:spacing w:val="1"/>
        </w:rPr>
        <w:t> </w:t>
      </w:r>
      <w:r>
        <w:rPr/>
        <w:t>accounting</w:t>
      </w:r>
      <w:r>
        <w:rPr>
          <w:spacing w:val="-11"/>
        </w:rPr>
        <w:t> </w:t>
      </w:r>
      <w:r>
        <w:rPr/>
        <w:t>ETR</w:t>
      </w:r>
      <w:r>
        <w:rPr>
          <w:spacing w:val="-10"/>
        </w:rPr>
        <w:t> </w:t>
      </w:r>
      <w:r>
        <w:rPr/>
        <w:t>does</w:t>
      </w:r>
      <w:r>
        <w:rPr>
          <w:spacing w:val="-10"/>
        </w:rPr>
        <w:t> </w:t>
      </w:r>
      <w:r>
        <w:rPr/>
        <w:t>not”.</w:t>
      </w:r>
      <w:r>
        <w:rPr>
          <w:spacing w:val="39"/>
        </w:rPr>
        <w:t> </w:t>
      </w:r>
      <w:r>
        <w:rPr/>
        <w:t>Besides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merit,</w:t>
      </w:r>
      <w:r>
        <w:rPr>
          <w:spacing w:val="-11"/>
        </w:rPr>
        <w:t> </w:t>
      </w:r>
      <w:r>
        <w:rPr/>
        <w:t>long-run</w:t>
      </w:r>
      <w:r>
        <w:rPr>
          <w:spacing w:val="-11"/>
        </w:rPr>
        <w:t> </w:t>
      </w:r>
      <w:r>
        <w:rPr/>
        <w:t>cash</w:t>
      </w:r>
      <w:r>
        <w:rPr>
          <w:spacing w:val="-10"/>
        </w:rPr>
        <w:t> </w:t>
      </w:r>
      <w:r>
        <w:rPr/>
        <w:t>ETR</w:t>
      </w:r>
      <w:r>
        <w:rPr>
          <w:spacing w:val="-10"/>
        </w:rPr>
        <w:t> </w:t>
      </w:r>
      <w:r>
        <w:rPr/>
        <w:t>also</w:t>
      </w:r>
      <w:r>
        <w:rPr>
          <w:spacing w:val="-10"/>
        </w:rPr>
        <w:t> </w:t>
      </w:r>
      <w:r>
        <w:rPr/>
        <w:t>uses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tax</w:t>
      </w:r>
      <w:r>
        <w:rPr>
          <w:spacing w:val="-11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for multiple years (Hanlon &amp; Heitzman, 2010) which helps to eliminate the volatility in the</w:t>
      </w:r>
      <w:r>
        <w:rPr>
          <w:spacing w:val="1"/>
        </w:rPr>
        <w:t> </w:t>
      </w:r>
      <w:r>
        <w:rPr/>
        <w:t>year level measures. According to Salihu et al. (2014) it should be noted that the volatility in</w:t>
      </w:r>
      <w:r>
        <w:rPr>
          <w:spacing w:val="1"/>
        </w:rPr>
        <w:t> </w:t>
      </w:r>
      <w:r>
        <w:rPr/>
        <w:t>tax avoidance measurement is mostly caused by the timing differences between the treatments</w:t>
      </w:r>
      <w:r>
        <w:rPr>
          <w:spacing w:val="-57"/>
        </w:rPr>
        <w:t> </w:t>
      </w:r>
      <w:r>
        <w:rPr/>
        <w:t>of</w:t>
      </w:r>
      <w:r>
        <w:rPr>
          <w:spacing w:val="-8"/>
        </w:rPr>
        <w:t> </w:t>
      </w:r>
      <w:r>
        <w:rPr/>
        <w:t>certain</w:t>
      </w:r>
      <w:r>
        <w:rPr>
          <w:spacing w:val="-6"/>
        </w:rPr>
        <w:t> </w:t>
      </w:r>
      <w:r>
        <w:rPr/>
        <w:t>items</w:t>
      </w:r>
      <w:r>
        <w:rPr>
          <w:spacing w:val="-6"/>
        </w:rPr>
        <w:t> </w:t>
      </w:r>
      <w:r>
        <w:rPr/>
        <w:t>under</w:t>
      </w:r>
      <w:r>
        <w:rPr>
          <w:spacing w:val="-7"/>
        </w:rPr>
        <w:t> </w:t>
      </w:r>
      <w:r>
        <w:rPr/>
        <w:t>financial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tax</w:t>
      </w:r>
      <w:r>
        <w:rPr>
          <w:spacing w:val="-7"/>
        </w:rPr>
        <w:t> </w:t>
      </w:r>
      <w:r>
        <w:rPr/>
        <w:t>accounting</w:t>
      </w:r>
      <w:r>
        <w:rPr>
          <w:spacing w:val="-6"/>
        </w:rPr>
        <w:t> </w:t>
      </w:r>
      <w:r>
        <w:rPr/>
        <w:t>(otherwise</w:t>
      </w:r>
      <w:r>
        <w:rPr>
          <w:spacing w:val="-6"/>
        </w:rPr>
        <w:t> </w:t>
      </w:r>
      <w:r>
        <w:rPr/>
        <w:t>known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temporary</w:t>
      </w:r>
      <w:r>
        <w:rPr>
          <w:spacing w:val="-7"/>
        </w:rPr>
        <w:t> </w:t>
      </w:r>
      <w:r>
        <w:rPr/>
        <w:t>difference).</w:t>
      </w:r>
    </w:p>
    <w:p>
      <w:pPr>
        <w:pStyle w:val="BodyText"/>
        <w:spacing w:line="480" w:lineRule="auto" w:before="200"/>
        <w:ind w:right="827"/>
      </w:pPr>
      <w:r>
        <w:rPr/>
        <w:t>Dyreng,</w:t>
      </w:r>
      <w:r>
        <w:rPr>
          <w:spacing w:val="-4"/>
        </w:rPr>
        <w:t> </w:t>
      </w:r>
      <w:r>
        <w:rPr/>
        <w:t>Hanlon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Maydew</w:t>
      </w:r>
      <w:r>
        <w:rPr>
          <w:spacing w:val="-4"/>
        </w:rPr>
        <w:t> </w:t>
      </w:r>
      <w:r>
        <w:rPr/>
        <w:t>(2008) argue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over</w:t>
      </w:r>
      <w:r>
        <w:rPr>
          <w:spacing w:val="-5"/>
        </w:rPr>
        <w:t> </w:t>
      </w:r>
      <w:r>
        <w:rPr/>
        <w:t>time,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volatility</w:t>
      </w:r>
      <w:r>
        <w:rPr>
          <w:spacing w:val="-4"/>
        </w:rPr>
        <w:t> </w:t>
      </w:r>
      <w:r>
        <w:rPr/>
        <w:t>will</w:t>
      </w:r>
      <w:r>
        <w:rPr>
          <w:spacing w:val="-3"/>
        </w:rPr>
        <w:t> </w:t>
      </w:r>
      <w:r>
        <w:rPr/>
        <w:t>disappear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tax</w:t>
      </w:r>
      <w:r>
        <w:rPr>
          <w:spacing w:val="-58"/>
        </w:rPr>
        <w:t> </w:t>
      </w:r>
      <w:r>
        <w:rPr/>
        <w:t>avoidance should be measured using multiple year data instead of annual data. Dyreng, et al.,</w:t>
      </w:r>
      <w:r>
        <w:rPr>
          <w:spacing w:val="1"/>
        </w:rPr>
        <w:t> </w:t>
      </w:r>
      <w:r>
        <w:rPr/>
        <w:t>(2008)</w:t>
      </w:r>
      <w:r>
        <w:rPr>
          <w:spacing w:val="-5"/>
        </w:rPr>
        <w:t> </w:t>
      </w:r>
      <w:r>
        <w:rPr/>
        <w:t>utilized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long-run</w:t>
      </w:r>
      <w:r>
        <w:rPr>
          <w:spacing w:val="-3"/>
        </w:rPr>
        <w:t> </w:t>
      </w:r>
      <w:r>
        <w:rPr/>
        <w:t>cash</w:t>
      </w:r>
      <w:r>
        <w:rPr>
          <w:spacing w:val="-4"/>
        </w:rPr>
        <w:t> </w:t>
      </w:r>
      <w:r>
        <w:rPr/>
        <w:t>ETR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estimate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/>
        <w:t>avoidance</w:t>
      </w:r>
      <w:r>
        <w:rPr>
          <w:spacing w:val="-1"/>
        </w:rPr>
        <w:t> </w:t>
      </w:r>
      <w:r>
        <w:rPr/>
        <w:t>effectively.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long-run</w:t>
      </w:r>
      <w:r>
        <w:rPr>
          <w:spacing w:val="-4"/>
        </w:rPr>
        <w:t> </w:t>
      </w:r>
      <w:r>
        <w:rPr/>
        <w:t>cash</w:t>
      </w:r>
      <w:r>
        <w:rPr>
          <w:spacing w:val="-58"/>
        </w:rPr>
        <w:t> </w:t>
      </w:r>
      <w:r>
        <w:rPr/>
        <w:t>ETR smooths variations in annual effective tax rates and is somewhat unaffected by upward</w:t>
      </w:r>
      <w:r>
        <w:rPr>
          <w:spacing w:val="1"/>
        </w:rPr>
        <w:t> </w:t>
      </w:r>
      <w:r>
        <w:rPr/>
        <w:t>earnings management (Hanlon &amp; Heitzman, 2010). Lisowsky (2010) has found that the long-</w:t>
      </w:r>
      <w:r>
        <w:rPr>
          <w:spacing w:val="1"/>
        </w:rPr>
        <w:t> </w:t>
      </w:r>
      <w:r>
        <w:rPr/>
        <w:t>run cash ∑ETR is not significantly associated with tax shelter use, supporting the notion that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cash</w:t>
      </w:r>
      <w:r>
        <w:rPr>
          <w:spacing w:val="-12"/>
        </w:rPr>
        <w:t> </w:t>
      </w:r>
      <w:r>
        <w:rPr/>
        <w:t>ETR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more</w:t>
      </w:r>
      <w:r>
        <w:rPr>
          <w:spacing w:val="-13"/>
        </w:rPr>
        <w:t> </w:t>
      </w:r>
      <w:r>
        <w:rPr/>
        <w:t>oriented</w:t>
      </w:r>
      <w:r>
        <w:rPr>
          <w:spacing w:val="-13"/>
        </w:rPr>
        <w:t> </w:t>
      </w:r>
      <w:r>
        <w:rPr/>
        <w:t>toward</w:t>
      </w:r>
      <w:r>
        <w:rPr>
          <w:spacing w:val="-13"/>
        </w:rPr>
        <w:t> </w:t>
      </w:r>
      <w:r>
        <w:rPr/>
        <w:t>measuring</w:t>
      </w:r>
      <w:r>
        <w:rPr>
          <w:spacing w:val="-12"/>
        </w:rPr>
        <w:t> </w:t>
      </w:r>
      <w:r>
        <w:rPr/>
        <w:t>general</w:t>
      </w:r>
      <w:r>
        <w:rPr>
          <w:spacing w:val="-12"/>
        </w:rPr>
        <w:t> </w:t>
      </w:r>
      <w:r>
        <w:rPr/>
        <w:t>tax</w:t>
      </w:r>
      <w:r>
        <w:rPr>
          <w:spacing w:val="-10"/>
        </w:rPr>
        <w:t> </w:t>
      </w:r>
      <w:r>
        <w:rPr/>
        <w:t>avoidance.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long-run</w:t>
      </w:r>
      <w:r>
        <w:rPr>
          <w:spacing w:val="-13"/>
        </w:rPr>
        <w:t> </w:t>
      </w:r>
      <w:r>
        <w:rPr/>
        <w:t>cash</w:t>
      </w:r>
      <w:r>
        <w:rPr>
          <w:spacing w:val="-12"/>
        </w:rPr>
        <w:t> </w:t>
      </w:r>
      <w:r>
        <w:rPr/>
        <w:t>ETR</w:t>
      </w:r>
      <w:r>
        <w:rPr>
          <w:spacing w:val="-57"/>
        </w:rPr>
        <w:t> </w:t>
      </w:r>
      <w:r>
        <w:rPr/>
        <w:t>is also accepted in the accounting literature as a credible method for identifying tax avoidance</w:t>
      </w:r>
      <w:r>
        <w:rPr>
          <w:spacing w:val="-57"/>
        </w:rPr>
        <w:t> </w:t>
      </w:r>
      <w:r>
        <w:rPr/>
        <w:t>(Ayers, et al., 2009; Blaylock, et al.,</w:t>
      </w:r>
      <w:r>
        <w:rPr>
          <w:spacing w:val="-1"/>
        </w:rPr>
        <w:t> </w:t>
      </w:r>
      <w:r>
        <w:rPr/>
        <w:t>2012; Rego &amp; Wilson, 2012).</w:t>
      </w:r>
    </w:p>
    <w:p>
      <w:pPr>
        <w:pStyle w:val="BodyText"/>
        <w:spacing w:before="202"/>
      </w:pPr>
      <w:r>
        <w:rPr>
          <w:position w:val="2"/>
        </w:rPr>
        <w:t>Cash</w:t>
      </w:r>
      <w:r>
        <w:rPr>
          <w:spacing w:val="-1"/>
          <w:position w:val="2"/>
        </w:rPr>
        <w:t> </w:t>
      </w:r>
      <w:r>
        <w:rPr>
          <w:position w:val="2"/>
        </w:rPr>
        <w:t>ETR</w:t>
      </w:r>
      <w:r>
        <w:rPr>
          <w:sz w:val="16"/>
        </w:rPr>
        <w:t>t-1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∑</w:t>
      </w:r>
      <w:r>
        <w:rPr>
          <w:sz w:val="16"/>
        </w:rPr>
        <w:t>t-5</w:t>
      </w:r>
      <w:r>
        <w:rPr>
          <w:position w:val="2"/>
        </w:rPr>
        <w:t>income</w:t>
      </w:r>
      <w:r>
        <w:rPr>
          <w:spacing w:val="-5"/>
          <w:position w:val="2"/>
        </w:rPr>
        <w:t> </w:t>
      </w:r>
      <w:r>
        <w:rPr>
          <w:position w:val="2"/>
        </w:rPr>
        <w:t>tax paid</w:t>
      </w:r>
      <w:r>
        <w:rPr>
          <w:spacing w:val="-1"/>
          <w:position w:val="2"/>
        </w:rPr>
        <w:t> </w:t>
      </w:r>
      <w:r>
        <w:rPr>
          <w:position w:val="2"/>
        </w:rPr>
        <w:t>(TXPD)</w:t>
      </w:r>
      <w:r>
        <w:rPr>
          <w:spacing w:val="-1"/>
          <w:position w:val="2"/>
        </w:rPr>
        <w:t> </w:t>
      </w:r>
      <w:r>
        <w:rPr>
          <w:position w:val="2"/>
        </w:rPr>
        <w:t>/</w:t>
      </w:r>
      <w:r>
        <w:rPr>
          <w:spacing w:val="-1"/>
          <w:position w:val="2"/>
        </w:rPr>
        <w:t> </w:t>
      </w:r>
      <w:r>
        <w:rPr>
          <w:position w:val="2"/>
        </w:rPr>
        <w:t>∑</w:t>
      </w:r>
      <w:r>
        <w:rPr>
          <w:sz w:val="16"/>
        </w:rPr>
        <w:t>t-5</w:t>
      </w:r>
      <w:r>
        <w:rPr>
          <w:spacing w:val="20"/>
          <w:sz w:val="16"/>
        </w:rPr>
        <w:t> </w:t>
      </w:r>
      <w:r>
        <w:rPr>
          <w:position w:val="2"/>
        </w:rPr>
        <w:t>[pretax income (PI)</w:t>
      </w:r>
      <w:r>
        <w:rPr>
          <w:spacing w:val="-2"/>
          <w:position w:val="2"/>
        </w:rPr>
        <w:t> </w:t>
      </w:r>
      <w:r>
        <w:rPr>
          <w:position w:val="2"/>
        </w:rPr>
        <w:t>–</w:t>
      </w:r>
      <w:r>
        <w:rPr>
          <w:spacing w:val="-1"/>
          <w:position w:val="2"/>
        </w:rPr>
        <w:t> </w:t>
      </w:r>
      <w:r>
        <w:rPr>
          <w:position w:val="2"/>
        </w:rPr>
        <w:t>special items</w:t>
      </w:r>
      <w:r>
        <w:rPr>
          <w:spacing w:val="-1"/>
          <w:position w:val="2"/>
        </w:rPr>
        <w:t> </w:t>
      </w:r>
      <w:r>
        <w:rPr>
          <w:position w:val="2"/>
        </w:rPr>
        <w:t>(SPI)]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480" w:lineRule="auto" w:before="174"/>
        <w:ind w:right="831"/>
      </w:pPr>
      <w:r>
        <w:rPr/>
        <w:t>Dyreng</w:t>
      </w:r>
      <w:r>
        <w:rPr>
          <w:spacing w:val="-4"/>
        </w:rPr>
        <w:t> </w:t>
      </w:r>
      <w:r>
        <w:rPr/>
        <w:t>et</w:t>
      </w:r>
      <w:r>
        <w:rPr>
          <w:spacing w:val="-5"/>
        </w:rPr>
        <w:t> </w:t>
      </w:r>
      <w:r>
        <w:rPr/>
        <w:t>al.</w:t>
      </w:r>
      <w:r>
        <w:rPr>
          <w:spacing w:val="-3"/>
        </w:rPr>
        <w:t> </w:t>
      </w:r>
      <w:r>
        <w:rPr/>
        <w:t>(2008)</w:t>
      </w:r>
      <w:r>
        <w:rPr>
          <w:spacing w:val="-4"/>
        </w:rPr>
        <w:t> </w:t>
      </w:r>
      <w:r>
        <w:rPr/>
        <w:t>argue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their</w:t>
      </w:r>
      <w:r>
        <w:rPr>
          <w:spacing w:val="-4"/>
        </w:rPr>
        <w:t> </w:t>
      </w:r>
      <w:r>
        <w:rPr/>
        <w:t>measure</w:t>
      </w:r>
      <w:r>
        <w:rPr>
          <w:spacing w:val="-5"/>
        </w:rPr>
        <w:t> </w:t>
      </w:r>
      <w:r>
        <w:rPr/>
        <w:t>remedies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two</w:t>
      </w:r>
      <w:r>
        <w:rPr>
          <w:spacing w:val="-3"/>
        </w:rPr>
        <w:t> </w:t>
      </w:r>
      <w:r>
        <w:rPr/>
        <w:t>shortcomings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ETR-based</w:t>
      </w:r>
      <w:r>
        <w:rPr>
          <w:spacing w:val="-57"/>
        </w:rPr>
        <w:t> </w:t>
      </w:r>
      <w:r>
        <w:rPr/>
        <w:t>tax</w:t>
      </w:r>
      <w:r>
        <w:rPr>
          <w:spacing w:val="12"/>
        </w:rPr>
        <w:t> </w:t>
      </w:r>
      <w:r>
        <w:rPr/>
        <w:t>aggressiveness</w:t>
      </w:r>
      <w:r>
        <w:rPr>
          <w:spacing w:val="14"/>
        </w:rPr>
        <w:t> </w:t>
      </w:r>
      <w:r>
        <w:rPr/>
        <w:t>measures.</w:t>
      </w:r>
      <w:r>
        <w:rPr>
          <w:spacing w:val="14"/>
        </w:rPr>
        <w:t> </w:t>
      </w:r>
      <w:r>
        <w:rPr/>
        <w:t>Although</w:t>
      </w:r>
      <w:r>
        <w:rPr>
          <w:spacing w:val="14"/>
        </w:rPr>
        <w:t> </w:t>
      </w:r>
      <w:r>
        <w:rPr/>
        <w:t>Dyreng</w:t>
      </w:r>
      <w:r>
        <w:rPr>
          <w:spacing w:val="14"/>
        </w:rPr>
        <w:t> </w:t>
      </w:r>
      <w:r>
        <w:rPr/>
        <w:t>et</w:t>
      </w:r>
      <w:r>
        <w:rPr>
          <w:spacing w:val="14"/>
        </w:rPr>
        <w:t> </w:t>
      </w:r>
      <w:r>
        <w:rPr/>
        <w:t>al.</w:t>
      </w:r>
      <w:r>
        <w:rPr>
          <w:spacing w:val="14"/>
        </w:rPr>
        <w:t> </w:t>
      </w:r>
      <w:r>
        <w:rPr/>
        <w:t>(2008)</w:t>
      </w:r>
      <w:r>
        <w:rPr>
          <w:spacing w:val="13"/>
        </w:rPr>
        <w:t> </w:t>
      </w:r>
      <w:r>
        <w:rPr/>
        <w:t>examine</w:t>
      </w:r>
      <w:r>
        <w:rPr>
          <w:spacing w:val="12"/>
        </w:rPr>
        <w:t> </w:t>
      </w:r>
      <w:r>
        <w:rPr/>
        <w:t>long-run</w:t>
      </w:r>
      <w:r>
        <w:rPr>
          <w:spacing w:val="13"/>
        </w:rPr>
        <w:t> </w:t>
      </w:r>
      <w:r>
        <w:rPr/>
        <w:t>tax</w:t>
      </w:r>
      <w:r>
        <w:rPr>
          <w:spacing w:val="13"/>
        </w:rPr>
        <w:t> </w:t>
      </w:r>
      <w:r>
        <w:rPr/>
        <w:t>avoidance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6"/>
      </w:pPr>
      <w:r>
        <w:rPr/>
        <w:t>(rather than aggressiveness), several subsequent studies of tax aggressiveness have employed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measure as a</w:t>
      </w:r>
      <w:r>
        <w:rPr>
          <w:spacing w:val="-2"/>
        </w:rPr>
        <w:t> </w:t>
      </w:r>
      <w:r>
        <w:rPr/>
        <w:t>proxy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tax aggressiveness</w:t>
      </w:r>
      <w:r>
        <w:rPr>
          <w:spacing w:val="-1"/>
        </w:rPr>
        <w:t> </w:t>
      </w:r>
      <w:r>
        <w:rPr/>
        <w:t>(</w:t>
      </w:r>
      <w:r>
        <w:rPr>
          <w:spacing w:val="1"/>
        </w:rPr>
        <w:t> </w:t>
      </w:r>
      <w:r>
        <w:rPr/>
        <w:t>Frischmann et</w:t>
      </w:r>
      <w:r>
        <w:rPr>
          <w:spacing w:val="-1"/>
        </w:rPr>
        <w:t> </w:t>
      </w:r>
      <w:r>
        <w:rPr/>
        <w:t>al., 2008).</w:t>
      </w: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202" w:after="0"/>
        <w:ind w:left="1542" w:right="0" w:hanging="720"/>
        <w:jc w:val="both"/>
      </w:pPr>
      <w:bookmarkStart w:name="_bookmark42" w:id="71"/>
      <w:bookmarkEnd w:id="71"/>
      <w:r>
        <w:rPr>
          <w:b w:val="0"/>
        </w:rPr>
      </w:r>
      <w:bookmarkStart w:name="_bookmark42" w:id="72"/>
      <w:bookmarkEnd w:id="72"/>
      <w:r>
        <w:rPr/>
        <w:t>Cash</w:t>
      </w:r>
      <w:r>
        <w:rPr>
          <w:spacing w:val="-1"/>
        </w:rPr>
        <w:t> </w:t>
      </w:r>
      <w:r>
        <w:rPr/>
        <w:t>ETR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0"/>
      </w:pPr>
      <w:r>
        <w:rPr/>
        <w:drawing>
          <wp:anchor distT="0" distB="0" distL="0" distR="0" allowOverlap="1" layoutInCell="1" locked="0" behindDoc="1" simplePos="0" relativeHeight="454024192">
            <wp:simplePos x="0" y="0"/>
            <wp:positionH relativeFrom="page">
              <wp:posOffset>1261605</wp:posOffset>
            </wp:positionH>
            <wp:positionV relativeFrom="paragraph">
              <wp:posOffset>558712</wp:posOffset>
            </wp:positionV>
            <wp:extent cx="5133225" cy="5265293"/>
            <wp:effectExtent l="0" t="0" r="0" b="0"/>
            <wp:wrapNone/>
            <wp:docPr id="12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Cash ETR is another recently developed proxy that researchers use to measure tax avoidance</w:t>
      </w:r>
      <w:r>
        <w:rPr>
          <w:spacing w:val="1"/>
        </w:rPr>
        <w:t> </w:t>
      </w:r>
      <w:r>
        <w:rPr/>
        <w:t>(Dyreng et al, 2008; 2010). Like ETR, Cash ETR is a tax rate estimate based on financial</w:t>
      </w:r>
      <w:r>
        <w:rPr>
          <w:spacing w:val="1"/>
        </w:rPr>
        <w:t> </w:t>
      </w:r>
      <w:r>
        <w:rPr/>
        <w:t>statement information. However, Cash ETR includes taxes paid in the numerator and pre-tax</w:t>
      </w:r>
      <w:r>
        <w:rPr>
          <w:spacing w:val="1"/>
        </w:rPr>
        <w:t> </w:t>
      </w:r>
      <w:r>
        <w:rPr/>
        <w:t>income</w:t>
      </w:r>
      <w:r>
        <w:rPr>
          <w:spacing w:val="-5"/>
        </w:rPr>
        <w:t> </w:t>
      </w:r>
      <w:r>
        <w:rPr/>
        <w:t>adjusted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extraordinary</w:t>
      </w:r>
      <w:r>
        <w:rPr>
          <w:spacing w:val="-5"/>
        </w:rPr>
        <w:t> </w:t>
      </w:r>
      <w:r>
        <w:rPr/>
        <w:t>items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discontinued</w:t>
      </w:r>
      <w:r>
        <w:rPr>
          <w:spacing w:val="-4"/>
        </w:rPr>
        <w:t> </w:t>
      </w:r>
      <w:r>
        <w:rPr/>
        <w:t>operations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denominator.</w:t>
      </w:r>
      <w:r>
        <w:rPr>
          <w:spacing w:val="-4"/>
        </w:rPr>
        <w:t> </w:t>
      </w:r>
      <w:r>
        <w:rPr/>
        <w:t>More</w:t>
      </w:r>
      <w:r>
        <w:rPr>
          <w:spacing w:val="-58"/>
        </w:rPr>
        <w:t> </w:t>
      </w:r>
      <w:r>
        <w:rPr/>
        <w:t>importantly,</w:t>
      </w:r>
      <w:r>
        <w:rPr>
          <w:spacing w:val="-8"/>
        </w:rPr>
        <w:t> </w:t>
      </w:r>
      <w:r>
        <w:rPr>
          <w:i/>
        </w:rPr>
        <w:t>Cash</w:t>
      </w:r>
      <w:r>
        <w:rPr>
          <w:i/>
          <w:spacing w:val="-7"/>
        </w:rPr>
        <w:t> </w:t>
      </w:r>
      <w:r>
        <w:rPr>
          <w:i/>
        </w:rPr>
        <w:t>ETR</w:t>
      </w:r>
      <w:r>
        <w:rPr>
          <w:i/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meant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/>
        <w:t>average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values</w:t>
      </w:r>
      <w:r>
        <w:rPr>
          <w:spacing w:val="-8"/>
        </w:rPr>
        <w:t> </w:t>
      </w:r>
      <w:r>
        <w:rPr/>
        <w:t>over</w:t>
      </w:r>
      <w:r>
        <w:rPr>
          <w:spacing w:val="-8"/>
        </w:rPr>
        <w:t> </w:t>
      </w:r>
      <w:r>
        <w:rPr/>
        <w:t>several</w:t>
      </w:r>
      <w:r>
        <w:rPr>
          <w:spacing w:val="-8"/>
        </w:rPr>
        <w:t> </w:t>
      </w:r>
      <w:r>
        <w:rPr/>
        <w:t>periods</w:t>
      </w:r>
      <w:r>
        <w:rPr>
          <w:spacing w:val="-7"/>
        </w:rPr>
        <w:t> </w:t>
      </w:r>
      <w:r>
        <w:rPr/>
        <w:t>so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smooth</w:t>
      </w:r>
      <w:r>
        <w:rPr>
          <w:spacing w:val="-57"/>
        </w:rPr>
        <w:t> </w:t>
      </w:r>
      <w:r>
        <w:rPr/>
        <w:t>out the measurement error resulting from timing differences in installments, refunds, tax</w:t>
      </w:r>
      <w:r>
        <w:rPr>
          <w:spacing w:val="1"/>
        </w:rPr>
        <w:t> </w:t>
      </w:r>
      <w:r>
        <w:rPr/>
        <w:t>settlements,</w:t>
      </w:r>
      <w:r>
        <w:rPr>
          <w:spacing w:val="-1"/>
        </w:rPr>
        <w:t> </w:t>
      </w:r>
      <w:r>
        <w:rPr/>
        <w:t>etc.</w:t>
      </w: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200" w:after="0"/>
        <w:ind w:left="1542" w:right="0" w:hanging="720"/>
        <w:jc w:val="both"/>
      </w:pPr>
      <w:bookmarkStart w:name="_bookmark43" w:id="73"/>
      <w:bookmarkEnd w:id="73"/>
      <w:r>
        <w:rPr>
          <w:b w:val="0"/>
        </w:rPr>
      </w:r>
      <w:bookmarkStart w:name="_bookmark43" w:id="74"/>
      <w:bookmarkEnd w:id="74"/>
      <w:r>
        <w:rPr/>
        <w:t>Cur</w:t>
      </w:r>
      <w:r>
        <w:rPr/>
        <w:t>rent</w:t>
      </w:r>
      <w:r>
        <w:rPr>
          <w:spacing w:val="-4"/>
        </w:rPr>
        <w:t> </w:t>
      </w:r>
      <w:r>
        <w:rPr/>
        <w:t>ETR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8"/>
      </w:pPr>
      <w:r>
        <w:rPr/>
        <w:t>The cash ETR is the initial choice to identify firm years with a relatively high amount of tax</w:t>
      </w:r>
      <w:r>
        <w:rPr>
          <w:spacing w:val="1"/>
        </w:rPr>
        <w:t> </w:t>
      </w:r>
      <w:r>
        <w:rPr/>
        <w:t>avoidance.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cash</w:t>
      </w:r>
      <w:r>
        <w:rPr>
          <w:spacing w:val="-13"/>
        </w:rPr>
        <w:t> </w:t>
      </w:r>
      <w:r>
        <w:rPr/>
        <w:t>ETR</w:t>
      </w:r>
      <w:r>
        <w:rPr>
          <w:spacing w:val="-11"/>
        </w:rPr>
        <w:t> </w:t>
      </w:r>
      <w:r>
        <w:rPr/>
        <w:t>approximates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firm’s</w:t>
      </w:r>
      <w:r>
        <w:rPr>
          <w:spacing w:val="-13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maintain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relatively</w:t>
      </w:r>
      <w:r>
        <w:rPr>
          <w:spacing w:val="-13"/>
        </w:rPr>
        <w:t> </w:t>
      </w:r>
      <w:r>
        <w:rPr/>
        <w:t>low</w:t>
      </w:r>
      <w:r>
        <w:rPr>
          <w:spacing w:val="-12"/>
        </w:rPr>
        <w:t> </w:t>
      </w:r>
      <w:r>
        <w:rPr/>
        <w:t>tax</w:t>
      </w:r>
      <w:r>
        <w:rPr>
          <w:spacing w:val="-14"/>
        </w:rPr>
        <w:t> </w:t>
      </w:r>
      <w:r>
        <w:rPr/>
        <w:t>payment</w:t>
      </w:r>
      <w:r>
        <w:rPr>
          <w:spacing w:val="-58"/>
        </w:rPr>
        <w:t> </w:t>
      </w:r>
      <w:r>
        <w:rPr/>
        <w:t>rate and is accepted in literature as a reasonable measure of tax avoidance (Ayers, Jiang, &amp;</w:t>
      </w:r>
      <w:r>
        <w:rPr>
          <w:spacing w:val="1"/>
        </w:rPr>
        <w:t> </w:t>
      </w:r>
      <w:r>
        <w:rPr/>
        <w:t>Laplante 2009;</w:t>
      </w:r>
      <w:r>
        <w:rPr>
          <w:spacing w:val="1"/>
        </w:rPr>
        <w:t> </w:t>
      </w:r>
      <w:r>
        <w:rPr/>
        <w:t>Blaylock,</w:t>
      </w:r>
      <w:r>
        <w:rPr>
          <w:spacing w:val="1"/>
        </w:rPr>
        <w:t> </w:t>
      </w:r>
      <w:r>
        <w:rPr/>
        <w:t>Shevlin,</w:t>
      </w:r>
      <w:r>
        <w:rPr>
          <w:spacing w:val="1"/>
        </w:rPr>
        <w:t> </w:t>
      </w:r>
      <w:r>
        <w:rPr/>
        <w:t>&amp; Wilson, 2012;</w:t>
      </w:r>
      <w:r>
        <w:rPr>
          <w:spacing w:val="1"/>
        </w:rPr>
        <w:t> </w:t>
      </w:r>
      <w:r>
        <w:rPr/>
        <w:t>Rego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Wilson, 2012).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robustness of the influence of tax avoidance, there are other alternative methods (Hanlon &amp;</w:t>
      </w:r>
      <w:r>
        <w:rPr>
          <w:spacing w:val="1"/>
        </w:rPr>
        <w:t> </w:t>
      </w:r>
      <w:r>
        <w:rPr/>
        <w:t>Heitzman,</w:t>
      </w:r>
      <w:r>
        <w:rPr>
          <w:spacing w:val="-9"/>
        </w:rPr>
        <w:t> </w:t>
      </w:r>
      <w:r>
        <w:rPr/>
        <w:t>2010).</w:t>
      </w:r>
      <w:r>
        <w:rPr>
          <w:spacing w:val="-9"/>
        </w:rPr>
        <w:t> </w:t>
      </w:r>
      <w:r>
        <w:rPr/>
        <w:t>One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such</w:t>
      </w:r>
      <w:r>
        <w:rPr>
          <w:spacing w:val="-9"/>
        </w:rPr>
        <w:t> </w:t>
      </w:r>
      <w:r>
        <w:rPr/>
        <w:t>alternative</w:t>
      </w:r>
      <w:r>
        <w:rPr>
          <w:spacing w:val="-10"/>
        </w:rPr>
        <w:t> </w:t>
      </w:r>
      <w:r>
        <w:rPr/>
        <w:t>methods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current</w:t>
      </w:r>
      <w:r>
        <w:rPr>
          <w:spacing w:val="-8"/>
        </w:rPr>
        <w:t> </w:t>
      </w:r>
      <w:r>
        <w:rPr/>
        <w:t>effective</w:t>
      </w:r>
      <w:r>
        <w:rPr>
          <w:spacing w:val="-10"/>
        </w:rPr>
        <w:t> </w:t>
      </w:r>
      <w:r>
        <w:rPr/>
        <w:t>tax</w:t>
      </w:r>
      <w:r>
        <w:rPr>
          <w:spacing w:val="-9"/>
        </w:rPr>
        <w:t> </w:t>
      </w:r>
      <w:r>
        <w:rPr/>
        <w:t>rate</w:t>
      </w:r>
      <w:r>
        <w:rPr>
          <w:spacing w:val="-8"/>
        </w:rPr>
        <w:t> </w:t>
      </w:r>
      <w:r>
        <w:rPr/>
        <w:t>(Ayers,</w:t>
      </w:r>
      <w:r>
        <w:rPr>
          <w:spacing w:val="-9"/>
        </w:rPr>
        <w:t> </w:t>
      </w:r>
      <w:r>
        <w:rPr/>
        <w:t>et</w:t>
      </w:r>
      <w:r>
        <w:rPr>
          <w:spacing w:val="-8"/>
        </w:rPr>
        <w:t> </w:t>
      </w:r>
      <w:r>
        <w:rPr/>
        <w:t>al.,</w:t>
      </w:r>
      <w:r>
        <w:rPr>
          <w:spacing w:val="-58"/>
        </w:rPr>
        <w:t> </w:t>
      </w:r>
      <w:r>
        <w:rPr/>
        <w:t>2009). Slightly different from accounting ETR, current ETR is calculated as the current-year</w:t>
      </w:r>
      <w:r>
        <w:rPr>
          <w:spacing w:val="1"/>
        </w:rPr>
        <w:t> </w:t>
      </w:r>
      <w:r>
        <w:rPr/>
        <w:t>tax expense to the total accounting income before tax. It reflects the tax deferral strategies of a</w:t>
      </w:r>
      <w:r>
        <w:rPr>
          <w:spacing w:val="-57"/>
        </w:rPr>
        <w:t> </w:t>
      </w:r>
      <w:r>
        <w:rPr/>
        <w:t>firm by using the current income tax as against the total tax expense, hence, its advantage over</w:t>
      </w:r>
      <w:r>
        <w:rPr>
          <w:spacing w:val="-57"/>
        </w:rPr>
        <w:t> </w:t>
      </w:r>
      <w:r>
        <w:rPr/>
        <w:t>the accounting ETR (Salihu, Obid, &amp; Annuar, 2014). According to Ayers, et al. (2009) the</w:t>
      </w:r>
      <w:r>
        <w:rPr>
          <w:spacing w:val="1"/>
        </w:rPr>
        <w:t> </w:t>
      </w:r>
      <w:r>
        <w:rPr/>
        <w:t>current</w:t>
      </w:r>
      <w:r>
        <w:rPr>
          <w:spacing w:val="-6"/>
        </w:rPr>
        <w:t> </w:t>
      </w:r>
      <w:r>
        <w:rPr/>
        <w:t>ETR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calculated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cumulative</w:t>
      </w:r>
      <w:r>
        <w:rPr>
          <w:spacing w:val="-7"/>
        </w:rPr>
        <w:t> </w:t>
      </w:r>
      <w:r>
        <w:rPr/>
        <w:t>current</w:t>
      </w:r>
      <w:r>
        <w:rPr>
          <w:spacing w:val="-6"/>
        </w:rPr>
        <w:t> </w:t>
      </w:r>
      <w:r>
        <w:rPr/>
        <w:t>tax</w:t>
      </w:r>
      <w:r>
        <w:rPr>
          <w:spacing w:val="-6"/>
        </w:rPr>
        <w:t> </w:t>
      </w:r>
      <w:r>
        <w:rPr/>
        <w:t>expense</w:t>
      </w:r>
      <w:r>
        <w:rPr>
          <w:spacing w:val="-7"/>
        </w:rPr>
        <w:t> </w:t>
      </w:r>
      <w:r>
        <w:rPr/>
        <w:t>(income</w:t>
      </w:r>
      <w:r>
        <w:rPr>
          <w:spacing w:val="-7"/>
        </w:rPr>
        <w:t> </w:t>
      </w:r>
      <w:r>
        <w:rPr/>
        <w:t>statement)</w:t>
      </w:r>
      <w:r>
        <w:rPr>
          <w:spacing w:val="-7"/>
        </w:rPr>
        <w:t> </w:t>
      </w:r>
      <w:r>
        <w:rPr/>
        <w:t>net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deferred</w:t>
      </w:r>
      <w:r>
        <w:rPr>
          <w:spacing w:val="-58"/>
        </w:rPr>
        <w:t> </w:t>
      </w:r>
      <w:r>
        <w:rPr/>
        <w:t>tax</w:t>
      </w:r>
      <w:r>
        <w:rPr>
          <w:spacing w:val="-12"/>
        </w:rPr>
        <w:t> </w:t>
      </w:r>
      <w:r>
        <w:rPr/>
        <w:t>expense</w:t>
      </w:r>
      <w:r>
        <w:rPr>
          <w:spacing w:val="-11"/>
        </w:rPr>
        <w:t> </w:t>
      </w:r>
      <w:r>
        <w:rPr/>
        <w:t>for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five</w:t>
      </w:r>
      <w:r>
        <w:rPr>
          <w:spacing w:val="-12"/>
        </w:rPr>
        <w:t> </w:t>
      </w:r>
      <w:r>
        <w:rPr/>
        <w:t>year</w:t>
      </w:r>
      <w:r>
        <w:rPr>
          <w:spacing w:val="-11"/>
        </w:rPr>
        <w:t> </w:t>
      </w:r>
      <w:r>
        <w:rPr/>
        <w:t>period</w:t>
      </w:r>
      <w:r>
        <w:rPr>
          <w:spacing w:val="-11"/>
        </w:rPr>
        <w:t> </w:t>
      </w:r>
      <w:r>
        <w:rPr/>
        <w:t>divided</w:t>
      </w:r>
      <w:r>
        <w:rPr>
          <w:spacing w:val="-10"/>
        </w:rPr>
        <w:t> </w:t>
      </w:r>
      <w:r>
        <w:rPr/>
        <w:t>by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sum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pretax</w:t>
      </w:r>
      <w:r>
        <w:rPr>
          <w:spacing w:val="-11"/>
        </w:rPr>
        <w:t> </w:t>
      </w:r>
      <w:r>
        <w:rPr/>
        <w:t>book</w:t>
      </w:r>
      <w:r>
        <w:rPr>
          <w:spacing w:val="-11"/>
        </w:rPr>
        <w:t> </w:t>
      </w:r>
      <w:r>
        <w:rPr/>
        <w:t>income</w:t>
      </w:r>
      <w:r>
        <w:rPr>
          <w:spacing w:val="-9"/>
        </w:rPr>
        <w:t> </w:t>
      </w:r>
      <w:r>
        <w:rPr/>
        <w:t>net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special</w:t>
      </w:r>
      <w:r>
        <w:rPr>
          <w:spacing w:val="-10"/>
        </w:rPr>
        <w:t> </w:t>
      </w:r>
      <w:r>
        <w:rPr/>
        <w:t>items</w:t>
      </w:r>
      <w:r>
        <w:rPr>
          <w:spacing w:val="-58"/>
        </w:rPr>
        <w:t> </w:t>
      </w:r>
      <w:r>
        <w:rPr/>
        <w:t>over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same period: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77" w:lineRule="auto" w:before="76"/>
        <w:ind w:right="830"/>
      </w:pPr>
      <w:r>
        <w:rPr>
          <w:position w:val="2"/>
        </w:rPr>
        <w:t>Current ETR</w:t>
      </w:r>
      <w:r>
        <w:rPr>
          <w:sz w:val="16"/>
        </w:rPr>
        <w:t>t-1</w:t>
      </w:r>
      <w:r>
        <w:rPr>
          <w:spacing w:val="1"/>
          <w:sz w:val="16"/>
        </w:rPr>
        <w:t> </w:t>
      </w:r>
      <w:r>
        <w:rPr>
          <w:position w:val="2"/>
        </w:rPr>
        <w:t>= ∑</w:t>
      </w:r>
      <w:r>
        <w:rPr>
          <w:sz w:val="16"/>
        </w:rPr>
        <w:t>t-5</w:t>
      </w:r>
      <w:r>
        <w:rPr>
          <w:position w:val="2"/>
        </w:rPr>
        <w:t>[total tax expense (TXT) – deferred tax expense (TXDI)] / ∑</w:t>
      </w:r>
      <w:r>
        <w:rPr>
          <w:sz w:val="16"/>
        </w:rPr>
        <w:t>t-5</w:t>
      </w:r>
      <w:r>
        <w:rPr>
          <w:position w:val="2"/>
        </w:rPr>
        <w:t>[pretax</w:t>
      </w:r>
      <w:r>
        <w:rPr>
          <w:spacing w:val="1"/>
          <w:position w:val="2"/>
        </w:rPr>
        <w:t> </w:t>
      </w:r>
      <w:r>
        <w:rPr/>
        <w:t>income</w:t>
      </w:r>
      <w:r>
        <w:rPr>
          <w:spacing w:val="-2"/>
        </w:rPr>
        <w:t> </w:t>
      </w:r>
      <w:r>
        <w:rPr/>
        <w:t>(PI)</w:t>
      </w:r>
      <w:r>
        <w:rPr>
          <w:spacing w:val="-1"/>
        </w:rPr>
        <w:t> </w:t>
      </w:r>
      <w:r>
        <w:rPr/>
        <w:t>– special items (SPI)]</w:t>
      </w:r>
    </w:p>
    <w:p>
      <w:pPr>
        <w:pStyle w:val="BodyText"/>
        <w:spacing w:line="480" w:lineRule="auto" w:before="206"/>
        <w:ind w:right="830"/>
      </w:pPr>
      <w:r>
        <w:rPr/>
        <w:drawing>
          <wp:anchor distT="0" distB="0" distL="0" distR="0" allowOverlap="1" layoutInCell="1" locked="0" behindDoc="1" simplePos="0" relativeHeight="454024704">
            <wp:simplePos x="0" y="0"/>
            <wp:positionH relativeFrom="page">
              <wp:posOffset>1261605</wp:posOffset>
            </wp:positionH>
            <wp:positionV relativeFrom="paragraph">
              <wp:posOffset>1079666</wp:posOffset>
            </wp:positionV>
            <wp:extent cx="5133225" cy="5265293"/>
            <wp:effectExtent l="0" t="0" r="0" b="0"/>
            <wp:wrapNone/>
            <wp:docPr id="12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Although,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ETR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firms’</w:t>
      </w:r>
      <w:r>
        <w:rPr>
          <w:spacing w:val="1"/>
        </w:rPr>
        <w:t> </w:t>
      </w:r>
      <w:r>
        <w:rPr/>
        <w:t>deferral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</w:t>
      </w:r>
      <w:r>
        <w:rPr>
          <w:spacing w:val="-58"/>
        </w:rPr>
        <w:t> </w:t>
      </w:r>
      <w:r>
        <w:rPr/>
        <w:t>conforming type of tax avoidance. Also, both accounting and current ETR suffer the problem</w:t>
      </w:r>
      <w:r>
        <w:rPr>
          <w:spacing w:val="1"/>
        </w:rPr>
        <w:t> </w:t>
      </w:r>
      <w:r>
        <w:rPr/>
        <w:t>year-to-year volatility and cannot reveal long-term tax avoidance. An alternative to these two</w:t>
      </w:r>
      <w:r>
        <w:rPr>
          <w:spacing w:val="1"/>
        </w:rPr>
        <w:t> </w:t>
      </w:r>
      <w:r>
        <w:rPr/>
        <w:t>measures,</w:t>
      </w:r>
      <w:r>
        <w:rPr>
          <w:spacing w:val="-1"/>
        </w:rPr>
        <w:t> </w:t>
      </w:r>
      <w:r>
        <w:rPr/>
        <w:t>found in the literature, 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long-run cash ETR (Salihu,</w:t>
      </w:r>
      <w:r>
        <w:rPr>
          <w:spacing w:val="-1"/>
        </w:rPr>
        <w:t> </w:t>
      </w:r>
      <w:r>
        <w:rPr/>
        <w:t>et al., 2014).</w:t>
      </w: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200" w:after="0"/>
        <w:ind w:left="1542" w:right="0" w:hanging="720"/>
        <w:jc w:val="both"/>
      </w:pPr>
      <w:bookmarkStart w:name="_bookmark44" w:id="75"/>
      <w:bookmarkEnd w:id="75"/>
      <w:r>
        <w:rPr>
          <w:b w:val="0"/>
        </w:rPr>
      </w:r>
      <w:bookmarkStart w:name="_bookmark44" w:id="76"/>
      <w:bookmarkEnd w:id="76"/>
      <w:r>
        <w:rPr/>
        <w:t>Dis</w:t>
      </w:r>
      <w:r>
        <w:rPr/>
        <w:t>cretionary</w:t>
      </w:r>
      <w:r>
        <w:rPr>
          <w:spacing w:val="-3"/>
        </w:rPr>
        <w:t> </w:t>
      </w:r>
      <w:r>
        <w:rPr/>
        <w:t>Permanent</w:t>
      </w:r>
      <w:r>
        <w:rPr>
          <w:spacing w:val="-2"/>
        </w:rPr>
        <w:t> </w:t>
      </w:r>
      <w:r>
        <w:rPr/>
        <w:t>Book-Tax</w:t>
      </w:r>
      <w:r>
        <w:rPr>
          <w:spacing w:val="-2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(DTAX)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8"/>
      </w:pPr>
      <w:r>
        <w:rPr/>
        <w:t>DTAX is ETR differential measure of tax avoidance. While ETR differential is the difference</w:t>
      </w:r>
      <w:r>
        <w:rPr>
          <w:spacing w:val="1"/>
        </w:rPr>
        <w:t> </w:t>
      </w:r>
      <w:r>
        <w:rPr/>
        <w:t>between</w:t>
      </w:r>
      <w:r>
        <w:rPr>
          <w:spacing w:val="-2"/>
        </w:rPr>
        <w:t> </w:t>
      </w:r>
      <w:r>
        <w:rPr/>
        <w:t>statutory</w:t>
      </w:r>
      <w:r>
        <w:rPr>
          <w:spacing w:val="-1"/>
        </w:rPr>
        <w:t> </w:t>
      </w:r>
      <w:r>
        <w:rPr/>
        <w:t>company</w:t>
      </w:r>
      <w:r>
        <w:rPr>
          <w:spacing w:val="-1"/>
        </w:rPr>
        <w:t> </w:t>
      </w:r>
      <w:r>
        <w:rPr/>
        <w:t>income</w:t>
      </w:r>
      <w:r>
        <w:rPr>
          <w:spacing w:val="-2"/>
        </w:rPr>
        <w:t> </w:t>
      </w:r>
      <w:r>
        <w:rPr/>
        <w:t>tax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firm’s</w:t>
      </w:r>
      <w:r>
        <w:rPr>
          <w:spacing w:val="-1"/>
        </w:rPr>
        <w:t> </w:t>
      </w:r>
      <w:r>
        <w:rPr/>
        <w:t>ETR,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unexplained</w:t>
      </w:r>
      <w:r>
        <w:rPr>
          <w:spacing w:val="-1"/>
        </w:rPr>
        <w:t> </w:t>
      </w:r>
      <w:r>
        <w:rPr/>
        <w:t>portion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ETR</w:t>
      </w:r>
      <w:r>
        <w:rPr>
          <w:spacing w:val="-58"/>
        </w:rPr>
        <w:t> </w:t>
      </w:r>
      <w:r>
        <w:rPr/>
        <w:t>differential is captured in its differentiation developed by Frank et al, (2009). It was developed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discretionary</w:t>
      </w:r>
      <w:r>
        <w:rPr>
          <w:spacing w:val="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(PERMDIFF).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U.S.</w:t>
      </w:r>
      <w:r>
        <w:rPr>
          <w:spacing w:val="1"/>
        </w:rPr>
        <w:t> </w:t>
      </w:r>
      <w:r>
        <w:rPr/>
        <w:t>Congress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Committee on Taxation (1999), Weisbach (2002), and Shevlin (2002) describe the ideal tax</w:t>
      </w:r>
      <w:r>
        <w:rPr>
          <w:spacing w:val="1"/>
        </w:rPr>
        <w:t> </w:t>
      </w:r>
      <w:r>
        <w:rPr/>
        <w:t>shelter as creating permanent, rather than temporary, book-tax differences. Frank et al, (2009)</w:t>
      </w:r>
      <w:r>
        <w:rPr>
          <w:spacing w:val="1"/>
        </w:rPr>
        <w:t> </w:t>
      </w:r>
      <w:r>
        <w:rPr/>
        <w:t>adjust</w:t>
      </w:r>
      <w:r>
        <w:rPr>
          <w:spacing w:val="-9"/>
        </w:rPr>
        <w:t> </w:t>
      </w:r>
      <w:r>
        <w:rPr/>
        <w:t>permanent</w:t>
      </w:r>
      <w:r>
        <w:rPr>
          <w:spacing w:val="-9"/>
        </w:rPr>
        <w:t> </w:t>
      </w:r>
      <w:r>
        <w:rPr/>
        <w:t>differences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reflect</w:t>
      </w:r>
      <w:r>
        <w:rPr>
          <w:spacing w:val="-8"/>
        </w:rPr>
        <w:t> </w:t>
      </w:r>
      <w:r>
        <w:rPr/>
        <w:t>only</w:t>
      </w:r>
      <w:r>
        <w:rPr>
          <w:spacing w:val="-9"/>
        </w:rPr>
        <w:t> </w:t>
      </w:r>
      <w:r>
        <w:rPr/>
        <w:t>those</w:t>
      </w:r>
      <w:r>
        <w:rPr>
          <w:spacing w:val="-10"/>
        </w:rPr>
        <w:t> </w:t>
      </w:r>
      <w:r>
        <w:rPr/>
        <w:t>differences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reflect</w:t>
      </w:r>
      <w:r>
        <w:rPr>
          <w:spacing w:val="-9"/>
        </w:rPr>
        <w:t> </w:t>
      </w:r>
      <w:r>
        <w:rPr/>
        <w:t>managerial</w:t>
      </w:r>
      <w:r>
        <w:rPr>
          <w:spacing w:val="-9"/>
        </w:rPr>
        <w:t> </w:t>
      </w:r>
      <w:r>
        <w:rPr/>
        <w:t>discretion.</w:t>
      </w:r>
      <w:r>
        <w:rPr>
          <w:spacing w:val="-57"/>
        </w:rPr>
        <w:t> </w:t>
      </w:r>
      <w:r>
        <w:rPr/>
        <w:t>This measure is also subject to several limitations. </w:t>
      </w:r>
      <w:r>
        <w:rPr>
          <w:i/>
        </w:rPr>
        <w:t>DTAX </w:t>
      </w:r>
      <w:r>
        <w:rPr/>
        <w:t>excludes tax strategies that defer</w:t>
      </w:r>
      <w:r>
        <w:rPr>
          <w:spacing w:val="1"/>
        </w:rPr>
        <w:t> </w:t>
      </w:r>
      <w:r>
        <w:rPr/>
        <w:t>income recognition or accelerate expense recognition for tax relative to book purposes (that</w:t>
      </w:r>
      <w:r>
        <w:rPr>
          <w:spacing w:val="1"/>
        </w:rPr>
        <w:t> </w:t>
      </w:r>
      <w:r>
        <w:rPr/>
        <w:t>create temporary book-tax differences). And similar to discretionary accrual models, </w:t>
      </w:r>
      <w:r>
        <w:rPr>
          <w:i/>
        </w:rPr>
        <w:t>DTAX</w:t>
      </w:r>
      <w:r>
        <w:rPr>
          <w:i/>
          <w:spacing w:val="1"/>
        </w:rPr>
        <w:t> </w:t>
      </w:r>
      <w:r>
        <w:rPr/>
        <w:t>attempts to model ‘normal’ and ‘abnormal’ behavior for a firm, and thus is subject to many of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4"/>
        </w:rPr>
        <w:t> </w:t>
      </w:r>
      <w:r>
        <w:rPr/>
        <w:t>criticisms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discretionary</w:t>
      </w:r>
      <w:r>
        <w:rPr>
          <w:spacing w:val="-1"/>
        </w:rPr>
        <w:t> </w:t>
      </w:r>
      <w:r>
        <w:rPr/>
        <w:t>accrual</w:t>
      </w:r>
      <w:r>
        <w:rPr>
          <w:spacing w:val="-3"/>
        </w:rPr>
        <w:t> </w:t>
      </w:r>
      <w:r>
        <w:rPr/>
        <w:t>models.</w:t>
      </w:r>
      <w:r>
        <w:rPr>
          <w:spacing w:val="-4"/>
        </w:rPr>
        <w:t> </w:t>
      </w:r>
      <w:r>
        <w:rPr/>
        <w:t>Nonetheless,</w:t>
      </w:r>
      <w:r>
        <w:rPr>
          <w:spacing w:val="-3"/>
        </w:rPr>
        <w:t> </w:t>
      </w:r>
      <w:r>
        <w:rPr/>
        <w:t>Frank</w:t>
      </w:r>
      <w:r>
        <w:rPr>
          <w:spacing w:val="-4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3"/>
        </w:rPr>
        <w:t> </w:t>
      </w:r>
      <w:r>
        <w:rPr/>
        <w:t>(2009)</w:t>
      </w:r>
      <w:r>
        <w:rPr>
          <w:spacing w:val="-5"/>
        </w:rPr>
        <w:t> </w:t>
      </w:r>
      <w:r>
        <w:rPr/>
        <w:t>show</w:t>
      </w:r>
      <w:r>
        <w:rPr>
          <w:spacing w:val="-4"/>
        </w:rPr>
        <w:t> </w:t>
      </w:r>
      <w:r>
        <w:rPr/>
        <w:t>that</w:t>
      </w:r>
      <w:r>
        <w:rPr>
          <w:spacing w:val="-58"/>
        </w:rPr>
        <w:t> </w:t>
      </w:r>
      <w:r>
        <w:rPr/>
        <w:t>both</w:t>
      </w:r>
      <w:r>
        <w:rPr>
          <w:spacing w:val="-1"/>
        </w:rPr>
        <w:t> </w:t>
      </w:r>
      <w:r>
        <w:rPr>
          <w:i/>
        </w:rPr>
        <w:t>DTAX </w:t>
      </w:r>
      <w:r>
        <w:rPr/>
        <w:t>and </w:t>
      </w:r>
      <w:r>
        <w:rPr>
          <w:i/>
        </w:rPr>
        <w:t>BTD </w:t>
      </w:r>
      <w:r>
        <w:rPr/>
        <w:t>are associated</w:t>
      </w:r>
      <w:r>
        <w:rPr>
          <w:spacing w:val="-1"/>
        </w:rPr>
        <w:t> </w:t>
      </w:r>
      <w:r>
        <w:rPr/>
        <w:t>with actual cases of tax</w:t>
      </w:r>
      <w:r>
        <w:rPr>
          <w:spacing w:val="-1"/>
        </w:rPr>
        <w:t> </w:t>
      </w:r>
      <w:r>
        <w:rPr/>
        <w:t>sheltering.</w:t>
      </w: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201" w:after="0"/>
        <w:ind w:left="1542" w:right="0" w:hanging="720"/>
        <w:jc w:val="both"/>
      </w:pPr>
      <w:bookmarkStart w:name="_bookmark45" w:id="77"/>
      <w:bookmarkEnd w:id="77"/>
      <w:r>
        <w:rPr>
          <w:b w:val="0"/>
        </w:rPr>
      </w:r>
      <w:bookmarkStart w:name="_bookmark45" w:id="78"/>
      <w:bookmarkEnd w:id="78"/>
      <w:r>
        <w:rPr/>
        <w:t>In</w:t>
      </w:r>
      <w:r>
        <w:rPr/>
        <w:t>come</w:t>
      </w:r>
      <w:r>
        <w:rPr>
          <w:spacing w:val="-3"/>
        </w:rPr>
        <w:t> </w:t>
      </w:r>
      <w:r>
        <w:rPr/>
        <w:t>Tax</w:t>
      </w:r>
      <w:r>
        <w:rPr>
          <w:spacing w:val="-2"/>
        </w:rPr>
        <w:t> </w:t>
      </w:r>
      <w:r>
        <w:rPr/>
        <w:t>Expense/Operating</w:t>
      </w:r>
      <w:r>
        <w:rPr>
          <w:spacing w:val="-1"/>
        </w:rPr>
        <w:t> </w:t>
      </w:r>
      <w:r>
        <w:rPr/>
        <w:t>Cash</w:t>
      </w:r>
      <w:r>
        <w:rPr>
          <w:spacing w:val="-2"/>
        </w:rPr>
        <w:t> </w:t>
      </w:r>
      <w:r>
        <w:rPr/>
        <w:t>Flow</w:t>
      </w:r>
    </w:p>
    <w:p>
      <w:pPr>
        <w:pStyle w:val="BodyText"/>
        <w:spacing w:before="8"/>
        <w:ind w:left="0"/>
        <w:jc w:val="left"/>
        <w:rPr>
          <w:b/>
          <w:sz w:val="28"/>
        </w:rPr>
      </w:pPr>
    </w:p>
    <w:p>
      <w:pPr>
        <w:pStyle w:val="BodyText"/>
        <w:spacing w:line="480" w:lineRule="auto"/>
        <w:ind w:right="836"/>
      </w:pPr>
      <w:r>
        <w:rPr/>
        <w:t>The proportion of income tax expense to operating cash flow has been identified to better</w:t>
      </w:r>
      <w:r>
        <w:rPr>
          <w:spacing w:val="1"/>
        </w:rPr>
        <w:t> </w:t>
      </w:r>
      <w:r>
        <w:rPr/>
        <w:t>measure the tax burden of a firm (Zimmerman, 1983). It is argued that the substitution of</w:t>
      </w:r>
      <w:r>
        <w:rPr>
          <w:spacing w:val="1"/>
        </w:rPr>
        <w:t> </w:t>
      </w:r>
      <w:r>
        <w:rPr/>
        <w:t>accounting</w:t>
      </w:r>
      <w:r>
        <w:rPr>
          <w:spacing w:val="3"/>
        </w:rPr>
        <w:t> </w:t>
      </w:r>
      <w:r>
        <w:rPr/>
        <w:t>earning</w:t>
      </w:r>
      <w:r>
        <w:rPr>
          <w:spacing w:val="3"/>
        </w:rPr>
        <w:t> </w:t>
      </w:r>
      <w:r>
        <w:rPr/>
        <w:t>with</w:t>
      </w:r>
      <w:r>
        <w:rPr>
          <w:spacing w:val="6"/>
        </w:rPr>
        <w:t> </w:t>
      </w:r>
      <w:r>
        <w:rPr/>
        <w:t>operating</w:t>
      </w:r>
      <w:r>
        <w:rPr>
          <w:spacing w:val="3"/>
        </w:rPr>
        <w:t> </w:t>
      </w:r>
      <w:r>
        <w:rPr/>
        <w:t>cash</w:t>
      </w:r>
      <w:r>
        <w:rPr>
          <w:spacing w:val="4"/>
        </w:rPr>
        <w:t> </w:t>
      </w:r>
      <w:r>
        <w:rPr/>
        <w:t>flow</w:t>
      </w:r>
      <w:r>
        <w:rPr>
          <w:spacing w:val="5"/>
        </w:rPr>
        <w:t> </w:t>
      </w:r>
      <w:r>
        <w:rPr/>
        <w:t>helps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reflect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actual</w:t>
      </w:r>
      <w:r>
        <w:rPr>
          <w:spacing w:val="4"/>
        </w:rPr>
        <w:t> </w:t>
      </w:r>
      <w:r>
        <w:rPr/>
        <w:t>tax</w:t>
      </w:r>
      <w:r>
        <w:rPr>
          <w:spacing w:val="5"/>
        </w:rPr>
        <w:t> </w:t>
      </w:r>
      <w:r>
        <w:rPr/>
        <w:t>burden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firm</w:t>
      </w:r>
      <w:r>
        <w:rPr>
          <w:spacing w:val="5"/>
        </w:rPr>
        <w:t> </w:t>
      </w:r>
      <w:r>
        <w:rPr/>
        <w:t>as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7"/>
      </w:pPr>
      <w:r>
        <w:rPr/>
        <w:t>“it</w:t>
      </w:r>
      <w:r>
        <w:rPr>
          <w:spacing w:val="1"/>
        </w:rPr>
        <w:t> </w:t>
      </w:r>
      <w:r>
        <w:rPr/>
        <w:t>excludes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accrual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procedures”</w:t>
      </w:r>
      <w:r>
        <w:rPr>
          <w:spacing w:val="1"/>
        </w:rPr>
        <w:t> </w:t>
      </w:r>
      <w:r>
        <w:rPr/>
        <w:t>(Zimmerman,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argument</w:t>
      </w:r>
      <w:r>
        <w:rPr>
          <w:spacing w:val="-1"/>
        </w:rPr>
        <w:t> </w:t>
      </w:r>
      <w:r>
        <w:rPr/>
        <w:t>is found in a</w:t>
      </w:r>
      <w:r>
        <w:rPr>
          <w:spacing w:val="-1"/>
        </w:rPr>
        <w:t> </w:t>
      </w:r>
      <w:r>
        <w:rPr/>
        <w:t>much later study</w:t>
      </w:r>
      <w:r>
        <w:rPr>
          <w:spacing w:val="-1"/>
        </w:rPr>
        <w:t> </w:t>
      </w:r>
      <w:r>
        <w:rPr/>
        <w:t>by Buijink, Janssen and Schols (2002).</w:t>
      </w:r>
    </w:p>
    <w:p>
      <w:pPr>
        <w:pStyle w:val="BodyText"/>
        <w:spacing w:line="480" w:lineRule="auto" w:before="202"/>
        <w:ind w:right="832"/>
      </w:pPr>
      <w:r>
        <w:rPr/>
        <w:drawing>
          <wp:anchor distT="0" distB="0" distL="0" distR="0" allowOverlap="1" layoutInCell="1" locked="0" behindDoc="1" simplePos="0" relativeHeight="454025216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13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overcomes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accrual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item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denominator, the inclusion of the accounting income tax expense also suffers the effects of</w:t>
      </w:r>
      <w:r>
        <w:rPr>
          <w:spacing w:val="1"/>
        </w:rPr>
        <w:t> </w:t>
      </w:r>
      <w:r>
        <w:rPr/>
        <w:t>accrual</w:t>
      </w:r>
      <w:r>
        <w:rPr>
          <w:spacing w:val="1"/>
        </w:rPr>
        <w:t> </w:t>
      </w:r>
      <w:r>
        <w:rPr/>
        <w:t>basis.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non-conforming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avoidance.</w:t>
      </w:r>
      <w:r>
        <w:rPr>
          <w:spacing w:val="1"/>
        </w:rPr>
        <w:t> </w:t>
      </w:r>
      <w:r>
        <w:rPr/>
        <w:t>Therefore, Hanlon and Heitzman (2010) proposed a measure which does not measure tax</w:t>
      </w:r>
      <w:r>
        <w:rPr>
          <w:spacing w:val="1"/>
        </w:rPr>
        <w:t> </w:t>
      </w:r>
      <w:r>
        <w:rPr/>
        <w:t>avoidance relative</w:t>
      </w:r>
      <w:r>
        <w:rPr>
          <w:spacing w:val="-1"/>
        </w:rPr>
        <w:t> </w:t>
      </w:r>
      <w:r>
        <w:rPr/>
        <w:t>to accrual</w:t>
      </w:r>
      <w:r>
        <w:rPr>
          <w:spacing w:val="-1"/>
        </w:rPr>
        <w:t> </w:t>
      </w:r>
      <w:r>
        <w:rPr/>
        <w:t>accounting.</w:t>
      </w:r>
      <w:r>
        <w:rPr>
          <w:spacing w:val="2"/>
        </w:rPr>
        <w:t> </w:t>
      </w:r>
      <w:r>
        <w:rPr/>
        <w:t>This measure</w:t>
      </w:r>
      <w:r>
        <w:rPr>
          <w:spacing w:val="-3"/>
        </w:rPr>
        <w:t> </w:t>
      </w:r>
      <w:r>
        <w:rPr/>
        <w:t>is discussed next.</w:t>
      </w:r>
    </w:p>
    <w:p>
      <w:pPr>
        <w:pStyle w:val="Heading1"/>
        <w:numPr>
          <w:ilvl w:val="3"/>
          <w:numId w:val="22"/>
        </w:numPr>
        <w:tabs>
          <w:tab w:pos="1542" w:val="left" w:leader="none"/>
        </w:tabs>
        <w:spacing w:line="240" w:lineRule="auto" w:before="200" w:after="0"/>
        <w:ind w:left="1542" w:right="0" w:hanging="720"/>
        <w:jc w:val="both"/>
      </w:pPr>
      <w:bookmarkStart w:name="_bookmark46" w:id="79"/>
      <w:bookmarkEnd w:id="79"/>
      <w:r>
        <w:rPr>
          <w:b w:val="0"/>
        </w:rPr>
      </w:r>
      <w:bookmarkStart w:name="_bookmark46" w:id="80"/>
      <w:bookmarkEnd w:id="80"/>
      <w:r>
        <w:rPr/>
        <w:t>Cash</w:t>
      </w:r>
      <w:r>
        <w:rPr>
          <w:spacing w:val="-2"/>
        </w:rPr>
        <w:t> </w:t>
      </w:r>
      <w:r>
        <w:rPr/>
        <w:t>Taxes</w:t>
      </w:r>
      <w:r>
        <w:rPr>
          <w:spacing w:val="-1"/>
        </w:rPr>
        <w:t> </w:t>
      </w:r>
      <w:r>
        <w:rPr/>
        <w:t>Paid/Operating</w:t>
      </w:r>
      <w:r>
        <w:rPr>
          <w:spacing w:val="-1"/>
        </w:rPr>
        <w:t> </w:t>
      </w:r>
      <w:r>
        <w:rPr/>
        <w:t>Cash</w:t>
      </w:r>
      <w:r>
        <w:rPr>
          <w:spacing w:val="-1"/>
        </w:rPr>
        <w:t> </w:t>
      </w:r>
      <w:r>
        <w:rPr/>
        <w:t>Flow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2"/>
      </w:pPr>
      <w:r>
        <w:rPr/>
        <w:t>The ratio of cash taxes paid to the operating cash flow of a firm is believed to measure tax</w:t>
      </w:r>
      <w:r>
        <w:rPr>
          <w:spacing w:val="1"/>
        </w:rPr>
        <w:t> </w:t>
      </w:r>
      <w:r>
        <w:rPr/>
        <w:t>avoidance in such a way not relative to accrual accounting and hence the conforming tax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(Hanlon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Heitzman,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Salihu,</w:t>
      </w:r>
      <w:r>
        <w:rPr>
          <w:spacing w:val="1"/>
        </w:rPr>
        <w:t> </w:t>
      </w:r>
      <w:r>
        <w:rPr/>
        <w:t>Sheikh</w:t>
      </w:r>
      <w:r>
        <w:rPr>
          <w:spacing w:val="1"/>
        </w:rPr>
        <w:t> </w:t>
      </w:r>
      <w:r>
        <w:rPr/>
        <w:t>Obid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Annuar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documented a significant difference between this measure and other similar measures. Their</w:t>
      </w:r>
      <w:r>
        <w:rPr>
          <w:spacing w:val="1"/>
        </w:rPr>
        <w:t> </w:t>
      </w:r>
      <w:r>
        <w:rPr/>
        <w:t>findings thus substantiate the fact that the measure could capture what is not captured by other</w:t>
      </w:r>
      <w:r>
        <w:rPr>
          <w:spacing w:val="-57"/>
        </w:rPr>
        <w:t> </w:t>
      </w:r>
      <w:r>
        <w:rPr/>
        <w:t>similar</w:t>
      </w:r>
      <w:r>
        <w:rPr>
          <w:spacing w:val="-1"/>
        </w:rPr>
        <w:t> </w:t>
      </w:r>
      <w:r>
        <w:rPr/>
        <w:t>measures.</w:t>
      </w:r>
    </w:p>
    <w:p>
      <w:pPr>
        <w:pStyle w:val="Heading1"/>
        <w:spacing w:before="200"/>
        <w:ind w:left="822"/>
      </w:pPr>
      <w:bookmarkStart w:name="_bookmark47" w:id="81"/>
      <w:bookmarkEnd w:id="81"/>
      <w:r>
        <w:rPr>
          <w:b w:val="0"/>
        </w:rPr>
      </w:r>
      <w:r>
        <w:rPr/>
        <w:t>2.2.2.10.</w:t>
      </w:r>
      <w:r>
        <w:rPr>
          <w:spacing w:val="-2"/>
        </w:rPr>
        <w:t> </w:t>
      </w:r>
      <w:r>
        <w:rPr/>
        <w:t>Consequences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Tax</w:t>
      </w:r>
      <w:r>
        <w:rPr>
          <w:spacing w:val="-2"/>
        </w:rPr>
        <w:t> </w:t>
      </w:r>
      <w:r>
        <w:rPr/>
        <w:t>Avoidance</w:t>
      </w:r>
    </w:p>
    <w:p>
      <w:pPr>
        <w:pStyle w:val="BodyText"/>
        <w:spacing w:before="8"/>
        <w:ind w:left="0"/>
        <w:jc w:val="left"/>
        <w:rPr>
          <w:b/>
          <w:sz w:val="28"/>
        </w:rPr>
      </w:pPr>
    </w:p>
    <w:p>
      <w:pPr>
        <w:pStyle w:val="BodyText"/>
        <w:spacing w:line="480" w:lineRule="auto" w:before="1"/>
        <w:ind w:right="831"/>
      </w:pPr>
      <w:r>
        <w:rPr/>
        <w:t>A focal reason why corporate tax avoidance is such a topical issue lies in its consequences.</w:t>
      </w:r>
      <w:r>
        <w:rPr>
          <w:spacing w:val="1"/>
        </w:rPr>
        <w:t> </w:t>
      </w:r>
      <w:r>
        <w:rPr/>
        <w:t>According to Dyreng </w:t>
      </w:r>
      <w:r>
        <w:rPr>
          <w:i/>
        </w:rPr>
        <w:t>et al </w:t>
      </w:r>
      <w:r>
        <w:rPr/>
        <w:t>(2010), this aspect (consequences) of corporate tax avoidance has,</w:t>
      </w:r>
      <w:r>
        <w:rPr>
          <w:spacing w:val="1"/>
        </w:rPr>
        <w:t> </w:t>
      </w:r>
      <w:r>
        <w:rPr/>
        <w:t>however, received less attention from researchers. One of the foremost issues amongst the</w:t>
      </w:r>
      <w:r>
        <w:rPr>
          <w:spacing w:val="1"/>
        </w:rPr>
        <w:t> </w:t>
      </w:r>
      <w:r>
        <w:rPr/>
        <w:t>consequences, is the fact that corporate tax avoidance leads to a substantial loss in revenues</w:t>
      </w:r>
      <w:r>
        <w:rPr>
          <w:spacing w:val="1"/>
        </w:rPr>
        <w:t> </w:t>
      </w:r>
      <w:r>
        <w:rPr/>
        <w:t>accruable to the purse of government. These lost revenues have implications in the provision</w:t>
      </w:r>
      <w:r>
        <w:rPr>
          <w:spacing w:val="1"/>
        </w:rPr>
        <w:t> </w:t>
      </w:r>
      <w:r>
        <w:rPr/>
        <w:t>of public goods, general government administration as well as fiscal policy. Cobham (2005)</w:t>
      </w:r>
      <w:r>
        <w:rPr>
          <w:spacing w:val="1"/>
        </w:rPr>
        <w:t> </w:t>
      </w:r>
      <w:r>
        <w:rPr/>
        <w:t>estimated that US$285 billion per year is lost by developing countries because of tax evasion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domestic</w:t>
      </w:r>
      <w:r>
        <w:rPr>
          <w:spacing w:val="-7"/>
        </w:rPr>
        <w:t> </w:t>
      </w:r>
      <w:r>
        <w:rPr/>
        <w:t>informal</w:t>
      </w:r>
      <w:r>
        <w:rPr>
          <w:spacing w:val="-3"/>
        </w:rPr>
        <w:t> </w:t>
      </w:r>
      <w:r>
        <w:rPr/>
        <w:t>(shadow)</w:t>
      </w:r>
      <w:r>
        <w:rPr>
          <w:spacing w:val="-5"/>
        </w:rPr>
        <w:t> </w:t>
      </w:r>
      <w:r>
        <w:rPr/>
        <w:t>economy.</w:t>
      </w:r>
      <w:r>
        <w:rPr>
          <w:spacing w:val="-3"/>
        </w:rPr>
        <w:t> </w:t>
      </w:r>
      <w:r>
        <w:rPr/>
        <w:t>Fuest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Riedel</w:t>
      </w:r>
      <w:r>
        <w:rPr>
          <w:spacing w:val="-6"/>
        </w:rPr>
        <w:t> </w:t>
      </w:r>
      <w:r>
        <w:rPr/>
        <w:t>(2009)</w:t>
      </w:r>
      <w:r>
        <w:rPr>
          <w:spacing w:val="-6"/>
        </w:rPr>
        <w:t> </w:t>
      </w:r>
      <w:r>
        <w:rPr/>
        <w:t>documented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these</w:t>
      </w:r>
      <w:r>
        <w:rPr>
          <w:spacing w:val="3"/>
        </w:rPr>
        <w:t> </w:t>
      </w:r>
      <w:r>
        <w:rPr/>
        <w:t>losses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highlighted</w:t>
      </w:r>
      <w:r>
        <w:rPr>
          <w:spacing w:val="4"/>
        </w:rPr>
        <w:t> </w:t>
      </w:r>
      <w:r>
        <w:rPr/>
        <w:t>that</w:t>
      </w:r>
      <w:r>
        <w:rPr>
          <w:spacing w:val="6"/>
        </w:rPr>
        <w:t> </w:t>
      </w:r>
      <w:r>
        <w:rPr/>
        <w:t>tax</w:t>
      </w:r>
      <w:r>
        <w:rPr>
          <w:spacing w:val="5"/>
        </w:rPr>
        <w:t> </w:t>
      </w:r>
      <w:r>
        <w:rPr/>
        <w:t>to</w:t>
      </w:r>
      <w:r>
        <w:rPr>
          <w:spacing w:val="4"/>
        </w:rPr>
        <w:t> </w:t>
      </w:r>
      <w:r>
        <w:rPr/>
        <w:t>GDP</w:t>
      </w:r>
      <w:r>
        <w:rPr>
          <w:spacing w:val="5"/>
        </w:rPr>
        <w:t> </w:t>
      </w:r>
      <w:r>
        <w:rPr/>
        <w:t>for</w:t>
      </w:r>
      <w:r>
        <w:rPr>
          <w:spacing w:val="4"/>
        </w:rPr>
        <w:t> </w:t>
      </w:r>
      <w:r>
        <w:rPr/>
        <w:t>developing</w:t>
      </w:r>
      <w:r>
        <w:rPr>
          <w:spacing w:val="5"/>
        </w:rPr>
        <w:t> </w:t>
      </w:r>
      <w:r>
        <w:rPr/>
        <w:t>countries</w:t>
      </w:r>
      <w:r>
        <w:rPr>
          <w:spacing w:val="6"/>
        </w:rPr>
        <w:t> </w:t>
      </w:r>
      <w:r>
        <w:rPr/>
        <w:t>as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2005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between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25728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3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12% - 15%. A substantially low figure when compared with the thirty-five percent average for</w:t>
      </w:r>
      <w:r>
        <w:rPr>
          <w:spacing w:val="-57"/>
        </w:rPr>
        <w:t> </w:t>
      </w:r>
      <w:r>
        <w:rPr/>
        <w:t>the developing world. In the US, Slemrod (2004) states that corporations avoided taxes to the</w:t>
      </w:r>
      <w:r>
        <w:rPr>
          <w:spacing w:val="1"/>
        </w:rPr>
        <w:t> </w:t>
      </w:r>
      <w:r>
        <w:rPr/>
        <w:t>tune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$29.9</w:t>
      </w:r>
      <w:r>
        <w:rPr>
          <w:spacing w:val="-9"/>
        </w:rPr>
        <w:t> </w:t>
      </w:r>
      <w:r>
        <w:rPr/>
        <w:t>billion,</w:t>
      </w:r>
      <w:r>
        <w:rPr>
          <w:spacing w:val="-8"/>
        </w:rPr>
        <w:t> </w:t>
      </w:r>
      <w:r>
        <w:rPr/>
        <w:t>representing</w:t>
      </w:r>
      <w:r>
        <w:rPr>
          <w:spacing w:val="-9"/>
        </w:rPr>
        <w:t> </w:t>
      </w:r>
      <w:r>
        <w:rPr/>
        <w:t>an</w:t>
      </w:r>
      <w:r>
        <w:rPr>
          <w:spacing w:val="-7"/>
        </w:rPr>
        <w:t> </w:t>
      </w:r>
      <w:r>
        <w:rPr/>
        <w:t>under-reporting</w:t>
      </w:r>
      <w:r>
        <w:rPr>
          <w:spacing w:val="-7"/>
        </w:rPr>
        <w:t> </w:t>
      </w:r>
      <w:r>
        <w:rPr/>
        <w:t>rate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corporations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about</w:t>
      </w:r>
      <w:r>
        <w:rPr>
          <w:spacing w:val="-8"/>
        </w:rPr>
        <w:t> </w:t>
      </w:r>
      <w:r>
        <w:rPr/>
        <w:t>17.4%.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under-reporting</w:t>
      </w:r>
      <w:r>
        <w:rPr>
          <w:spacing w:val="-8"/>
        </w:rPr>
        <w:t> </w:t>
      </w:r>
      <w:r>
        <w:rPr/>
        <w:t>rate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individuals,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same</w:t>
      </w:r>
      <w:r>
        <w:rPr>
          <w:spacing w:val="-5"/>
        </w:rPr>
        <w:t> </w:t>
      </w:r>
      <w:r>
        <w:rPr/>
        <w:t>year,</w:t>
      </w:r>
      <w:r>
        <w:rPr>
          <w:spacing w:val="-6"/>
        </w:rPr>
        <w:t> </w:t>
      </w:r>
      <w:r>
        <w:rPr/>
        <w:t>stood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13.8%.</w:t>
      </w:r>
      <w:r>
        <w:rPr>
          <w:spacing w:val="-9"/>
        </w:rPr>
        <w:t> </w:t>
      </w:r>
      <w:r>
        <w:rPr/>
        <w:t>Harnessing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these</w:t>
      </w:r>
      <w:r>
        <w:rPr>
          <w:spacing w:val="-8"/>
        </w:rPr>
        <w:t> </w:t>
      </w:r>
      <w:r>
        <w:rPr/>
        <w:t>lost</w:t>
      </w:r>
      <w:r>
        <w:rPr>
          <w:spacing w:val="-57"/>
        </w:rPr>
        <w:t> </w:t>
      </w:r>
      <w:r>
        <w:rPr/>
        <w:t>revenues, especially for developing countries, is seen as a most promising medium and long-</w:t>
      </w:r>
      <w:r>
        <w:rPr>
          <w:spacing w:val="1"/>
        </w:rPr>
        <w:t> </w:t>
      </w:r>
      <w:r>
        <w:rPr/>
        <w:t>term</w:t>
      </w:r>
      <w:r>
        <w:rPr>
          <w:spacing w:val="-1"/>
        </w:rPr>
        <w:t> </w:t>
      </w:r>
      <w:r>
        <w:rPr/>
        <w:t>source</w:t>
      </w:r>
      <w:r>
        <w:rPr>
          <w:spacing w:val="-1"/>
        </w:rPr>
        <w:t> </w:t>
      </w:r>
      <w:r>
        <w:rPr/>
        <w:t>of new</w:t>
      </w:r>
      <w:r>
        <w:rPr>
          <w:spacing w:val="1"/>
        </w:rPr>
        <w:t> </w:t>
      </w:r>
      <w:r>
        <w:rPr/>
        <w:t>funds for development (Cobham, 2005).</w:t>
      </w:r>
    </w:p>
    <w:p>
      <w:pPr>
        <w:pStyle w:val="BodyText"/>
        <w:spacing w:line="480" w:lineRule="auto" w:before="203"/>
        <w:ind w:right="825"/>
      </w:pPr>
      <w:r>
        <w:rPr/>
        <w:t>Another consequence of corporate tax avoidance lies in the fact that it is likely to impact firm</w:t>
      </w:r>
      <w:r>
        <w:rPr>
          <w:spacing w:val="1"/>
        </w:rPr>
        <w:t> </w:t>
      </w:r>
      <w:r>
        <w:rPr/>
        <w:t>value.</w:t>
      </w:r>
      <w:r>
        <w:rPr>
          <w:spacing w:val="-4"/>
        </w:rPr>
        <w:t> </w:t>
      </w:r>
      <w:r>
        <w:rPr/>
        <w:t>Various</w:t>
      </w:r>
      <w:r>
        <w:rPr>
          <w:spacing w:val="-3"/>
        </w:rPr>
        <w:t> </w:t>
      </w:r>
      <w:r>
        <w:rPr/>
        <w:t>studies</w:t>
      </w:r>
      <w:r>
        <w:rPr>
          <w:spacing w:val="-3"/>
        </w:rPr>
        <w:t> </w:t>
      </w:r>
      <w:r>
        <w:rPr/>
        <w:t>(Shevlin,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Wilson,</w:t>
      </w:r>
      <w:r>
        <w:rPr>
          <w:spacing w:val="-2"/>
        </w:rPr>
        <w:t> </w:t>
      </w:r>
      <w:r>
        <w:rPr/>
        <w:t>2012;</w:t>
      </w:r>
      <w:r>
        <w:rPr>
          <w:spacing w:val="-3"/>
        </w:rPr>
        <w:t> </w:t>
      </w:r>
      <w:r>
        <w:rPr/>
        <w:t>Rego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Wilson,</w:t>
      </w:r>
      <w:r>
        <w:rPr>
          <w:spacing w:val="-3"/>
        </w:rPr>
        <w:t> </w:t>
      </w:r>
      <w:r>
        <w:rPr/>
        <w:t>2012)</w:t>
      </w:r>
      <w:r>
        <w:rPr>
          <w:spacing w:val="-5"/>
        </w:rPr>
        <w:t> </w:t>
      </w:r>
      <w:r>
        <w:rPr/>
        <w:t>suggest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investors</w:t>
      </w:r>
      <w:r>
        <w:rPr>
          <w:spacing w:val="-58"/>
        </w:rPr>
        <w:t> </w:t>
      </w:r>
      <w:r>
        <w:rPr/>
        <w:t>are able to factor in the avoidance activities and this affects firm value. This is because the</w:t>
      </w:r>
      <w:r>
        <w:rPr>
          <w:spacing w:val="1"/>
        </w:rPr>
        <w:t> </w:t>
      </w:r>
      <w:r>
        <w:rPr/>
        <w:t>lower ETRs of companies that engage in tax avoidance activities actually serves as a signal to</w:t>
      </w:r>
      <w:r>
        <w:rPr>
          <w:spacing w:val="1"/>
        </w:rPr>
        <w:t> </w:t>
      </w:r>
      <w:r>
        <w:rPr/>
        <w:t>the discerning investor as to the occurrence of any such activity. The nature of the effect is</w:t>
      </w:r>
      <w:r>
        <w:rPr>
          <w:spacing w:val="1"/>
        </w:rPr>
        <w:t> </w:t>
      </w:r>
      <w:r>
        <w:rPr/>
        <w:t>however, not clear. Desai and Dharmapala (2009b) examined whether investors fully capture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tax</w:t>
      </w:r>
      <w:r>
        <w:rPr>
          <w:spacing w:val="-2"/>
        </w:rPr>
        <w:t> </w:t>
      </w:r>
      <w:r>
        <w:rPr/>
        <w:t>avoidance</w:t>
      </w:r>
      <w:r>
        <w:rPr>
          <w:spacing w:val="-4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analysis.</w:t>
      </w:r>
      <w:r>
        <w:rPr>
          <w:spacing w:val="-4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sample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862</w:t>
      </w:r>
      <w:r>
        <w:rPr>
          <w:spacing w:val="-4"/>
        </w:rPr>
        <w:t> </w:t>
      </w:r>
      <w:r>
        <w:rPr/>
        <w:t>US</w:t>
      </w:r>
      <w:r>
        <w:rPr>
          <w:spacing w:val="-2"/>
        </w:rPr>
        <w:t> </w:t>
      </w:r>
      <w:r>
        <w:rPr/>
        <w:t>firms,</w:t>
      </w:r>
      <w:r>
        <w:rPr>
          <w:spacing w:val="-58"/>
        </w:rPr>
        <w:t> </w:t>
      </w:r>
      <w:r>
        <w:rPr/>
        <w:t>over the period 1993-2001. They regressed firm value, as measured by Tobin q, against book-</w:t>
      </w:r>
      <w:r>
        <w:rPr>
          <w:spacing w:val="1"/>
        </w:rPr>
        <w:t> </w:t>
      </w:r>
      <w:r>
        <w:rPr/>
        <w:t>tax gap- their measure of corporate tax avoidance, a vector of control variables and corporate</w:t>
      </w:r>
      <w:r>
        <w:rPr>
          <w:spacing w:val="1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were</w:t>
      </w:r>
      <w:r>
        <w:rPr>
          <w:spacing w:val="-8"/>
        </w:rPr>
        <w:t> </w:t>
      </w:r>
      <w:r>
        <w:rPr/>
        <w:t>modelled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mediators.</w:t>
      </w:r>
      <w:r>
        <w:rPr>
          <w:spacing w:val="-11"/>
        </w:rPr>
        <w:t> </w:t>
      </w:r>
      <w:r>
        <w:rPr/>
        <w:t>They</w:t>
      </w:r>
      <w:r>
        <w:rPr>
          <w:spacing w:val="-9"/>
        </w:rPr>
        <w:t> </w:t>
      </w:r>
      <w:r>
        <w:rPr/>
        <w:t>found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firm</w:t>
      </w:r>
      <w:r>
        <w:rPr>
          <w:spacing w:val="-10"/>
        </w:rPr>
        <w:t> </w:t>
      </w:r>
      <w:r>
        <w:rPr/>
        <w:t>value</w:t>
      </w:r>
      <w:r>
        <w:rPr>
          <w:spacing w:val="-12"/>
        </w:rPr>
        <w:t> </w:t>
      </w:r>
      <w:r>
        <w:rPr/>
        <w:t>is</w:t>
      </w:r>
      <w:r>
        <w:rPr>
          <w:spacing w:val="-7"/>
        </w:rPr>
        <w:t> </w:t>
      </w:r>
      <w:r>
        <w:rPr/>
        <w:t>affected</w:t>
      </w:r>
      <w:r>
        <w:rPr>
          <w:spacing w:val="-58"/>
        </w:rPr>
        <w:t> </w:t>
      </w:r>
      <w:r>
        <w:rPr/>
        <w:t>by corporate tax avoidance and that corporate governance does indeed act as a mediator of the</w:t>
      </w:r>
      <w:r>
        <w:rPr>
          <w:spacing w:val="-57"/>
        </w:rPr>
        <w:t> </w:t>
      </w:r>
      <w:r>
        <w:rPr/>
        <w:t>relationship between the two. Robinson and Schmidt (2011) also examined whether firms‟</w:t>
      </w:r>
      <w:r>
        <w:rPr>
          <w:spacing w:val="1"/>
        </w:rPr>
        <w:t> </w:t>
      </w:r>
      <w:r>
        <w:rPr/>
        <w:t>disclosure practices</w:t>
      </w:r>
      <w:r>
        <w:rPr>
          <w:spacing w:val="1"/>
        </w:rPr>
        <w:t> </w:t>
      </w:r>
      <w:r>
        <w:rPr/>
        <w:t>under Financial</w:t>
      </w:r>
      <w:r>
        <w:rPr>
          <w:spacing w:val="1"/>
        </w:rPr>
        <w:t> </w:t>
      </w:r>
      <w:r>
        <w:rPr/>
        <w:t>Interpretations</w:t>
      </w:r>
      <w:r>
        <w:rPr>
          <w:spacing w:val="1"/>
        </w:rPr>
        <w:t> </w:t>
      </w:r>
      <w:r>
        <w:rPr/>
        <w:t>Number 48</w:t>
      </w:r>
      <w:r>
        <w:rPr>
          <w:spacing w:val="1"/>
        </w:rPr>
        <w:t> </w:t>
      </w:r>
      <w:r>
        <w:rPr/>
        <w:t>(FIN 48), which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disclosure of uncertain tax benefits (possible tax avoidance)- a move at making firms more</w:t>
      </w:r>
      <w:r>
        <w:rPr>
          <w:spacing w:val="1"/>
        </w:rPr>
        <w:t> </w:t>
      </w:r>
      <w:r>
        <w:rPr/>
        <w:t>transparent to outsiders, affects investor’s response to such disclosures. Having examined</w:t>
      </w:r>
      <w:r>
        <w:rPr>
          <w:spacing w:val="1"/>
        </w:rPr>
        <w:t> </w:t>
      </w:r>
      <w:r>
        <w:rPr>
          <w:spacing w:val="-1"/>
        </w:rPr>
        <w:t>variations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disclosure</w:t>
      </w:r>
      <w:r>
        <w:rPr>
          <w:spacing w:val="-15"/>
        </w:rPr>
        <w:t> </w:t>
      </w:r>
      <w:r>
        <w:rPr/>
        <w:t>quality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their</w:t>
      </w:r>
      <w:r>
        <w:rPr>
          <w:spacing w:val="-16"/>
        </w:rPr>
        <w:t> </w:t>
      </w:r>
      <w:r>
        <w:rPr/>
        <w:t>sample</w:t>
      </w:r>
      <w:r>
        <w:rPr>
          <w:spacing w:val="-16"/>
        </w:rPr>
        <w:t> </w:t>
      </w:r>
      <w:r>
        <w:rPr/>
        <w:t>firms,</w:t>
      </w:r>
      <w:r>
        <w:rPr>
          <w:spacing w:val="-13"/>
        </w:rPr>
        <w:t> </w:t>
      </w:r>
      <w:r>
        <w:rPr/>
        <w:t>they</w:t>
      </w:r>
      <w:r>
        <w:rPr>
          <w:spacing w:val="-15"/>
        </w:rPr>
        <w:t> </w:t>
      </w:r>
      <w:r>
        <w:rPr/>
        <w:t>found</w:t>
      </w:r>
      <w:r>
        <w:rPr>
          <w:spacing w:val="-16"/>
        </w:rPr>
        <w:t> </w:t>
      </w:r>
      <w:r>
        <w:rPr/>
        <w:t>that</w:t>
      </w:r>
      <w:r>
        <w:rPr>
          <w:spacing w:val="-14"/>
        </w:rPr>
        <w:t> </w:t>
      </w:r>
      <w:r>
        <w:rPr/>
        <w:t>investors</w:t>
      </w:r>
      <w:r>
        <w:rPr>
          <w:spacing w:val="-15"/>
        </w:rPr>
        <w:t> </w:t>
      </w:r>
      <w:r>
        <w:rPr/>
        <w:t>appear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reward</w:t>
      </w:r>
      <w:r>
        <w:rPr>
          <w:spacing w:val="-57"/>
        </w:rPr>
        <w:t> </w:t>
      </w:r>
      <w:r>
        <w:rPr/>
        <w:t>firms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disclosure quality,</w:t>
      </w:r>
      <w:r>
        <w:rPr>
          <w:spacing w:val="1"/>
        </w:rPr>
        <w:t> </w:t>
      </w:r>
      <w:r>
        <w:rPr/>
        <w:t>suggestive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investors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proprietary</w:t>
      </w:r>
      <w:r>
        <w:rPr>
          <w:spacing w:val="5"/>
        </w:rPr>
        <w:t> </w:t>
      </w:r>
      <w:r>
        <w:rPr/>
        <w:t>costs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disclosure</w:t>
      </w:r>
      <w:r>
        <w:rPr>
          <w:spacing w:val="4"/>
        </w:rPr>
        <w:t> </w:t>
      </w:r>
      <w:r>
        <w:rPr/>
        <w:t>rather</w:t>
      </w:r>
      <w:r>
        <w:rPr>
          <w:spacing w:val="5"/>
        </w:rPr>
        <w:t> </w:t>
      </w:r>
      <w:r>
        <w:rPr/>
        <w:t>than</w:t>
      </w:r>
      <w:r>
        <w:rPr>
          <w:spacing w:val="6"/>
        </w:rPr>
        <w:t> </w:t>
      </w:r>
      <w:r>
        <w:rPr/>
        <w:t>increased</w:t>
      </w:r>
      <w:r>
        <w:rPr>
          <w:spacing w:val="5"/>
        </w:rPr>
        <w:t> </w:t>
      </w:r>
      <w:r>
        <w:rPr/>
        <w:t>transparency.</w:t>
      </w:r>
      <w:r>
        <w:rPr>
          <w:spacing w:val="6"/>
        </w:rPr>
        <w:t> </w:t>
      </w:r>
      <w:r>
        <w:rPr/>
        <w:t>Distributive</w:t>
      </w:r>
      <w:r>
        <w:rPr>
          <w:spacing w:val="5"/>
        </w:rPr>
        <w:t> </w:t>
      </w:r>
      <w:r>
        <w:rPr/>
        <w:t>justice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key</w:t>
      </w:r>
    </w:p>
    <w:p>
      <w:pPr>
        <w:pStyle w:val="BodyText"/>
        <w:spacing w:line="275" w:lineRule="exact"/>
      </w:pPr>
      <w:r>
        <w:rPr/>
        <w:t>function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government</w:t>
      </w:r>
      <w:r>
        <w:rPr>
          <w:spacing w:val="6"/>
        </w:rPr>
        <w:t> </w:t>
      </w:r>
      <w:r>
        <w:rPr/>
        <w:t>which</w:t>
      </w:r>
      <w:r>
        <w:rPr>
          <w:spacing w:val="4"/>
        </w:rPr>
        <w:t> </w:t>
      </w:r>
      <w:r>
        <w:rPr/>
        <w:t>it</w:t>
      </w:r>
      <w:r>
        <w:rPr>
          <w:spacing w:val="4"/>
        </w:rPr>
        <w:t> </w:t>
      </w:r>
      <w:r>
        <w:rPr/>
        <w:t>seeks</w:t>
      </w:r>
      <w:r>
        <w:rPr>
          <w:spacing w:val="4"/>
        </w:rPr>
        <w:t> </w:t>
      </w:r>
      <w:r>
        <w:rPr/>
        <w:t>to</w:t>
      </w:r>
      <w:r>
        <w:rPr>
          <w:spacing w:val="4"/>
        </w:rPr>
        <w:t> </w:t>
      </w:r>
      <w:r>
        <w:rPr/>
        <w:t>achieve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imposition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taxes.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logic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</w:p>
    <w:p>
      <w:pPr>
        <w:spacing w:after="0" w:line="275" w:lineRule="exac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2624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3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simple,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arguments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aims to reduce inequity in income within the populace by taxing those with more</w:t>
      </w:r>
      <w:r>
        <w:rPr>
          <w:spacing w:val="1"/>
        </w:rPr>
        <w:t> </w:t>
      </w:r>
      <w:r>
        <w:rPr/>
        <w:t>income in order to supply those with less income with the basic necessities, which without the</w:t>
      </w:r>
      <w:r>
        <w:rPr>
          <w:spacing w:val="-57"/>
        </w:rPr>
        <w:t> </w:t>
      </w:r>
      <w:r>
        <w:rPr/>
        <w:t>government</w:t>
      </w:r>
      <w:r>
        <w:rPr>
          <w:spacing w:val="-3"/>
        </w:rPr>
        <w:t> </w:t>
      </w:r>
      <w:r>
        <w:rPr/>
        <w:t>intervention;</w:t>
      </w:r>
      <w:r>
        <w:rPr>
          <w:spacing w:val="-2"/>
        </w:rPr>
        <w:t> </w:t>
      </w:r>
      <w:r>
        <w:rPr/>
        <w:t>they</w:t>
      </w:r>
      <w:r>
        <w:rPr>
          <w:spacing w:val="-4"/>
        </w:rPr>
        <w:t> </w:t>
      </w:r>
      <w:r>
        <w:rPr/>
        <w:t>may</w:t>
      </w:r>
      <w:r>
        <w:rPr>
          <w:spacing w:val="-3"/>
        </w:rPr>
        <w:t> </w:t>
      </w:r>
      <w:r>
        <w:rPr/>
        <w:t>not</w:t>
      </w:r>
      <w:r>
        <w:rPr>
          <w:spacing w:val="-2"/>
        </w:rPr>
        <w:t> </w:t>
      </w:r>
      <w:r>
        <w:rPr/>
        <w:t>afford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have.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cannot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achieved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presence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corporate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/>
        <w:t>avoidance.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failure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achieve</w:t>
      </w:r>
      <w:r>
        <w:rPr>
          <w:spacing w:val="-5"/>
        </w:rPr>
        <w:t> </w:t>
      </w:r>
      <w:r>
        <w:rPr/>
        <w:t>distributive</w:t>
      </w:r>
      <w:r>
        <w:rPr>
          <w:spacing w:val="-6"/>
        </w:rPr>
        <w:t> </w:t>
      </w:r>
      <w:r>
        <w:rPr/>
        <w:t>justice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welfare</w:t>
      </w:r>
      <w:r>
        <w:rPr>
          <w:spacing w:val="-58"/>
        </w:rPr>
        <w:t> </w:t>
      </w:r>
      <w:r>
        <w:rPr/>
        <w:t>implications from the</w:t>
      </w:r>
      <w:r>
        <w:rPr>
          <w:spacing w:val="-1"/>
        </w:rPr>
        <w:t> </w:t>
      </w:r>
      <w:r>
        <w:rPr/>
        <w:t>economical viewpoint.</w:t>
      </w:r>
    </w:p>
    <w:p>
      <w:pPr>
        <w:pStyle w:val="BodyText"/>
        <w:spacing w:line="480" w:lineRule="auto" w:before="203"/>
        <w:ind w:right="831"/>
      </w:pPr>
      <w:r>
        <w:rPr/>
        <w:t>Another</w:t>
      </w:r>
      <w:r>
        <w:rPr>
          <w:spacing w:val="-6"/>
        </w:rPr>
        <w:t> </w:t>
      </w:r>
      <w:r>
        <w:rPr/>
        <w:t>consequence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tax</w:t>
      </w:r>
      <w:r>
        <w:rPr>
          <w:spacing w:val="-6"/>
        </w:rPr>
        <w:t> </w:t>
      </w:r>
      <w:r>
        <w:rPr/>
        <w:t>avoidance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liable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engender</w:t>
      </w:r>
      <w:r>
        <w:rPr>
          <w:spacing w:val="-8"/>
        </w:rPr>
        <w:t> </w:t>
      </w:r>
      <w:r>
        <w:rPr/>
        <w:t>reputational</w:t>
      </w:r>
      <w:r>
        <w:rPr>
          <w:spacing w:val="-8"/>
        </w:rPr>
        <w:t> </w:t>
      </w:r>
      <w:r>
        <w:rPr/>
        <w:t>loss</w:t>
      </w:r>
      <w:r>
        <w:rPr>
          <w:spacing w:val="-58"/>
        </w:rPr>
        <w:t> </w:t>
      </w:r>
      <w:r>
        <w:rPr/>
        <w:t>for</w:t>
      </w:r>
      <w:r>
        <w:rPr>
          <w:spacing w:val="-10"/>
        </w:rPr>
        <w:t> </w:t>
      </w:r>
      <w:r>
        <w:rPr/>
        <w:t>managers</w:t>
      </w:r>
      <w:r>
        <w:rPr>
          <w:spacing w:val="-9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firm.</w:t>
      </w:r>
      <w:r>
        <w:rPr>
          <w:spacing w:val="-8"/>
        </w:rPr>
        <w:t> </w:t>
      </w:r>
      <w:r>
        <w:rPr/>
        <w:t>Reputational</w:t>
      </w:r>
      <w:r>
        <w:rPr>
          <w:spacing w:val="-8"/>
        </w:rPr>
        <w:t> </w:t>
      </w:r>
      <w:r>
        <w:rPr/>
        <w:t>loss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managers</w:t>
      </w:r>
      <w:r>
        <w:rPr>
          <w:spacing w:val="-8"/>
        </w:rPr>
        <w:t> </w:t>
      </w:r>
      <w:r>
        <w:rPr/>
        <w:t>may</w:t>
      </w:r>
      <w:r>
        <w:rPr>
          <w:spacing w:val="-9"/>
        </w:rPr>
        <w:t> </w:t>
      </w:r>
      <w:r>
        <w:rPr/>
        <w:t>dent</w:t>
      </w:r>
      <w:r>
        <w:rPr>
          <w:spacing w:val="-7"/>
        </w:rPr>
        <w:t> </w:t>
      </w:r>
      <w:r>
        <w:rPr/>
        <w:t>their</w:t>
      </w:r>
      <w:r>
        <w:rPr>
          <w:spacing w:val="-9"/>
        </w:rPr>
        <w:t> </w:t>
      </w:r>
      <w:r>
        <w:rPr/>
        <w:t>careers</w:t>
      </w:r>
      <w:r>
        <w:rPr>
          <w:spacing w:val="-9"/>
        </w:rPr>
        <w:t> </w:t>
      </w:r>
      <w:r>
        <w:rPr/>
        <w:t>because</w:t>
      </w:r>
      <w:r>
        <w:rPr>
          <w:spacing w:val="-57"/>
        </w:rPr>
        <w:t> </w:t>
      </w:r>
      <w:r>
        <w:rPr/>
        <w:t>it</w:t>
      </w:r>
      <w:r>
        <w:rPr>
          <w:spacing w:val="-3"/>
        </w:rPr>
        <w:t> </w:t>
      </w:r>
      <w:r>
        <w:rPr/>
        <w:t>gives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impression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untrustworthy.</w:t>
      </w:r>
      <w:r>
        <w:rPr>
          <w:spacing w:val="-3"/>
        </w:rPr>
        <w:t> </w:t>
      </w:r>
      <w:r>
        <w:rPr/>
        <w:t>Whereas</w:t>
      </w:r>
      <w:r>
        <w:rPr>
          <w:spacing w:val="-4"/>
        </w:rPr>
        <w:t> </w:t>
      </w:r>
      <w:r>
        <w:rPr/>
        <w:t>reputational</w:t>
      </w:r>
      <w:r>
        <w:rPr>
          <w:spacing w:val="-4"/>
        </w:rPr>
        <w:t> </w:t>
      </w:r>
      <w:r>
        <w:rPr/>
        <w:t>loss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firm</w:t>
      </w:r>
      <w:r>
        <w:rPr>
          <w:spacing w:val="-3"/>
        </w:rPr>
        <w:t> </w:t>
      </w:r>
      <w:r>
        <w:rPr/>
        <w:t>may,</w:t>
      </w:r>
      <w:r>
        <w:rPr>
          <w:spacing w:val="-58"/>
        </w:rPr>
        <w:t> </w:t>
      </w:r>
      <w:r>
        <w:rPr/>
        <w:t>in addition to depressing firm value, compromise relations with customers because of some</w:t>
      </w:r>
      <w:r>
        <w:rPr>
          <w:spacing w:val="1"/>
        </w:rPr>
        <w:t> </w:t>
      </w:r>
      <w:r>
        <w:rPr/>
        <w:t>perceptions they develop regarding the avoidance. This consequence has been verified by the</w:t>
      </w:r>
      <w:r>
        <w:rPr>
          <w:spacing w:val="1"/>
        </w:rPr>
        <w:t> </w:t>
      </w:r>
      <w:r>
        <w:rPr/>
        <w:t>work of</w:t>
      </w:r>
      <w:r>
        <w:rPr>
          <w:spacing w:val="1"/>
        </w:rPr>
        <w:t> </w:t>
      </w:r>
      <w:r>
        <w:rPr/>
        <w:t>Loretz</w:t>
      </w:r>
      <w:r>
        <w:rPr>
          <w:spacing w:val="1"/>
        </w:rPr>
        <w:t> </w:t>
      </w:r>
      <w:r>
        <w:rPr/>
        <w:t>and Moore (2009). The possibility of reputational</w:t>
      </w:r>
      <w:r>
        <w:rPr>
          <w:spacing w:val="1"/>
        </w:rPr>
        <w:t> </w:t>
      </w:r>
      <w:r>
        <w:rPr/>
        <w:t>loss to customers,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companies with well-known brands is also explored in a very recent working paper by Austin</w:t>
      </w:r>
      <w:r>
        <w:rPr>
          <w:spacing w:val="1"/>
        </w:rPr>
        <w:t> </w:t>
      </w:r>
      <w:r>
        <w:rPr/>
        <w:t>and Wilson (2013). Corporate tax avoidance also leads to more tax authority scrutiny as in the</w:t>
      </w:r>
      <w:r>
        <w:rPr>
          <w:spacing w:val="-57"/>
        </w:rPr>
        <w:t> </w:t>
      </w:r>
      <w:r>
        <w:rPr/>
        <w:t>case of US IRS audits. Penalties, once the avoidance is deciphered, are another consequence.</w:t>
      </w:r>
      <w:r>
        <w:rPr>
          <w:spacing w:val="1"/>
        </w:rPr>
        <w:t> </w:t>
      </w:r>
      <w:r>
        <w:rPr/>
        <w:t>The effect of the penalties, however, argues Sandmo (2004) depend crucially on who is being</w:t>
      </w:r>
      <w:r>
        <w:rPr>
          <w:spacing w:val="1"/>
        </w:rPr>
        <w:t> </w:t>
      </w:r>
      <w:r>
        <w:rPr/>
        <w:t>penalised- the corporation or the manager. In addition to all the preceding consequences,</w:t>
      </w:r>
      <w:r>
        <w:rPr>
          <w:spacing w:val="1"/>
        </w:rPr>
        <w:t> </w:t>
      </w:r>
      <w:r>
        <w:rPr/>
        <w:t>another effect is that it forces government to make more enactments of law. The down side of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new</w:t>
      </w:r>
      <w:r>
        <w:rPr>
          <w:spacing w:val="-3"/>
        </w:rPr>
        <w:t> </w:t>
      </w:r>
      <w:r>
        <w:rPr/>
        <w:t>laws</w:t>
      </w:r>
      <w:r>
        <w:rPr>
          <w:spacing w:val="-1"/>
        </w:rPr>
        <w:t> </w:t>
      </w:r>
      <w:r>
        <w:rPr/>
        <w:t>may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serve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complicate</w:t>
      </w:r>
      <w:r>
        <w:rPr>
          <w:spacing w:val="-3"/>
        </w:rPr>
        <w:t> </w:t>
      </w:r>
      <w:r>
        <w:rPr/>
        <w:t>matters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weakness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definitely</w:t>
      </w:r>
      <w:r>
        <w:rPr>
          <w:spacing w:val="-57"/>
        </w:rPr>
        <w:t> </w:t>
      </w:r>
      <w:r>
        <w:rPr/>
        <w:t>be</w:t>
      </w:r>
      <w:r>
        <w:rPr>
          <w:spacing w:val="-5"/>
        </w:rPr>
        <w:t> </w:t>
      </w:r>
      <w:r>
        <w:rPr/>
        <w:t>found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exploited. Another</w:t>
      </w:r>
      <w:r>
        <w:rPr>
          <w:spacing w:val="-4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consequence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tax avoidance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case of tax sheltering in particular, one economy may fare better at the expense of another</w:t>
      </w:r>
      <w:r>
        <w:rPr>
          <w:spacing w:val="1"/>
        </w:rPr>
        <w:t> </w:t>
      </w:r>
      <w:r>
        <w:rPr/>
        <w:t>economy.</w:t>
      </w:r>
      <w:r>
        <w:rPr>
          <w:spacing w:val="-1"/>
        </w:rPr>
        <w:t> </w:t>
      </w:r>
      <w:r>
        <w:rPr/>
        <w:t>This may also</w:t>
      </w:r>
      <w:r>
        <w:rPr>
          <w:spacing w:val="3"/>
        </w:rPr>
        <w:t> </w:t>
      </w:r>
      <w:r>
        <w:rPr/>
        <w:t>be</w:t>
      </w:r>
      <w:r>
        <w:rPr>
          <w:spacing w:val="-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as unfairness.</w:t>
      </w:r>
    </w:p>
    <w:p>
      <w:pPr>
        <w:pStyle w:val="BodyText"/>
        <w:spacing w:line="480" w:lineRule="auto" w:before="201"/>
        <w:ind w:right="830"/>
      </w:pPr>
      <w:r>
        <w:rPr/>
        <w:t>Desai, Foley and Hines (2006) examined whether tax havens divert economic activity by</w:t>
      </w:r>
      <w:r>
        <w:rPr>
          <w:spacing w:val="1"/>
        </w:rPr>
        <w:t> </w:t>
      </w:r>
      <w:r>
        <w:rPr/>
        <w:t>constructing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theoretical</w:t>
      </w:r>
      <w:r>
        <w:rPr>
          <w:spacing w:val="31"/>
        </w:rPr>
        <w:t> </w:t>
      </w:r>
      <w:r>
        <w:rPr/>
        <w:t>model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haven</w:t>
      </w:r>
      <w:r>
        <w:rPr>
          <w:spacing w:val="33"/>
        </w:rPr>
        <w:t> </w:t>
      </w:r>
      <w:r>
        <w:rPr/>
        <w:t>activity.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model</w:t>
      </w:r>
      <w:r>
        <w:rPr>
          <w:spacing w:val="31"/>
        </w:rPr>
        <w:t> </w:t>
      </w:r>
      <w:r>
        <w:rPr/>
        <w:t>revealed</w:t>
      </w:r>
      <w:r>
        <w:rPr>
          <w:spacing w:val="29"/>
        </w:rPr>
        <w:t> </w:t>
      </w:r>
      <w:r>
        <w:rPr/>
        <w:t>that</w:t>
      </w:r>
      <w:r>
        <w:rPr>
          <w:spacing w:val="31"/>
        </w:rPr>
        <w:t> </w:t>
      </w:r>
      <w:r>
        <w:rPr/>
        <w:t>contrary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2675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3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assumption that when multinationals engage tax havens; they divert economic activity from</w:t>
      </w:r>
      <w:r>
        <w:rPr>
          <w:spacing w:val="1"/>
        </w:rPr>
        <w:t> </w:t>
      </w:r>
      <w:r>
        <w:rPr/>
        <w:t>nearby non- tax havens, tax haven activity actually boosts activity in nearby non-tax havens.</w:t>
      </w:r>
      <w:r>
        <w:rPr>
          <w:spacing w:val="1"/>
        </w:rPr>
        <w:t> </w:t>
      </w:r>
      <w:r>
        <w:rPr/>
        <w:t>Their findings should however not be misconstrued to conclude that tax havens do not distort</w:t>
      </w:r>
      <w:r>
        <w:rPr>
          <w:spacing w:val="1"/>
        </w:rPr>
        <w:t> </w:t>
      </w:r>
      <w:r>
        <w:rPr/>
        <w:t>activity. This is because they only examined nearby non-tax havens, suggesting that proximity</w:t>
      </w:r>
      <w:r>
        <w:rPr>
          <w:spacing w:val="-57"/>
        </w:rPr>
        <w:t> </w:t>
      </w:r>
      <w:r>
        <w:rPr/>
        <w:t>plays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factor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findings.</w:t>
      </w:r>
      <w:r>
        <w:rPr>
          <w:spacing w:val="-11"/>
        </w:rPr>
        <w:t> </w:t>
      </w:r>
      <w:r>
        <w:rPr/>
        <w:t>Arguably,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study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non-tax</w:t>
      </w:r>
      <w:r>
        <w:rPr>
          <w:spacing w:val="-12"/>
        </w:rPr>
        <w:t> </w:t>
      </w:r>
      <w:r>
        <w:rPr/>
        <w:t>havens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an</w:t>
      </w:r>
      <w:r>
        <w:rPr>
          <w:spacing w:val="-11"/>
        </w:rPr>
        <w:t> </w:t>
      </w:r>
      <w:r>
        <w:rPr/>
        <w:t>increased</w:t>
      </w:r>
      <w:r>
        <w:rPr>
          <w:spacing w:val="-10"/>
        </w:rPr>
        <w:t> </w:t>
      </w:r>
      <w:r>
        <w:rPr/>
        <w:t>distance</w:t>
      </w:r>
      <w:r>
        <w:rPr>
          <w:spacing w:val="-12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havens may yield different</w:t>
      </w:r>
      <w:r>
        <w:rPr>
          <w:spacing w:val="1"/>
        </w:rPr>
        <w:t> </w:t>
      </w:r>
      <w:r>
        <w:rPr/>
        <w:t>results.</w:t>
      </w:r>
    </w:p>
    <w:p>
      <w:pPr>
        <w:pStyle w:val="Heading1"/>
        <w:numPr>
          <w:ilvl w:val="1"/>
          <w:numId w:val="19"/>
        </w:numPr>
        <w:tabs>
          <w:tab w:pos="1242" w:val="left" w:leader="none"/>
        </w:tabs>
        <w:spacing w:line="240" w:lineRule="auto" w:before="203" w:after="0"/>
        <w:ind w:left="1242" w:right="0" w:hanging="420"/>
        <w:jc w:val="both"/>
      </w:pPr>
      <w:bookmarkStart w:name="_bookmark48" w:id="82"/>
      <w:bookmarkEnd w:id="82"/>
      <w:r>
        <w:rPr>
          <w:b w:val="0"/>
        </w:rPr>
      </w:r>
      <w:bookmarkStart w:name="_bookmark48" w:id="83"/>
      <w:bookmarkEnd w:id="83"/>
      <w:r>
        <w:rPr/>
        <w:t>Cont</w:t>
      </w:r>
      <w:r>
        <w:rPr/>
        <w:t>rol</w:t>
      </w:r>
      <w:r>
        <w:rPr>
          <w:spacing w:val="-3"/>
        </w:rPr>
        <w:t> </w:t>
      </w:r>
      <w:r>
        <w:rPr/>
        <w:t>Variables</w:t>
      </w:r>
    </w:p>
    <w:p>
      <w:pPr>
        <w:pStyle w:val="BodyText"/>
        <w:spacing w:before="2"/>
        <w:ind w:left="0"/>
        <w:jc w:val="left"/>
        <w:rPr>
          <w:b/>
          <w:sz w:val="29"/>
        </w:rPr>
      </w:pPr>
    </w:p>
    <w:p>
      <w:pPr>
        <w:pStyle w:val="Heading1"/>
        <w:numPr>
          <w:ilvl w:val="2"/>
          <w:numId w:val="19"/>
        </w:numPr>
        <w:tabs>
          <w:tab w:pos="1362" w:val="left" w:leader="none"/>
        </w:tabs>
        <w:spacing w:line="240" w:lineRule="auto" w:before="1" w:after="0"/>
        <w:ind w:left="1362" w:right="0" w:hanging="540"/>
        <w:jc w:val="both"/>
      </w:pPr>
      <w:bookmarkStart w:name="_bookmark49" w:id="84"/>
      <w:bookmarkEnd w:id="84"/>
      <w:r>
        <w:rPr>
          <w:b w:val="0"/>
        </w:rPr>
      </w:r>
      <w:bookmarkStart w:name="_bookmark49" w:id="85"/>
      <w:bookmarkEnd w:id="85"/>
      <w:r>
        <w:rPr/>
        <w:t>Fi</w:t>
      </w:r>
      <w:r>
        <w:rPr/>
        <w:t>rm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7"/>
      </w:pPr>
      <w:r>
        <w:rPr/>
        <w:t>Firm size is measured as the natural log of total assets. Firm size approximates the degree of</w:t>
      </w:r>
      <w:r>
        <w:rPr>
          <w:spacing w:val="1"/>
        </w:rPr>
        <w:t> </w:t>
      </w:r>
      <w:r>
        <w:rPr/>
        <w:t>capital market frictions, where transactions costs are relatively lower for larger firms (Fischer,</w:t>
      </w:r>
      <w:r>
        <w:rPr>
          <w:spacing w:val="-57"/>
        </w:rPr>
        <w:t> </w:t>
      </w:r>
      <w:r>
        <w:rPr/>
        <w:t>et al., 1989). Interest groups and policy makers have long been drawing on average effective</w:t>
      </w:r>
      <w:r>
        <w:rPr>
          <w:spacing w:val="1"/>
        </w:rPr>
        <w:t> </w:t>
      </w:r>
      <w:r>
        <w:rPr/>
        <w:t>tax</w:t>
      </w:r>
      <w:r>
        <w:rPr>
          <w:spacing w:val="-4"/>
        </w:rPr>
        <w:t> </w:t>
      </w:r>
      <w:r>
        <w:rPr/>
        <w:t>rates</w:t>
      </w:r>
      <w:r>
        <w:rPr>
          <w:spacing w:val="-4"/>
        </w:rPr>
        <w:t> </w:t>
      </w:r>
      <w:r>
        <w:rPr/>
        <w:t>(ETRs)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conveniently</w:t>
      </w:r>
      <w:r>
        <w:rPr>
          <w:spacing w:val="-3"/>
        </w:rPr>
        <w:t> </w:t>
      </w:r>
      <w:r>
        <w:rPr/>
        <w:t>support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arguments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tax</w:t>
      </w:r>
      <w:r>
        <w:rPr>
          <w:spacing w:val="-4"/>
        </w:rPr>
        <w:t> </w:t>
      </w:r>
      <w:r>
        <w:rPr/>
        <w:t>reform</w:t>
      </w:r>
      <w:r>
        <w:rPr>
          <w:spacing w:val="-3"/>
        </w:rPr>
        <w:t> </w:t>
      </w:r>
      <w:r>
        <w:rPr/>
        <w:t>debates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discussions</w:t>
      </w:r>
      <w:r>
        <w:rPr>
          <w:spacing w:val="-58"/>
        </w:rPr>
        <w:t> </w:t>
      </w:r>
      <w:r>
        <w:rPr/>
        <w:t>on</w:t>
      </w:r>
      <w:r>
        <w:rPr>
          <w:spacing w:val="-2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tax</w:t>
      </w:r>
      <w:r>
        <w:rPr>
          <w:spacing w:val="-2"/>
        </w:rPr>
        <w:t> </w:t>
      </w:r>
      <w:r>
        <w:rPr/>
        <w:t>provisions (Callihan</w:t>
      </w:r>
      <w:r>
        <w:rPr>
          <w:spacing w:val="-2"/>
        </w:rPr>
        <w:t> </w:t>
      </w:r>
      <w:r>
        <w:rPr/>
        <w:t>1994).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focus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debate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size</w:t>
      </w:r>
      <w:r>
        <w:rPr>
          <w:spacing w:val="-3"/>
        </w:rPr>
        <w:t> </w:t>
      </w:r>
      <w:r>
        <w:rPr/>
        <w:t>led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58"/>
        </w:rPr>
        <w:t> </w:t>
      </w:r>
      <w:r>
        <w:rPr/>
        <w:t>stream of research investigating whether there is a systematic relation between firm size and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average</w:t>
      </w:r>
      <w:r>
        <w:rPr>
          <w:spacing w:val="1"/>
        </w:rPr>
        <w:t> </w:t>
      </w:r>
      <w:r>
        <w:rPr/>
        <w:t>ETRs.</w:t>
      </w:r>
    </w:p>
    <w:p>
      <w:pPr>
        <w:pStyle w:val="BodyText"/>
        <w:spacing w:line="480" w:lineRule="auto" w:before="200"/>
        <w:ind w:right="831"/>
      </w:pPr>
      <w:r>
        <w:rPr/>
        <w:t>Empirical studies showed different conclusion related to the relationship between effective tax</w:t>
      </w:r>
      <w:r>
        <w:rPr>
          <w:spacing w:val="-57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size.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researchers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ETR-based</w:t>
      </w:r>
      <w:r>
        <w:rPr>
          <w:spacing w:val="1"/>
        </w:rPr>
        <w:t> </w:t>
      </w:r>
      <w:r>
        <w:rPr>
          <w:spacing w:val="-1"/>
        </w:rPr>
        <w:t>avoidance</w:t>
      </w:r>
      <w:r>
        <w:rPr>
          <w:spacing w:val="-14"/>
        </w:rPr>
        <w:t> </w:t>
      </w:r>
      <w:r>
        <w:rPr>
          <w:spacing w:val="-1"/>
        </w:rPr>
        <w:t>proxies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company</w:t>
      </w:r>
      <w:r>
        <w:rPr>
          <w:spacing w:val="-15"/>
        </w:rPr>
        <w:t> </w:t>
      </w:r>
      <w:r>
        <w:rPr/>
        <w:t>size</w:t>
      </w:r>
      <w:r>
        <w:rPr>
          <w:spacing w:val="-13"/>
        </w:rPr>
        <w:t> </w:t>
      </w:r>
      <w:r>
        <w:rPr/>
        <w:t>(Minnick</w:t>
      </w:r>
      <w:r>
        <w:rPr>
          <w:spacing w:val="-15"/>
        </w:rPr>
        <w:t> </w:t>
      </w:r>
      <w:r>
        <w:rPr/>
        <w:t>&amp;</w:t>
      </w:r>
      <w:r>
        <w:rPr>
          <w:spacing w:val="-10"/>
        </w:rPr>
        <w:t> </w:t>
      </w:r>
      <w:r>
        <w:rPr/>
        <w:t>Noga,</w:t>
      </w:r>
      <w:r>
        <w:rPr>
          <w:spacing w:val="-15"/>
        </w:rPr>
        <w:t> </w:t>
      </w:r>
      <w:r>
        <w:rPr/>
        <w:t>2010;</w:t>
      </w:r>
      <w:r>
        <w:rPr>
          <w:spacing w:val="-12"/>
        </w:rPr>
        <w:t> </w:t>
      </w:r>
      <w:r>
        <w:rPr/>
        <w:t>Vieira,</w:t>
      </w:r>
      <w:r>
        <w:rPr>
          <w:spacing w:val="-12"/>
        </w:rPr>
        <w:t> </w:t>
      </w:r>
      <w:r>
        <w:rPr/>
        <w:t>2013;</w:t>
      </w:r>
      <w:r>
        <w:rPr>
          <w:spacing w:val="-14"/>
        </w:rPr>
        <w:t> </w:t>
      </w:r>
      <w:r>
        <w:rPr/>
        <w:t>Kraft,</w:t>
      </w:r>
      <w:r>
        <w:rPr>
          <w:spacing w:val="-12"/>
        </w:rPr>
        <w:t> </w:t>
      </w:r>
      <w:r>
        <w:rPr/>
        <w:t>2014),</w:t>
      </w:r>
      <w:r>
        <w:rPr>
          <w:spacing w:val="-13"/>
        </w:rPr>
        <w:t> </w:t>
      </w:r>
      <w:r>
        <w:rPr/>
        <w:t>which</w:t>
      </w:r>
      <w:r>
        <w:rPr>
          <w:spacing w:val="-57"/>
        </w:rPr>
        <w:t> </w:t>
      </w:r>
      <w:r>
        <w:rPr/>
        <w:t>is consistent with the political cost hypothesis, meaning that large firms are characterized by</w:t>
      </w:r>
      <w:r>
        <w:rPr>
          <w:spacing w:val="1"/>
        </w:rPr>
        <w:t> </w:t>
      </w:r>
      <w:r>
        <w:rPr/>
        <w:t>higher visibility and thus subject to greater regulatory activity (Watts and Zimmerman 1986).</w:t>
      </w:r>
      <w:r>
        <w:rPr>
          <w:spacing w:val="1"/>
        </w:rPr>
        <w:t> </w:t>
      </w:r>
      <w:r>
        <w:rPr/>
        <w:t>According to this theory, effective tax rates are a proxy for political cost for the reason that</w:t>
      </w:r>
      <w:r>
        <w:rPr>
          <w:spacing w:val="1"/>
        </w:rPr>
        <w:t> </w:t>
      </w:r>
      <w:r>
        <w:rPr/>
        <w:t>taxes paid are a mean of wealth transfer from firms to other social groups. Effective tax rates</w:t>
      </w:r>
      <w:r>
        <w:rPr>
          <w:spacing w:val="1"/>
        </w:rPr>
        <w:t> </w:t>
      </w:r>
      <w:r>
        <w:rPr/>
        <w:t>are also a proxy for firms’ success, therefore, if larger firms are more successful than smaller</w:t>
      </w:r>
      <w:r>
        <w:rPr>
          <w:spacing w:val="1"/>
        </w:rPr>
        <w:t> </w:t>
      </w:r>
      <w:r>
        <w:rPr/>
        <w:t>firms</w:t>
      </w:r>
      <w:r>
        <w:rPr>
          <w:spacing w:val="23"/>
        </w:rPr>
        <w:t> </w:t>
      </w:r>
      <w:r>
        <w:rPr/>
        <w:t>those</w:t>
      </w:r>
      <w:r>
        <w:rPr>
          <w:spacing w:val="23"/>
        </w:rPr>
        <w:t> </w:t>
      </w:r>
      <w:r>
        <w:rPr/>
        <w:t>will</w:t>
      </w:r>
      <w:r>
        <w:rPr>
          <w:spacing w:val="23"/>
        </w:rPr>
        <w:t> </w:t>
      </w:r>
      <w:r>
        <w:rPr/>
        <w:t>be</w:t>
      </w:r>
      <w:r>
        <w:rPr>
          <w:spacing w:val="22"/>
        </w:rPr>
        <w:t> </w:t>
      </w:r>
      <w:r>
        <w:rPr/>
        <w:t>exposed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more</w:t>
      </w:r>
      <w:r>
        <w:rPr>
          <w:spacing w:val="22"/>
        </w:rPr>
        <w:t> </w:t>
      </w:r>
      <w:r>
        <w:rPr/>
        <w:t>political</w:t>
      </w:r>
      <w:r>
        <w:rPr>
          <w:spacing w:val="23"/>
        </w:rPr>
        <w:t> </w:t>
      </w:r>
      <w:r>
        <w:rPr/>
        <w:t>scrutiny.</w:t>
      </w:r>
      <w:r>
        <w:rPr>
          <w:spacing w:val="23"/>
        </w:rPr>
        <w:t> </w:t>
      </w:r>
      <w:r>
        <w:rPr/>
        <w:t>As</w:t>
      </w:r>
      <w:r>
        <w:rPr>
          <w:spacing w:val="22"/>
        </w:rPr>
        <w:t> </w:t>
      </w:r>
      <w:r>
        <w:rPr/>
        <w:t>larger</w:t>
      </w:r>
      <w:r>
        <w:rPr>
          <w:spacing w:val="25"/>
        </w:rPr>
        <w:t> </w:t>
      </w:r>
      <w:r>
        <w:rPr/>
        <w:t>firms</w:t>
      </w:r>
      <w:r>
        <w:rPr>
          <w:spacing w:val="24"/>
        </w:rPr>
        <w:t> </w:t>
      </w:r>
      <w:r>
        <w:rPr/>
        <w:t>are</w:t>
      </w:r>
      <w:r>
        <w:rPr>
          <w:spacing w:val="21"/>
        </w:rPr>
        <w:t> </w:t>
      </w:r>
      <w:r>
        <w:rPr/>
        <w:t>subject</w:t>
      </w:r>
      <w:r>
        <w:rPr>
          <w:spacing w:val="24"/>
        </w:rPr>
        <w:t> </w:t>
      </w:r>
      <w:r>
        <w:rPr/>
        <w:t>to</w:t>
      </w:r>
      <w:r>
        <w:rPr>
          <w:spacing w:val="23"/>
        </w:rPr>
        <w:t> </w:t>
      </w:r>
      <w:r>
        <w:rPr/>
        <w:t>higher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2726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3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scrutiny from tax authorities, they have reluctance to reduce effective tax rates. Consequently,</w:t>
      </w:r>
      <w:r>
        <w:rPr>
          <w:spacing w:val="-57"/>
        </w:rPr>
        <w:t> </w:t>
      </w:r>
      <w:r>
        <w:rPr/>
        <w:t>larger firms are expected to have a higher taxation burden when compared with firms which</w:t>
      </w:r>
      <w:r>
        <w:rPr>
          <w:spacing w:val="1"/>
        </w:rPr>
        <w:t> </w:t>
      </w:r>
      <w:r>
        <w:rPr/>
        <w:t>have a smaller dimension since taxes paid represent political costs which shall be borne by</w:t>
      </w:r>
      <w:r>
        <w:rPr>
          <w:spacing w:val="1"/>
        </w:rPr>
        <w:t> </w:t>
      </w:r>
      <w:r>
        <w:rPr/>
        <w:t>firms. Another competing view argues that since larger firms have more power and more</w:t>
      </w:r>
      <w:r>
        <w:rPr>
          <w:spacing w:val="1"/>
        </w:rPr>
        <w:t> </w:t>
      </w:r>
      <w:r>
        <w:rPr/>
        <w:t>resources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manage</w:t>
      </w:r>
      <w:r>
        <w:rPr>
          <w:spacing w:val="-6"/>
        </w:rPr>
        <w:t> </w:t>
      </w:r>
      <w:r>
        <w:rPr/>
        <w:t>taxes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  <w:r>
        <w:rPr>
          <w:spacing w:val="-6"/>
        </w:rPr>
        <w:t> </w:t>
      </w:r>
      <w:r>
        <w:rPr/>
        <w:t>lower</w:t>
      </w:r>
      <w:r>
        <w:rPr>
          <w:spacing w:val="-6"/>
        </w:rPr>
        <w:t> </w:t>
      </w:r>
      <w:r>
        <w:rPr/>
        <w:t>ETRs.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non-ETR</w:t>
      </w:r>
      <w:r>
        <w:rPr>
          <w:spacing w:val="-5"/>
        </w:rPr>
        <w:t> </w:t>
      </w:r>
      <w:r>
        <w:rPr/>
        <w:t>measure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avoidance,</w:t>
      </w:r>
      <w:r>
        <w:rPr>
          <w:spacing w:val="1"/>
        </w:rPr>
        <w:t> </w:t>
      </w:r>
      <w:r>
        <w:rPr/>
        <w:t>Wilson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finds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shelter</w:t>
      </w:r>
      <w:r>
        <w:rPr>
          <w:spacing w:val="1"/>
        </w:rPr>
        <w:t> </w:t>
      </w:r>
      <w:r>
        <w:rPr/>
        <w:t>participation (as a proxy for particularly aggressive tax planning) and firm size. Rego (2003)</w:t>
      </w:r>
      <w:r>
        <w:rPr>
          <w:spacing w:val="1"/>
        </w:rPr>
        <w:t> </w:t>
      </w:r>
      <w:r>
        <w:rPr/>
        <w:t>finds</w:t>
      </w:r>
      <w:r>
        <w:rPr>
          <w:spacing w:val="-1"/>
        </w:rPr>
        <w:t> </w:t>
      </w:r>
      <w:r>
        <w:rPr/>
        <w:t>that larger firms have</w:t>
      </w:r>
      <w:r>
        <w:rPr>
          <w:spacing w:val="-1"/>
        </w:rPr>
        <w:t> </w:t>
      </w:r>
      <w:r>
        <w:rPr/>
        <w:t>higher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tax rates</w:t>
      </w:r>
    </w:p>
    <w:p>
      <w:pPr>
        <w:pStyle w:val="BodyText"/>
        <w:spacing w:line="480" w:lineRule="auto" w:before="203"/>
        <w:ind w:right="830"/>
      </w:pPr>
      <w:r>
        <w:rPr/>
        <w:t>Meanwhile,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conclude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ETR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size</w:t>
      </w:r>
      <w:r>
        <w:rPr>
          <w:spacing w:val="-57"/>
        </w:rPr>
        <w:t> </w:t>
      </w:r>
      <w:r>
        <w:rPr/>
        <w:t>(Derashid &amp; Zhang, 2003; Richardson &amp; Lanis, 2007). This is in line with the political power</w:t>
      </w:r>
      <w:r>
        <w:rPr>
          <w:spacing w:val="1"/>
        </w:rPr>
        <w:t> </w:t>
      </w:r>
      <w:r>
        <w:rPr/>
        <w:t>or clout theory, assuming that large firms have greater resources for lobbying and more</w:t>
      </w:r>
      <w:r>
        <w:rPr>
          <w:spacing w:val="1"/>
        </w:rPr>
        <w:t> </w:t>
      </w:r>
      <w:r>
        <w:rPr/>
        <w:t>sophisticated tax planning activities (Porcano 2006). Still others find no association between</w:t>
      </w:r>
      <w:r>
        <w:rPr>
          <w:spacing w:val="1"/>
        </w:rPr>
        <w:t> </w:t>
      </w:r>
      <w:r>
        <w:rPr/>
        <w:t>ETRs and firm size (Gupta &amp; Newberry 1997; Mills, Erickson, &amp; Maydew 1998). Gupta and</w:t>
      </w:r>
      <w:r>
        <w:rPr>
          <w:spacing w:val="1"/>
        </w:rPr>
        <w:t> </w:t>
      </w:r>
      <w:r>
        <w:rPr/>
        <w:t>Newberry (1997) stated</w:t>
      </w:r>
      <w:r>
        <w:rPr>
          <w:spacing w:val="1"/>
        </w:rPr>
        <w:t> </w:t>
      </w:r>
      <w:r>
        <w:rPr/>
        <w:t>that inconsistencies between ETR</w:t>
      </w:r>
      <w:r>
        <w:rPr>
          <w:spacing w:val="1"/>
        </w:rPr>
        <w:t> </w:t>
      </w:r>
      <w:r>
        <w:rPr/>
        <w:t>and company size are sample</w:t>
      </w:r>
      <w:r>
        <w:rPr>
          <w:spacing w:val="1"/>
        </w:rPr>
        <w:t> </w:t>
      </w:r>
      <w:r>
        <w:rPr/>
        <w:t>specific (related to sample selection), and it won’t happen to companies with longer histories.</w:t>
      </w:r>
      <w:r>
        <w:rPr>
          <w:spacing w:val="1"/>
        </w:rPr>
        <w:t> </w:t>
      </w:r>
      <w:r>
        <w:rPr/>
        <w:t>This means, if the sample used is companies with longer histories the result would show there</w:t>
      </w:r>
      <w:r>
        <w:rPr>
          <w:spacing w:val="1"/>
        </w:rPr>
        <w:t> </w:t>
      </w:r>
      <w:r>
        <w:rPr/>
        <w:t>are no significant relation between ETR with company size. Meanwhile, if the sample used is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shorter</w:t>
      </w:r>
      <w:r>
        <w:rPr>
          <w:spacing w:val="-1"/>
        </w:rPr>
        <w:t> </w:t>
      </w:r>
      <w:r>
        <w:rPr/>
        <w:t>histories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show</w:t>
      </w:r>
      <w:r>
        <w:rPr>
          <w:spacing w:val="-2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(either</w:t>
      </w:r>
      <w:r>
        <w:rPr>
          <w:spacing w:val="-58"/>
        </w:rPr>
        <w:t> </w:t>
      </w:r>
      <w:r>
        <w:rPr/>
        <w:t>negative or positive) between ETR and company size. Research in Indonesia on the relation</w:t>
      </w:r>
      <w:r>
        <w:rPr>
          <w:spacing w:val="1"/>
        </w:rPr>
        <w:t> </w:t>
      </w:r>
      <w:r>
        <w:rPr/>
        <w:t>between ETR and company size by Soepriyanto (2008) concluded that ETR has no significant</w:t>
      </w:r>
      <w:r>
        <w:rPr>
          <w:spacing w:val="-57"/>
        </w:rPr>
        <w:t> </w:t>
      </w:r>
      <w:r>
        <w:rPr/>
        <w:t>relation</w:t>
      </w:r>
      <w:r>
        <w:rPr>
          <w:spacing w:val="-1"/>
        </w:rPr>
        <w:t> </w:t>
      </w:r>
      <w:r>
        <w:rPr/>
        <w:t>with company size.</w:t>
      </w:r>
    </w:p>
    <w:p>
      <w:pPr>
        <w:pStyle w:val="BodyText"/>
        <w:spacing w:line="480" w:lineRule="auto" w:before="201"/>
        <w:ind w:right="830"/>
      </w:pPr>
      <w:r>
        <w:rPr/>
        <w:t>Richardson and Lanis (2007) also tested the association between firm size and ETRs in an</w:t>
      </w:r>
      <w:r>
        <w:rPr>
          <w:spacing w:val="1"/>
        </w:rPr>
        <w:t> </w:t>
      </w:r>
      <w:r>
        <w:rPr/>
        <w:t>Australian setting. For a sample of publicly-listed firms over the period from 1997-2003, the</w:t>
      </w:r>
      <w:r>
        <w:rPr>
          <w:spacing w:val="1"/>
        </w:rPr>
        <w:t> </w:t>
      </w:r>
      <w:r>
        <w:rPr/>
        <w:t>authors</w:t>
      </w:r>
      <w:r>
        <w:rPr>
          <w:spacing w:val="33"/>
        </w:rPr>
        <w:t> </w:t>
      </w:r>
      <w:r>
        <w:rPr/>
        <w:t>find</w:t>
      </w:r>
      <w:r>
        <w:rPr>
          <w:spacing w:val="34"/>
        </w:rPr>
        <w:t> </w:t>
      </w:r>
      <w:r>
        <w:rPr/>
        <w:t>results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line</w:t>
      </w:r>
      <w:r>
        <w:rPr>
          <w:spacing w:val="33"/>
        </w:rPr>
        <w:t> </w:t>
      </w:r>
      <w:r>
        <w:rPr/>
        <w:t>with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political</w:t>
      </w:r>
      <w:r>
        <w:rPr>
          <w:spacing w:val="35"/>
        </w:rPr>
        <w:t> </w:t>
      </w:r>
      <w:r>
        <w:rPr/>
        <w:t>power</w:t>
      </w:r>
      <w:r>
        <w:rPr>
          <w:spacing w:val="34"/>
        </w:rPr>
        <w:t> </w:t>
      </w:r>
      <w:r>
        <w:rPr/>
        <w:t>theory</w:t>
      </w:r>
      <w:r>
        <w:rPr>
          <w:spacing w:val="37"/>
        </w:rPr>
        <w:t> </w:t>
      </w:r>
      <w:r>
        <w:rPr/>
        <w:t>and</w:t>
      </w:r>
      <w:r>
        <w:rPr>
          <w:spacing w:val="33"/>
        </w:rPr>
        <w:t> </w:t>
      </w:r>
      <w:r>
        <w:rPr/>
        <w:t>posit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significant</w:t>
      </w:r>
      <w:r>
        <w:rPr>
          <w:spacing w:val="35"/>
        </w:rPr>
        <w:t> </w:t>
      </w:r>
      <w:r>
        <w:rPr/>
        <w:t>negative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2777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4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association</w:t>
      </w:r>
      <w:r>
        <w:rPr>
          <w:spacing w:val="-7"/>
        </w:rPr>
        <w:t> </w:t>
      </w:r>
      <w:r>
        <w:rPr/>
        <w:t>between</w:t>
      </w:r>
      <w:r>
        <w:rPr>
          <w:spacing w:val="-4"/>
        </w:rPr>
        <w:t> </w:t>
      </w:r>
      <w:r>
        <w:rPr/>
        <w:t>firm</w:t>
      </w:r>
      <w:r>
        <w:rPr>
          <w:spacing w:val="-7"/>
        </w:rPr>
        <w:t> </w:t>
      </w:r>
      <w:r>
        <w:rPr/>
        <w:t>size,</w:t>
      </w:r>
      <w:r>
        <w:rPr>
          <w:spacing w:val="-6"/>
        </w:rPr>
        <w:t> </w:t>
      </w:r>
      <w:r>
        <w:rPr/>
        <w:t>measured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natural</w:t>
      </w:r>
      <w:r>
        <w:rPr>
          <w:spacing w:val="-6"/>
        </w:rPr>
        <w:t> </w:t>
      </w:r>
      <w:r>
        <w:rPr/>
        <w:t>logarithm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7"/>
        </w:rPr>
        <w:t> </w:t>
      </w:r>
      <w:r>
        <w:rPr/>
        <w:t>assets</w:t>
      </w:r>
      <w:r>
        <w:rPr>
          <w:spacing w:val="-6"/>
        </w:rPr>
        <w:t> </w:t>
      </w:r>
      <w:r>
        <w:rPr/>
        <w:t>(at</w:t>
      </w:r>
      <w:r>
        <w:rPr>
          <w:spacing w:val="-7"/>
        </w:rPr>
        <w:t> </w:t>
      </w:r>
      <w:r>
        <w:rPr/>
        <w:t>book</w:t>
      </w:r>
      <w:r>
        <w:rPr>
          <w:spacing w:val="-6"/>
        </w:rPr>
        <w:t> </w:t>
      </w:r>
      <w:r>
        <w:rPr/>
        <w:t>value),</w:t>
      </w:r>
      <w:r>
        <w:rPr>
          <w:spacing w:val="-58"/>
        </w:rPr>
        <w:t> </w:t>
      </w:r>
      <w:r>
        <w:rPr/>
        <w:t>and ETRs. However, Richardson and Lanis (2007) also point to limitations of their research</w:t>
      </w:r>
      <w:r>
        <w:rPr>
          <w:spacing w:val="1"/>
        </w:rPr>
        <w:t> </w:t>
      </w:r>
      <w:r>
        <w:rPr/>
        <w:t>design in terms of data unavailability: there is no control for foreign operations and ownership</w:t>
      </w:r>
      <w:r>
        <w:rPr>
          <w:spacing w:val="-57"/>
        </w:rPr>
        <w:t> </w:t>
      </w:r>
      <w:r>
        <w:rPr/>
        <w:t>structures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it</w:t>
      </w:r>
      <w:r>
        <w:rPr>
          <w:spacing w:val="-8"/>
        </w:rPr>
        <w:t> </w:t>
      </w:r>
      <w:r>
        <w:rPr/>
        <w:t>cannot</w:t>
      </w:r>
      <w:r>
        <w:rPr>
          <w:spacing w:val="-7"/>
        </w:rPr>
        <w:t> </w:t>
      </w:r>
      <w:r>
        <w:rPr/>
        <w:t>be</w:t>
      </w:r>
      <w:r>
        <w:rPr>
          <w:spacing w:val="-10"/>
        </w:rPr>
        <w:t> </w:t>
      </w:r>
      <w:r>
        <w:rPr/>
        <w:t>said</w:t>
      </w:r>
      <w:r>
        <w:rPr>
          <w:spacing w:val="-5"/>
        </w:rPr>
        <w:t> </w:t>
      </w:r>
      <w:r>
        <w:rPr/>
        <w:t>whether</w:t>
      </w:r>
      <w:r>
        <w:rPr>
          <w:spacing w:val="-8"/>
        </w:rPr>
        <w:t> </w:t>
      </w:r>
      <w:r>
        <w:rPr/>
        <w:t>results</w:t>
      </w:r>
      <w:r>
        <w:rPr>
          <w:spacing w:val="-5"/>
        </w:rPr>
        <w:t> </w:t>
      </w:r>
      <w:r>
        <w:rPr/>
        <w:t>would</w:t>
      </w:r>
      <w:r>
        <w:rPr>
          <w:spacing w:val="-8"/>
        </w:rPr>
        <w:t> </w:t>
      </w:r>
      <w:r>
        <w:rPr/>
        <w:t>also</w:t>
      </w:r>
      <w:r>
        <w:rPr>
          <w:spacing w:val="-7"/>
        </w:rPr>
        <w:t> </w:t>
      </w:r>
      <w:r>
        <w:rPr/>
        <w:t>apply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non-listed</w:t>
      </w:r>
      <w:r>
        <w:rPr>
          <w:spacing w:val="-8"/>
        </w:rPr>
        <w:t> </w:t>
      </w:r>
      <w:r>
        <w:rPr/>
        <w:t>firms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57"/>
        </w:rPr>
        <w:t> </w:t>
      </w:r>
      <w:r>
        <w:rPr/>
        <w:t>no such firms included in the sample. Most recent studies confirm the existence of a positive</w:t>
      </w:r>
      <w:r>
        <w:rPr>
          <w:spacing w:val="1"/>
        </w:rPr>
        <w:t> </w:t>
      </w:r>
      <w:r>
        <w:rPr/>
        <w:t>relationship between firm size and the effective tax rate (Richardson </w:t>
      </w:r>
      <w:r>
        <w:rPr>
          <w:i/>
        </w:rPr>
        <w:t>et al., </w:t>
      </w:r>
      <w:r>
        <w:rPr/>
        <w:t>2013; Desai &amp;</w:t>
      </w:r>
      <w:r>
        <w:rPr>
          <w:spacing w:val="1"/>
        </w:rPr>
        <w:t> </w:t>
      </w:r>
      <w:r>
        <w:rPr/>
        <w:t>Dharmapala, 2006; Chen </w:t>
      </w:r>
      <w:r>
        <w:rPr>
          <w:i/>
        </w:rPr>
        <w:t>et al., </w:t>
      </w:r>
      <w:r>
        <w:rPr/>
        <w:t>2010). Several authors considers effective tax rate as the most</w:t>
      </w:r>
      <w:r>
        <w:rPr>
          <w:spacing w:val="1"/>
        </w:rPr>
        <w:t> </w:t>
      </w:r>
      <w:r>
        <w:rPr/>
        <w:t>relevant measure of the ability of the company to optimize its tax burden and invariably avoid</w:t>
      </w:r>
      <w:r>
        <w:rPr>
          <w:spacing w:val="1"/>
        </w:rPr>
        <w:t> </w:t>
      </w:r>
      <w:r>
        <w:rPr/>
        <w:t>tax</w:t>
      </w:r>
      <w:r>
        <w:rPr>
          <w:spacing w:val="-1"/>
        </w:rPr>
        <w:t> </w:t>
      </w:r>
      <w:r>
        <w:rPr/>
        <w:t>(Chadefaux &amp; Rossignol, 2006).</w:t>
      </w:r>
    </w:p>
    <w:p>
      <w:pPr>
        <w:pStyle w:val="Heading1"/>
        <w:numPr>
          <w:ilvl w:val="2"/>
          <w:numId w:val="19"/>
        </w:numPr>
        <w:tabs>
          <w:tab w:pos="1362" w:val="left" w:leader="none"/>
        </w:tabs>
        <w:spacing w:line="240" w:lineRule="auto" w:before="203" w:after="0"/>
        <w:ind w:left="1362" w:right="0" w:hanging="540"/>
        <w:jc w:val="both"/>
      </w:pPr>
      <w:bookmarkStart w:name="_bookmark50" w:id="86"/>
      <w:bookmarkEnd w:id="86"/>
      <w:r>
        <w:rPr>
          <w:b w:val="0"/>
        </w:rPr>
      </w:r>
      <w:bookmarkStart w:name="_bookmark50" w:id="87"/>
      <w:bookmarkEnd w:id="87"/>
      <w:r>
        <w:rPr/>
        <w:t>P</w:t>
      </w:r>
      <w:r>
        <w:rPr/>
        <w:t>rofitability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9"/>
      </w:pPr>
      <w:r>
        <w:rPr/>
        <w:t>An intuitive indicator with capacity to influence effective tax rate is firms’ profitability.</w:t>
      </w:r>
      <w:r>
        <w:rPr>
          <w:spacing w:val="1"/>
        </w:rPr>
        <w:t> </w:t>
      </w:r>
      <w:r>
        <w:rPr/>
        <w:t>Specifically, when profitability is measured based on pre-tax income it is expected that more</w:t>
      </w:r>
      <w:r>
        <w:rPr>
          <w:spacing w:val="1"/>
        </w:rPr>
        <w:t> </w:t>
      </w:r>
      <w:r>
        <w:rPr/>
        <w:t>profitable firms have higher earnings and, consequently, pay more taxes. This point of view is</w:t>
      </w:r>
      <w:r>
        <w:rPr>
          <w:spacing w:val="-57"/>
        </w:rPr>
        <w:t> </w:t>
      </w:r>
      <w:r>
        <w:rPr/>
        <w:t>the one most evident in the literature (Ribeiro et al., 2015). An early study by Gupta and</w:t>
      </w:r>
      <w:r>
        <w:rPr>
          <w:spacing w:val="1"/>
        </w:rPr>
        <w:t> </w:t>
      </w:r>
      <w:r>
        <w:rPr/>
        <w:t>Newberry (1997) finds that tax avoidance is associated with firm profitability. Gupta and</w:t>
      </w:r>
      <w:r>
        <w:rPr>
          <w:spacing w:val="1"/>
        </w:rPr>
        <w:t> </w:t>
      </w:r>
      <w:r>
        <w:rPr/>
        <w:t>Newberry</w:t>
      </w:r>
      <w:r>
        <w:rPr>
          <w:spacing w:val="-5"/>
        </w:rPr>
        <w:t> </w:t>
      </w:r>
      <w:r>
        <w:rPr/>
        <w:t>(1997)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first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investigate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association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GAAP</w:t>
      </w:r>
      <w:r>
        <w:rPr>
          <w:spacing w:val="-3"/>
        </w:rPr>
        <w:t> </w:t>
      </w:r>
      <w:r>
        <w:rPr/>
        <w:t>ETRs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multiple firm-level characteristics. Multivariate results derived from micro-level panel data</w:t>
      </w:r>
      <w:r>
        <w:rPr>
          <w:spacing w:val="1"/>
        </w:rPr>
        <w:t> </w:t>
      </w:r>
      <w:r>
        <w:rPr/>
        <w:t>show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ETRs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associated</w:t>
      </w:r>
      <w:r>
        <w:rPr>
          <w:spacing w:val="-6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number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firm</w:t>
      </w:r>
      <w:r>
        <w:rPr>
          <w:spacing w:val="-5"/>
        </w:rPr>
        <w:t> </w:t>
      </w:r>
      <w:r>
        <w:rPr/>
        <w:t>characteristics</w:t>
      </w:r>
      <w:r>
        <w:rPr>
          <w:spacing w:val="-5"/>
        </w:rPr>
        <w:t> </w:t>
      </w:r>
      <w:r>
        <w:rPr/>
        <w:t>besides</w:t>
      </w:r>
      <w:r>
        <w:rPr>
          <w:spacing w:val="-57"/>
        </w:rPr>
        <w:t> </w:t>
      </w:r>
      <w:r>
        <w:rPr/>
        <w:t>size, e.g. firm profitability. Profitability is commonly measured as either return on assets or</w:t>
      </w:r>
      <w:r>
        <w:rPr>
          <w:spacing w:val="1"/>
        </w:rPr>
        <w:t> </w:t>
      </w:r>
      <w:r>
        <w:rPr/>
        <w:t>cash flow from operations. The basic argument is that more profitable firms arguably have a</w:t>
      </w:r>
      <w:r>
        <w:rPr>
          <w:spacing w:val="1"/>
        </w:rPr>
        <w:t> </w:t>
      </w:r>
      <w:r>
        <w:rPr/>
        <w:t>greater incentive to reduce their tax burden as compared to firms that are less profitable</w:t>
      </w:r>
      <w:r>
        <w:rPr>
          <w:spacing w:val="1"/>
        </w:rPr>
        <w:t> </w:t>
      </w:r>
      <w:r>
        <w:rPr/>
        <w:t>(Dunbar, Higgins, Phillips, &amp; Plesko, 2010). More profitable firms generally pay higher taxes.</w:t>
      </w:r>
      <w:r>
        <w:rPr>
          <w:spacing w:val="-57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other</w:t>
      </w:r>
      <w:r>
        <w:rPr>
          <w:spacing w:val="-7"/>
        </w:rPr>
        <w:t> </w:t>
      </w:r>
      <w:r>
        <w:rPr/>
        <w:t>hand,</w:t>
      </w:r>
      <w:r>
        <w:rPr>
          <w:spacing w:val="-8"/>
        </w:rPr>
        <w:t> </w:t>
      </w:r>
      <w:r>
        <w:rPr/>
        <w:t>one</w:t>
      </w:r>
      <w:r>
        <w:rPr>
          <w:spacing w:val="-9"/>
        </w:rPr>
        <w:t> </w:t>
      </w:r>
      <w:r>
        <w:rPr/>
        <w:t>could</w:t>
      </w:r>
      <w:r>
        <w:rPr>
          <w:spacing w:val="-6"/>
        </w:rPr>
        <w:t> </w:t>
      </w:r>
      <w:r>
        <w:rPr/>
        <w:t>argue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more</w:t>
      </w:r>
      <w:r>
        <w:rPr>
          <w:spacing w:val="-9"/>
        </w:rPr>
        <w:t> </w:t>
      </w:r>
      <w:r>
        <w:rPr/>
        <w:t>profitable</w:t>
      </w:r>
      <w:r>
        <w:rPr>
          <w:spacing w:val="-8"/>
        </w:rPr>
        <w:t> </w:t>
      </w:r>
      <w:r>
        <w:rPr/>
        <w:t>firms</w:t>
      </w:r>
      <w:r>
        <w:rPr>
          <w:spacing w:val="-6"/>
        </w:rPr>
        <w:t> </w:t>
      </w:r>
      <w:r>
        <w:rPr/>
        <w:t>have</w:t>
      </w:r>
      <w:r>
        <w:rPr>
          <w:spacing w:val="-9"/>
        </w:rPr>
        <w:t> </w:t>
      </w:r>
      <w:r>
        <w:rPr/>
        <w:t>greater</w:t>
      </w:r>
      <w:r>
        <w:rPr>
          <w:spacing w:val="-8"/>
        </w:rPr>
        <w:t> </w:t>
      </w:r>
      <w:r>
        <w:rPr/>
        <w:t>incentives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engage</w:t>
      </w:r>
      <w:r>
        <w:rPr>
          <w:spacing w:val="-57"/>
        </w:rPr>
        <w:t> </w:t>
      </w:r>
      <w:r>
        <w:rPr/>
        <w:t>in</w:t>
      </w:r>
      <w:r>
        <w:rPr>
          <w:spacing w:val="-13"/>
        </w:rPr>
        <w:t> </w:t>
      </w:r>
      <w:r>
        <w:rPr/>
        <w:t>tax</w:t>
      </w:r>
      <w:r>
        <w:rPr>
          <w:spacing w:val="-13"/>
        </w:rPr>
        <w:t> </w:t>
      </w:r>
      <w:r>
        <w:rPr/>
        <w:t>avoidance</w:t>
      </w:r>
      <w:r>
        <w:rPr>
          <w:spacing w:val="-1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greater</w:t>
      </w:r>
      <w:r>
        <w:rPr>
          <w:spacing w:val="-12"/>
        </w:rPr>
        <w:t> </w:t>
      </w:r>
      <w:r>
        <w:rPr/>
        <w:t>potential</w:t>
      </w:r>
      <w:r>
        <w:rPr>
          <w:spacing w:val="-12"/>
        </w:rPr>
        <w:t> </w:t>
      </w:r>
      <w:r>
        <w:rPr/>
        <w:t>savings</w:t>
      </w:r>
      <w:r>
        <w:rPr>
          <w:spacing w:val="-12"/>
        </w:rPr>
        <w:t> </w:t>
      </w:r>
      <w:r>
        <w:rPr/>
        <w:t>(Rego</w:t>
      </w:r>
      <w:r>
        <w:rPr>
          <w:spacing w:val="-12"/>
        </w:rPr>
        <w:t> </w:t>
      </w:r>
      <w:r>
        <w:rPr/>
        <w:t>2003;</w:t>
      </w:r>
      <w:r>
        <w:rPr>
          <w:spacing w:val="-10"/>
        </w:rPr>
        <w:t> </w:t>
      </w:r>
      <w:r>
        <w:rPr/>
        <w:t>McGuire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2"/>
        </w:rPr>
        <w:t> </w:t>
      </w:r>
      <w:r>
        <w:rPr>
          <w:i/>
        </w:rPr>
        <w:t>al</w:t>
      </w:r>
      <w:r>
        <w:rPr/>
        <w:t>.</w:t>
      </w:r>
      <w:r>
        <w:rPr>
          <w:spacing w:val="-12"/>
        </w:rPr>
        <w:t> </w:t>
      </w:r>
      <w:r>
        <w:rPr/>
        <w:t>2012).</w:t>
      </w:r>
      <w:r>
        <w:rPr>
          <w:spacing w:val="-10"/>
        </w:rPr>
        <w:t> </w:t>
      </w:r>
      <w:r>
        <w:rPr/>
        <w:t>As</w:t>
      </w:r>
      <w:r>
        <w:rPr>
          <w:spacing w:val="-13"/>
        </w:rPr>
        <w:t> </w:t>
      </w:r>
      <w:r>
        <w:rPr/>
        <w:t>well,</w:t>
      </w:r>
    </w:p>
    <w:p>
      <w:pPr>
        <w:pStyle w:val="BodyText"/>
        <w:spacing w:before="1"/>
      </w:pPr>
      <w:r>
        <w:rPr/>
        <w:t>Manzon</w:t>
      </w:r>
      <w:r>
        <w:rPr>
          <w:spacing w:val="53"/>
        </w:rPr>
        <w:t> </w:t>
      </w:r>
      <w:r>
        <w:rPr/>
        <w:t>and</w:t>
      </w:r>
      <w:r>
        <w:rPr>
          <w:spacing w:val="57"/>
        </w:rPr>
        <w:t> </w:t>
      </w:r>
      <w:r>
        <w:rPr/>
        <w:t>Plesko</w:t>
      </w:r>
      <w:r>
        <w:rPr>
          <w:spacing w:val="54"/>
        </w:rPr>
        <w:t> </w:t>
      </w:r>
      <w:r>
        <w:rPr/>
        <w:t>(2002)</w:t>
      </w:r>
      <w:r>
        <w:rPr>
          <w:spacing w:val="53"/>
        </w:rPr>
        <w:t> </w:t>
      </w:r>
      <w:r>
        <w:rPr/>
        <w:t>argue</w:t>
      </w:r>
      <w:r>
        <w:rPr>
          <w:spacing w:val="54"/>
        </w:rPr>
        <w:t> </w:t>
      </w:r>
      <w:r>
        <w:rPr/>
        <w:t>that</w:t>
      </w:r>
      <w:r>
        <w:rPr>
          <w:spacing w:val="55"/>
        </w:rPr>
        <w:t> </w:t>
      </w:r>
      <w:r>
        <w:rPr/>
        <w:t>more</w:t>
      </w:r>
      <w:r>
        <w:rPr>
          <w:spacing w:val="54"/>
        </w:rPr>
        <w:t> </w:t>
      </w:r>
      <w:r>
        <w:rPr/>
        <w:t>profitable</w:t>
      </w:r>
      <w:r>
        <w:rPr>
          <w:spacing w:val="53"/>
        </w:rPr>
        <w:t> </w:t>
      </w:r>
      <w:r>
        <w:rPr/>
        <w:t>firms</w:t>
      </w:r>
      <w:r>
        <w:rPr>
          <w:spacing w:val="55"/>
        </w:rPr>
        <w:t> </w:t>
      </w:r>
      <w:r>
        <w:rPr/>
        <w:t>can</w:t>
      </w:r>
      <w:r>
        <w:rPr>
          <w:spacing w:val="54"/>
        </w:rPr>
        <w:t> </w:t>
      </w:r>
      <w:r>
        <w:rPr/>
        <w:t>make</w:t>
      </w:r>
      <w:r>
        <w:rPr>
          <w:spacing w:val="56"/>
        </w:rPr>
        <w:t> </w:t>
      </w:r>
      <w:r>
        <w:rPr/>
        <w:t>better</w:t>
      </w:r>
      <w:r>
        <w:rPr>
          <w:spacing w:val="53"/>
        </w:rPr>
        <w:t> </w:t>
      </w:r>
      <w:r>
        <w:rPr/>
        <w:t>use</w:t>
      </w:r>
      <w:r>
        <w:rPr>
          <w:spacing w:val="56"/>
        </w:rPr>
        <w:t> </w:t>
      </w:r>
      <w:r>
        <w:rPr/>
        <w:t>of</w:t>
      </w:r>
      <w:r>
        <w:rPr>
          <w:spacing w:val="54"/>
        </w:rPr>
        <w:t> </w:t>
      </w:r>
      <w:r>
        <w:rPr/>
        <w:t>tax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28288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4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51" w:id="88"/>
      <w:bookmarkEnd w:id="88"/>
      <w:r>
        <w:rPr/>
      </w:r>
      <w:r>
        <w:rPr/>
        <w:t>deductions, exemptions, and credits. Lisowsky (2010) showed that tax avoidance is positively</w:t>
      </w:r>
      <w:r>
        <w:rPr>
          <w:spacing w:val="1"/>
        </w:rPr>
        <w:t> </w:t>
      </w:r>
      <w:r>
        <w:rPr/>
        <w:t>associated with performance. Rego (2003) also asserted that firms with higher pre-tax income</w:t>
      </w:r>
      <w:r>
        <w:rPr>
          <w:spacing w:val="1"/>
        </w:rPr>
        <w:t> </w:t>
      </w:r>
      <w:r>
        <w:rPr/>
        <w:t>have lower</w:t>
      </w:r>
      <w:r>
        <w:rPr>
          <w:spacing w:val="1"/>
        </w:rPr>
        <w:t> </w:t>
      </w:r>
      <w:r>
        <w:rPr/>
        <w:t>effective tax</w:t>
      </w:r>
      <w:r>
        <w:rPr>
          <w:spacing w:val="1"/>
        </w:rPr>
        <w:t> </w:t>
      </w:r>
      <w:r>
        <w:rPr/>
        <w:t>rates,</w:t>
      </w:r>
      <w:r>
        <w:rPr>
          <w:spacing w:val="1"/>
        </w:rPr>
        <w:t> </w:t>
      </w:r>
      <w:r>
        <w:rPr/>
        <w:t>ceteris</w:t>
      </w:r>
      <w:r>
        <w:rPr>
          <w:spacing w:val="1"/>
        </w:rPr>
        <w:t> </w:t>
      </w:r>
      <w:r>
        <w:rPr/>
        <w:t>paribus.</w:t>
      </w:r>
      <w:r>
        <w:rPr>
          <w:spacing w:val="1"/>
        </w:rPr>
        <w:t> </w:t>
      </w:r>
      <w:r>
        <w:rPr/>
        <w:t>Profitable companies</w:t>
      </w:r>
      <w:r>
        <w:rPr>
          <w:spacing w:val="1"/>
        </w:rPr>
        <w:t> </w:t>
      </w:r>
      <w:r>
        <w:rPr/>
        <w:t>may have</w:t>
      </w:r>
      <w:r>
        <w:rPr>
          <w:spacing w:val="1"/>
        </w:rPr>
        <w:t> </w:t>
      </w:r>
      <w:r>
        <w:rPr/>
        <w:t>a greater</w:t>
      </w:r>
      <w:r>
        <w:rPr>
          <w:spacing w:val="1"/>
        </w:rPr>
        <w:t> </w:t>
      </w:r>
      <w:r>
        <w:rPr/>
        <w:t>incentive than loss companies to engage in tax planning (Rego, 2003), which should lead to</w:t>
      </w:r>
      <w:r>
        <w:rPr>
          <w:spacing w:val="1"/>
        </w:rPr>
        <w:t> </w:t>
      </w:r>
      <w:r>
        <w:rPr/>
        <w:t>lower effective rates. A positive association between firms’ profitability and ETR was found</w:t>
      </w:r>
      <w:r>
        <w:rPr>
          <w:spacing w:val="1"/>
        </w:rPr>
        <w:t> </w:t>
      </w:r>
      <w:r>
        <w:rPr/>
        <w:t>by Gupta and Newberry (1997), Richardson and Lanis (2007), Minick and Noga (2010) and</w:t>
      </w:r>
      <w:r>
        <w:rPr>
          <w:spacing w:val="1"/>
        </w:rPr>
        <w:t> </w:t>
      </w:r>
      <w:r>
        <w:rPr/>
        <w:t>Armstrong et al. (2012). Derashid and Zhang (2003) and Kraft (2014) document a negative</w:t>
      </w:r>
      <w:r>
        <w:rPr>
          <w:spacing w:val="1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firms’ profitability on ETRs.</w:t>
      </w:r>
    </w:p>
    <w:p>
      <w:pPr>
        <w:pStyle w:val="BodyText"/>
        <w:spacing w:line="480" w:lineRule="auto" w:before="203"/>
        <w:ind w:right="829"/>
      </w:pPr>
      <w:r>
        <w:rPr/>
        <w:t>Dhaliwal et al. (2011) assert that companies with net operating losses</w:t>
      </w:r>
      <w:r>
        <w:rPr>
          <w:spacing w:val="1"/>
        </w:rPr>
        <w:t> </w:t>
      </w:r>
      <w:r>
        <w:rPr/>
        <w:t>(NOL) have little</w:t>
      </w:r>
      <w:r>
        <w:rPr>
          <w:spacing w:val="1"/>
        </w:rPr>
        <w:t> </w:t>
      </w:r>
      <w:r>
        <w:rPr/>
        <w:t>incentive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implement</w:t>
      </w:r>
      <w:r>
        <w:rPr>
          <w:spacing w:val="-6"/>
        </w:rPr>
        <w:t> </w:t>
      </w:r>
      <w:r>
        <w:rPr/>
        <w:t>tax</w:t>
      </w:r>
      <w:r>
        <w:rPr>
          <w:spacing w:val="-7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strategies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reduce</w:t>
      </w:r>
      <w:r>
        <w:rPr>
          <w:spacing w:val="-6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rates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subsequently</w:t>
      </w:r>
      <w:r>
        <w:rPr>
          <w:spacing w:val="-6"/>
        </w:rPr>
        <w:t> </w:t>
      </w:r>
      <w:r>
        <w:rPr/>
        <w:t>find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NOL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rates.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relationship,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firm’s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valuation</w:t>
      </w:r>
      <w:r>
        <w:rPr>
          <w:spacing w:val="-58"/>
        </w:rPr>
        <w:t> </w:t>
      </w:r>
      <w:r>
        <w:rPr/>
        <w:t>allowances and current taxes payable. These complications may help to explain a negative</w:t>
      </w:r>
      <w:r>
        <w:rPr>
          <w:spacing w:val="1"/>
        </w:rPr>
        <w:t> </w:t>
      </w:r>
      <w:r>
        <w:rPr/>
        <w:t>association between NOLs and ETRs that is evidenced in other prior research (Dyreng &amp;</w:t>
      </w:r>
      <w:r>
        <w:rPr>
          <w:spacing w:val="1"/>
        </w:rPr>
        <w:t> </w:t>
      </w:r>
      <w:r>
        <w:rPr/>
        <w:t>Lindsey, 2009; Higgins, Omer, &amp; Phillips, 2011; Rego, 2003). Phillips (2003) and Dhaliwal et</w:t>
      </w:r>
      <w:r>
        <w:rPr>
          <w:spacing w:val="-57"/>
        </w:rPr>
        <w:t> </w:t>
      </w:r>
      <w:r>
        <w:rPr>
          <w:spacing w:val="-1"/>
        </w:rPr>
        <w:t>al.</w:t>
      </w:r>
      <w:r>
        <w:rPr>
          <w:spacing w:val="-14"/>
        </w:rPr>
        <w:t> </w:t>
      </w:r>
      <w:r>
        <w:rPr>
          <w:spacing w:val="-1"/>
        </w:rPr>
        <w:t>(2011)</w:t>
      </w:r>
      <w:r>
        <w:rPr>
          <w:spacing w:val="-16"/>
        </w:rPr>
        <w:t> </w:t>
      </w:r>
      <w:r>
        <w:rPr>
          <w:spacing w:val="-1"/>
        </w:rPr>
        <w:t>find</w:t>
      </w:r>
      <w:r>
        <w:rPr>
          <w:spacing w:val="-15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/>
        <w:t>negative</w:t>
      </w:r>
      <w:r>
        <w:rPr>
          <w:spacing w:val="-13"/>
        </w:rPr>
        <w:t> </w:t>
      </w:r>
      <w:r>
        <w:rPr/>
        <w:t>association</w:t>
      </w:r>
      <w:r>
        <w:rPr>
          <w:spacing w:val="-1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Book</w:t>
      </w:r>
      <w:r>
        <w:rPr>
          <w:spacing w:val="-15"/>
        </w:rPr>
        <w:t> </w:t>
      </w:r>
      <w:r>
        <w:rPr/>
        <w:t>(i.e.</w:t>
      </w:r>
      <w:r>
        <w:rPr>
          <w:spacing w:val="-15"/>
        </w:rPr>
        <w:t> </w:t>
      </w:r>
      <w:r>
        <w:rPr/>
        <w:t>GAAP)</w:t>
      </w:r>
      <w:r>
        <w:rPr>
          <w:spacing w:val="-15"/>
        </w:rPr>
        <w:t> </w:t>
      </w:r>
      <w:r>
        <w:rPr/>
        <w:t>ETR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ROA,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supports</w:t>
      </w:r>
      <w:r>
        <w:rPr>
          <w:spacing w:val="-57"/>
        </w:rPr>
        <w:t> </w:t>
      </w:r>
      <w:r>
        <w:rPr/>
        <w:t>this assertion. However, Dyreng et al. (2010) and Robinson et al. (2010) find that ROA is</w:t>
      </w:r>
      <w:r>
        <w:rPr>
          <w:spacing w:val="1"/>
        </w:rPr>
        <w:t> </w:t>
      </w:r>
      <w:r>
        <w:rPr/>
        <w:t>positively</w:t>
      </w:r>
      <w:r>
        <w:rPr>
          <w:spacing w:val="-1"/>
        </w:rPr>
        <w:t> </w:t>
      </w:r>
      <w:r>
        <w:rPr/>
        <w:t>related to Book ETR.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numPr>
          <w:ilvl w:val="2"/>
          <w:numId w:val="19"/>
        </w:numPr>
        <w:tabs>
          <w:tab w:pos="1362" w:val="left" w:leader="none"/>
        </w:tabs>
        <w:spacing w:line="240" w:lineRule="auto" w:before="77" w:after="0"/>
        <w:ind w:left="1362" w:right="0" w:hanging="540"/>
        <w:jc w:val="left"/>
      </w:pPr>
      <w:r>
        <w:rPr/>
        <w:t>Leverage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9"/>
      </w:pPr>
      <w:r>
        <w:rPr/>
        <w:drawing>
          <wp:anchor distT="0" distB="0" distL="0" distR="0" allowOverlap="1" layoutInCell="1" locked="0" behindDoc="1" simplePos="0" relativeHeight="454028800">
            <wp:simplePos x="0" y="0"/>
            <wp:positionH relativeFrom="page">
              <wp:posOffset>1261605</wp:posOffset>
            </wp:positionH>
            <wp:positionV relativeFrom="paragraph">
              <wp:posOffset>1388403</wp:posOffset>
            </wp:positionV>
            <wp:extent cx="5133225" cy="5265293"/>
            <wp:effectExtent l="0" t="0" r="0" b="0"/>
            <wp:wrapNone/>
            <wp:docPr id="14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Leverage</w:t>
      </w:r>
      <w:r>
        <w:rPr>
          <w:spacing w:val="-12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representative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complex</w:t>
      </w:r>
      <w:r>
        <w:rPr>
          <w:spacing w:val="-9"/>
        </w:rPr>
        <w:t> </w:t>
      </w:r>
      <w:r>
        <w:rPr/>
        <w:t>financing</w:t>
      </w:r>
      <w:r>
        <w:rPr>
          <w:spacing w:val="-11"/>
        </w:rPr>
        <w:t> </w:t>
      </w:r>
      <w:r>
        <w:rPr/>
        <w:t>arrangements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minimize</w:t>
      </w:r>
      <w:r>
        <w:rPr>
          <w:spacing w:val="-12"/>
        </w:rPr>
        <w:t> </w:t>
      </w:r>
      <w:r>
        <w:rPr/>
        <w:t>taxes</w:t>
      </w:r>
      <w:r>
        <w:rPr>
          <w:spacing w:val="-11"/>
        </w:rPr>
        <w:t> </w:t>
      </w:r>
      <w:r>
        <w:rPr/>
        <w:t>(Mills,</w:t>
      </w:r>
      <w:r>
        <w:rPr>
          <w:spacing w:val="-58"/>
        </w:rPr>
        <w:t> </w:t>
      </w:r>
      <w:r>
        <w:rPr/>
        <w:t>et al., 1998). Leveraged firms using debt capital to finance their activities incur interest</w:t>
      </w:r>
      <w:r>
        <w:rPr>
          <w:spacing w:val="1"/>
        </w:rPr>
        <w:t> </w:t>
      </w:r>
      <w:r>
        <w:rPr/>
        <w:t>expenses that are, as opposed to dividend payments, deductible for taxable income. Leveraged</w:t>
      </w:r>
      <w:r>
        <w:rPr>
          <w:spacing w:val="-57"/>
        </w:rPr>
        <w:t> </w:t>
      </w:r>
      <w:r>
        <w:rPr/>
        <w:t>firms thus benefit from a tax shield, its value increasing with financial leverage (Wrightsman,</w:t>
      </w:r>
      <w:r>
        <w:rPr>
          <w:spacing w:val="1"/>
        </w:rPr>
        <w:t> </w:t>
      </w:r>
      <w:r>
        <w:rPr/>
        <w:t>1978).</w:t>
      </w:r>
      <w:r>
        <w:rPr>
          <w:spacing w:val="-9"/>
        </w:rPr>
        <w:t> </w:t>
      </w:r>
      <w:r>
        <w:rPr/>
        <w:t>Hence</w:t>
      </w:r>
      <w:r>
        <w:rPr>
          <w:spacing w:val="-10"/>
        </w:rPr>
        <w:t> </w:t>
      </w:r>
      <w:r>
        <w:rPr/>
        <w:t>firms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high</w:t>
      </w:r>
      <w:r>
        <w:rPr>
          <w:spacing w:val="-8"/>
        </w:rPr>
        <w:t> </w:t>
      </w:r>
      <w:r>
        <w:rPr/>
        <w:t>debt</w:t>
      </w:r>
      <w:r>
        <w:rPr>
          <w:spacing w:val="-7"/>
        </w:rPr>
        <w:t> </w:t>
      </w:r>
      <w:r>
        <w:rPr/>
        <w:t>levels</w:t>
      </w:r>
      <w:r>
        <w:rPr>
          <w:spacing w:val="-8"/>
        </w:rPr>
        <w:t> </w:t>
      </w:r>
      <w:r>
        <w:rPr/>
        <w:t>may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faced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less</w:t>
      </w:r>
      <w:r>
        <w:rPr>
          <w:spacing w:val="-9"/>
        </w:rPr>
        <w:t> </w:t>
      </w:r>
      <w:r>
        <w:rPr/>
        <w:t>pressure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draw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alternative</w:t>
      </w:r>
      <w:r>
        <w:rPr>
          <w:spacing w:val="-58"/>
        </w:rPr>
        <w:t> </w:t>
      </w:r>
      <w:r>
        <w:rPr/>
        <w:t>non-debt tax shields (Graham &amp; Tucker 2006). Alternatively, leverage might also measure the</w:t>
      </w:r>
      <w:r>
        <w:rPr>
          <w:spacing w:val="-57"/>
        </w:rPr>
        <w:t> </w:t>
      </w:r>
      <w:r>
        <w:rPr/>
        <w:t>complexity of a firm’s financial transactions, leading to the assumption that highly leveraged</w:t>
      </w:r>
      <w:r>
        <w:rPr>
          <w:spacing w:val="1"/>
        </w:rPr>
        <w:t> </w:t>
      </w:r>
      <w:r>
        <w:rPr/>
        <w:t>firms have greater ability to reduce taxes through the use of financing transactions (Mills et al.</w:t>
      </w:r>
      <w:r>
        <w:rPr>
          <w:spacing w:val="-57"/>
        </w:rPr>
        <w:t> </w:t>
      </w:r>
      <w:r>
        <w:rPr/>
        <w:t>1998). In sum, leveraged firms may either have a relatively strong incentive to avoid taxes so</w:t>
      </w:r>
      <w:r>
        <w:rPr>
          <w:spacing w:val="1"/>
        </w:rPr>
        <w:t> </w:t>
      </w:r>
      <w:r>
        <w:rPr/>
        <w:t>as to preserve cash to service the debt burden, or a relatively weak motivation to engage in tax</w:t>
      </w:r>
      <w:r>
        <w:rPr>
          <w:spacing w:val="-57"/>
        </w:rPr>
        <w:t> </w:t>
      </w:r>
      <w:r>
        <w:rPr/>
        <w:t>avoidance because of the beneficial debt tax shield (Badertscher et al. 2011). Taylor and</w:t>
      </w:r>
      <w:r>
        <w:rPr>
          <w:spacing w:val="1"/>
        </w:rPr>
        <w:t> </w:t>
      </w:r>
      <w:r>
        <w:rPr/>
        <w:t>Richardson (2014) found a negative association with tax avoidance in businesses and its debt</w:t>
      </w:r>
      <w:r>
        <w:rPr>
          <w:spacing w:val="1"/>
        </w:rPr>
        <w:t> </w:t>
      </w:r>
      <w:r>
        <w:rPr/>
        <w:t>level. Boussaidi and Hamed (2015) asserted that the debt can be proved as a stimulant, since it</w:t>
      </w:r>
      <w:r>
        <w:rPr>
          <w:spacing w:val="-57"/>
        </w:rPr>
        <w:t> </w:t>
      </w:r>
      <w:r>
        <w:rPr/>
        <w:t>reduces a company’s tax burden by deducting interest. This is because the effects of interest</w:t>
      </w:r>
      <w:r>
        <w:rPr>
          <w:spacing w:val="1"/>
        </w:rPr>
        <w:t> </w:t>
      </w:r>
      <w:r>
        <w:rPr/>
        <w:t>payments</w:t>
      </w:r>
      <w:r>
        <w:rPr>
          <w:spacing w:val="-1"/>
        </w:rPr>
        <w:t> </w:t>
      </w:r>
      <w:r>
        <w:rPr/>
        <w:t>that can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as a</w:t>
      </w:r>
      <w:r>
        <w:rPr>
          <w:spacing w:val="-1"/>
        </w:rPr>
        <w:t> </w:t>
      </w:r>
      <w:r>
        <w:rPr/>
        <w:t>tax deductible</w:t>
      </w:r>
      <w:r>
        <w:rPr>
          <w:spacing w:val="-1"/>
        </w:rPr>
        <w:t> </w:t>
      </w:r>
      <w:r>
        <w:rPr/>
        <w:t>in determining corporate taxable</w:t>
      </w:r>
      <w:r>
        <w:rPr>
          <w:spacing w:val="-1"/>
        </w:rPr>
        <w:t> </w:t>
      </w:r>
      <w:r>
        <w:rPr/>
        <w:t>income.</w:t>
      </w:r>
    </w:p>
    <w:p>
      <w:pPr>
        <w:pStyle w:val="BodyText"/>
        <w:spacing w:line="480" w:lineRule="auto" w:before="200"/>
        <w:ind w:right="828"/>
      </w:pPr>
      <w:r>
        <w:rPr/>
        <w:t>Harrington and Smith (2012) opined that tax avoidance positively influences leverage in a</w:t>
      </w:r>
      <w:r>
        <w:rPr>
          <w:spacing w:val="1"/>
        </w:rPr>
        <w:t> </w:t>
      </w:r>
      <w:r>
        <w:rPr/>
        <w:t>general cross section of firms. Their study supports the notion that tax avoiders value leverage</w:t>
      </w:r>
      <w:r>
        <w:rPr>
          <w:spacing w:val="-57"/>
        </w:rPr>
        <w:t> </w:t>
      </w:r>
      <w:r>
        <w:rPr/>
        <w:t>as</w:t>
      </w:r>
      <w:r>
        <w:rPr>
          <w:spacing w:val="-6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overall</w:t>
      </w:r>
      <w:r>
        <w:rPr>
          <w:spacing w:val="-6"/>
        </w:rPr>
        <w:t> </w:t>
      </w:r>
      <w:r>
        <w:rPr/>
        <w:t>tax</w:t>
      </w:r>
      <w:r>
        <w:rPr>
          <w:spacing w:val="-4"/>
        </w:rPr>
        <w:t> </w:t>
      </w:r>
      <w:r>
        <w:rPr/>
        <w:t>avoidance</w:t>
      </w:r>
      <w:r>
        <w:rPr>
          <w:spacing w:val="-5"/>
        </w:rPr>
        <w:t> </w:t>
      </w:r>
      <w:r>
        <w:rPr/>
        <w:t>strategy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robust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alternative</w:t>
      </w:r>
      <w:r>
        <w:rPr>
          <w:spacing w:val="-6"/>
        </w:rPr>
        <w:t> </w:t>
      </w:r>
      <w:r>
        <w:rPr/>
        <w:t>definitions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leverage,</w:t>
      </w:r>
      <w:r>
        <w:rPr>
          <w:spacing w:val="-58"/>
        </w:rPr>
        <w:t> </w:t>
      </w:r>
      <w:r>
        <w:rPr/>
        <w:t>methods of identifying tax avoidance, and definitions of a refinancing events. In addition, tax</w:t>
      </w:r>
      <w:r>
        <w:rPr>
          <w:spacing w:val="1"/>
        </w:rPr>
        <w:t> </w:t>
      </w:r>
      <w:r>
        <w:rPr/>
        <w:t>avoidance is positively associates with the likelihood of issuing a debt at a refinancing point.</w:t>
      </w:r>
      <w:r>
        <w:rPr>
          <w:spacing w:val="1"/>
        </w:rPr>
        <w:t> </w:t>
      </w:r>
      <w:r>
        <w:rPr/>
        <w:t>However,</w:t>
      </w:r>
      <w:r>
        <w:rPr>
          <w:spacing w:val="-10"/>
        </w:rPr>
        <w:t> </w:t>
      </w:r>
      <w:r>
        <w:rPr/>
        <w:t>positive</w:t>
      </w:r>
      <w:r>
        <w:rPr>
          <w:spacing w:val="-10"/>
        </w:rPr>
        <w:t> </w:t>
      </w:r>
      <w:r>
        <w:rPr/>
        <w:t>relation</w:t>
      </w:r>
      <w:r>
        <w:rPr>
          <w:spacing w:val="-8"/>
        </w:rPr>
        <w:t> </w:t>
      </w:r>
      <w:r>
        <w:rPr/>
        <w:t>between</w:t>
      </w:r>
      <w:r>
        <w:rPr>
          <w:spacing w:val="-9"/>
        </w:rPr>
        <w:t> </w:t>
      </w:r>
      <w:r>
        <w:rPr/>
        <w:t>ETR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debt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total</w:t>
      </w:r>
      <w:r>
        <w:rPr>
          <w:spacing w:val="-8"/>
        </w:rPr>
        <w:t> </w:t>
      </w:r>
      <w:r>
        <w:rPr/>
        <w:t>asset</w:t>
      </w:r>
      <w:r>
        <w:rPr>
          <w:spacing w:val="-9"/>
        </w:rPr>
        <w:t> </w:t>
      </w:r>
      <w:r>
        <w:rPr/>
        <w:t>ratio</w:t>
      </w:r>
      <w:r>
        <w:rPr>
          <w:spacing w:val="-10"/>
        </w:rPr>
        <w:t> </w:t>
      </w:r>
      <w:r>
        <w:rPr/>
        <w:t>(leverage)</w:t>
      </w:r>
      <w:r>
        <w:rPr>
          <w:spacing w:val="-9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occurred</w:t>
      </w:r>
      <w:r>
        <w:rPr>
          <w:spacing w:val="-58"/>
        </w:rPr>
        <w:t> </w:t>
      </w:r>
      <w:r>
        <w:rPr/>
        <w:t>if company with high marginal tax rate used high debt as a source of financing (Gupta &amp;</w:t>
      </w:r>
      <w:r>
        <w:rPr>
          <w:spacing w:val="1"/>
        </w:rPr>
        <w:t> </w:t>
      </w:r>
      <w:r>
        <w:rPr/>
        <w:t>Newberry, 1997).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ETR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negative 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debt</w:t>
      </w:r>
    </w:p>
    <w:p>
      <w:pPr>
        <w:pStyle w:val="BodyText"/>
        <w:spacing w:before="1"/>
      </w:pPr>
      <w:r>
        <w:rPr/>
        <w:t>to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asset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(Derashid</w:t>
      </w:r>
      <w:r>
        <w:rPr>
          <w:spacing w:val="-1"/>
        </w:rPr>
        <w:t> </w:t>
      </w:r>
      <w:r>
        <w:rPr/>
        <w:t>&amp; Zhang,</w:t>
      </w:r>
      <w:r>
        <w:rPr>
          <w:spacing w:val="-1"/>
        </w:rPr>
        <w:t> </w:t>
      </w:r>
      <w:r>
        <w:rPr/>
        <w:t>2003;</w:t>
      </w:r>
      <w:r>
        <w:rPr>
          <w:spacing w:val="-1"/>
        </w:rPr>
        <w:t> </w:t>
      </w:r>
      <w:r>
        <w:rPr/>
        <w:t>Richardson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Lanis,</w:t>
      </w:r>
      <w:r>
        <w:rPr>
          <w:spacing w:val="-1"/>
        </w:rPr>
        <w:t> </w:t>
      </w:r>
      <w:r>
        <w:rPr/>
        <w:t>2007).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drawing>
          <wp:anchor distT="0" distB="0" distL="0" distR="0" allowOverlap="1" layoutInCell="1" locked="0" behindDoc="1" simplePos="0" relativeHeight="45402931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4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Rego and Wilson (2012) find that firms with high leverage ratios are associated with lower</w:t>
      </w:r>
      <w:r>
        <w:rPr>
          <w:spacing w:val="1"/>
        </w:rPr>
        <w:t> </w:t>
      </w:r>
      <w:r>
        <w:rPr/>
        <w:t>Effective Tax Rates (ETRs), implying higher tax avoidance. On the contrary, Wilson (2009)</w:t>
      </w:r>
      <w:r>
        <w:rPr>
          <w:spacing w:val="1"/>
        </w:rPr>
        <w:t> </w:t>
      </w:r>
      <w:r>
        <w:rPr/>
        <w:t>and Lisowsky (2010) in their study on the use of corporate tax shelters provide evidence that</w:t>
      </w:r>
      <w:r>
        <w:rPr>
          <w:spacing w:val="1"/>
        </w:rPr>
        <w:t> </w:t>
      </w:r>
      <w:r>
        <w:rPr/>
        <w:t>tax</w:t>
      </w:r>
      <w:r>
        <w:rPr>
          <w:spacing w:val="-10"/>
        </w:rPr>
        <w:t> </w:t>
      </w:r>
      <w:r>
        <w:rPr/>
        <w:t>shelter</w:t>
      </w:r>
      <w:r>
        <w:rPr>
          <w:spacing w:val="-9"/>
        </w:rPr>
        <w:t> </w:t>
      </w:r>
      <w:r>
        <w:rPr/>
        <w:t>firms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associated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lower</w:t>
      </w:r>
      <w:r>
        <w:rPr>
          <w:spacing w:val="-9"/>
        </w:rPr>
        <w:t> </w:t>
      </w:r>
      <w:r>
        <w:rPr/>
        <w:t>leverage</w:t>
      </w:r>
      <w:r>
        <w:rPr>
          <w:spacing w:val="-10"/>
        </w:rPr>
        <w:t> </w:t>
      </w:r>
      <w:r>
        <w:rPr/>
        <w:t>ratios.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sample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firms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were</w:t>
      </w:r>
      <w:r>
        <w:rPr>
          <w:spacing w:val="-58"/>
        </w:rPr>
        <w:t> </w:t>
      </w:r>
      <w:r>
        <w:rPr/>
        <w:t>shown to have participated in tax shelters, Wilson (2009) develops a profile of a firm that is</w:t>
      </w:r>
      <w:r>
        <w:rPr>
          <w:spacing w:val="1"/>
        </w:rPr>
        <w:t> </w:t>
      </w:r>
      <w:r>
        <w:rPr/>
        <w:t>most</w:t>
      </w:r>
      <w:r>
        <w:rPr>
          <w:spacing w:val="-3"/>
        </w:rPr>
        <w:t> </w:t>
      </w:r>
      <w:r>
        <w:rPr/>
        <w:t>likely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use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tax</w:t>
      </w:r>
      <w:r>
        <w:rPr>
          <w:spacing w:val="-3"/>
        </w:rPr>
        <w:t> </w:t>
      </w:r>
      <w:r>
        <w:rPr/>
        <w:t>shelter,</w:t>
      </w:r>
      <w:r>
        <w:rPr>
          <w:spacing w:val="-5"/>
        </w:rPr>
        <w:t> </w:t>
      </w:r>
      <w:r>
        <w:rPr/>
        <w:t>based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statement</w:t>
      </w:r>
      <w:r>
        <w:rPr>
          <w:spacing w:val="-4"/>
        </w:rPr>
        <w:t> </w:t>
      </w:r>
      <w:r>
        <w:rPr/>
        <w:t>information. He</w:t>
      </w:r>
      <w:r>
        <w:rPr>
          <w:spacing w:val="-4"/>
        </w:rPr>
        <w:t> </w:t>
      </w:r>
      <w:r>
        <w:rPr/>
        <w:t>includes</w:t>
      </w:r>
      <w:r>
        <w:rPr>
          <w:spacing w:val="-1"/>
        </w:rPr>
        <w:t> </w:t>
      </w:r>
      <w:r>
        <w:rPr/>
        <w:t>leverage</w:t>
      </w:r>
      <w:r>
        <w:rPr>
          <w:spacing w:val="-57"/>
        </w:rPr>
        <w:t> </w:t>
      </w:r>
      <w:r>
        <w:rPr/>
        <w:t>as</w:t>
      </w:r>
      <w:r>
        <w:rPr>
          <w:spacing w:val="-11"/>
        </w:rPr>
        <w:t> </w:t>
      </w:r>
      <w:r>
        <w:rPr/>
        <w:t>one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his</w:t>
      </w:r>
      <w:r>
        <w:rPr>
          <w:spacing w:val="-10"/>
        </w:rPr>
        <w:t> </w:t>
      </w:r>
      <w:r>
        <w:rPr/>
        <w:t>explanatory</w:t>
      </w:r>
      <w:r>
        <w:rPr>
          <w:spacing w:val="-8"/>
        </w:rPr>
        <w:t> </w:t>
      </w:r>
      <w:r>
        <w:rPr/>
        <w:t>variables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tax</w:t>
      </w:r>
      <w:r>
        <w:rPr>
          <w:spacing w:val="-12"/>
        </w:rPr>
        <w:t> </w:t>
      </w:r>
      <w:r>
        <w:rPr/>
        <w:t>shelter</w:t>
      </w:r>
      <w:r>
        <w:rPr>
          <w:spacing w:val="-11"/>
        </w:rPr>
        <w:t> </w:t>
      </w:r>
      <w:r>
        <w:rPr/>
        <w:t>prediction</w:t>
      </w:r>
      <w:r>
        <w:rPr>
          <w:spacing w:val="-11"/>
        </w:rPr>
        <w:t> </w:t>
      </w:r>
      <w:r>
        <w:rPr/>
        <w:t>model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documents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negative</w:t>
      </w:r>
      <w:r>
        <w:rPr>
          <w:spacing w:val="-58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Lisowsky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shelter</w:t>
      </w:r>
      <w:r>
        <w:rPr>
          <w:spacing w:val="1"/>
        </w:rPr>
        <w:t> </w:t>
      </w:r>
      <w:r>
        <w:rPr/>
        <w:t>prediction model based on firm characteristics highlighted in the </w:t>
      </w:r>
      <w:r>
        <w:rPr>
          <w:i/>
        </w:rPr>
        <w:t>U.S. Treasury Department</w:t>
      </w:r>
      <w:r>
        <w:rPr>
          <w:i/>
          <w:spacing w:val="1"/>
        </w:rPr>
        <w:t> </w:t>
      </w:r>
      <w:r>
        <w:rPr>
          <w:i/>
        </w:rPr>
        <w:t>(1999)</w:t>
      </w:r>
      <w:r>
        <w:rPr>
          <w:i/>
          <w:spacing w:val="1"/>
        </w:rPr>
        <w:t> </w:t>
      </w:r>
      <w:r>
        <w:rPr>
          <w:i/>
        </w:rPr>
        <w:t>White</w:t>
      </w:r>
      <w:r>
        <w:rPr>
          <w:i/>
          <w:spacing w:val="1"/>
        </w:rPr>
        <w:t> </w:t>
      </w:r>
      <w:r>
        <w:rPr>
          <w:i/>
        </w:rPr>
        <w:t>Paper</w:t>
      </w:r>
      <w:r>
        <w:rPr>
          <w:i/>
          <w:spacing w:val="1"/>
        </w:rPr>
        <w:t> </w:t>
      </w:r>
      <w:r>
        <w:rPr>
          <w:i/>
        </w:rPr>
        <w:t>on</w:t>
      </w:r>
      <w:r>
        <w:rPr>
          <w:i/>
          <w:spacing w:val="1"/>
        </w:rPr>
        <w:t> </w:t>
      </w:r>
      <w:r>
        <w:rPr>
          <w:i/>
        </w:rPr>
        <w:t>Tax</w:t>
      </w:r>
      <w:r>
        <w:rPr>
          <w:i/>
          <w:spacing w:val="1"/>
        </w:rPr>
        <w:t> </w:t>
      </w:r>
      <w:r>
        <w:rPr>
          <w:i/>
        </w:rPr>
        <w:t>Shelters</w:t>
      </w:r>
      <w:r>
        <w:rPr/>
        <w:t>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publicly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confidential information from the Office of Tax Shelter Analysis (OTSA) of the IRS and</w:t>
      </w:r>
      <w:r>
        <w:rPr>
          <w:spacing w:val="1"/>
        </w:rPr>
        <w:t> </w:t>
      </w:r>
      <w:r>
        <w:rPr/>
        <w:t>publicly</w:t>
      </w:r>
      <w:r>
        <w:rPr>
          <w:spacing w:val="-12"/>
        </w:rPr>
        <w:t> </w:t>
      </w:r>
      <w:r>
        <w:rPr/>
        <w:t>available</w:t>
      </w:r>
      <w:r>
        <w:rPr>
          <w:spacing w:val="-12"/>
        </w:rPr>
        <w:t> </w:t>
      </w:r>
      <w:r>
        <w:rPr/>
        <w:t>financial</w:t>
      </w:r>
      <w:r>
        <w:rPr>
          <w:spacing w:val="-11"/>
        </w:rPr>
        <w:t> </w:t>
      </w:r>
      <w:r>
        <w:rPr/>
        <w:t>statement</w:t>
      </w:r>
      <w:r>
        <w:rPr>
          <w:spacing w:val="-11"/>
        </w:rPr>
        <w:t> </w:t>
      </w:r>
      <w:r>
        <w:rPr/>
        <w:t>data,</w:t>
      </w:r>
      <w:r>
        <w:rPr>
          <w:spacing w:val="-12"/>
        </w:rPr>
        <w:t> </w:t>
      </w:r>
      <w:r>
        <w:rPr/>
        <w:t>he</w:t>
      </w:r>
      <w:r>
        <w:rPr>
          <w:spacing w:val="-12"/>
        </w:rPr>
        <w:t> </w:t>
      </w:r>
      <w:r>
        <w:rPr/>
        <w:t>tests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cross-sectional</w:t>
      </w:r>
      <w:r>
        <w:rPr>
          <w:spacing w:val="-11"/>
        </w:rPr>
        <w:t> </w:t>
      </w:r>
      <w:r>
        <w:rPr/>
        <w:t>determinants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logistic</w:t>
      </w:r>
      <w:r>
        <w:rPr>
          <w:spacing w:val="-58"/>
        </w:rPr>
        <w:t> </w:t>
      </w:r>
      <w:r>
        <w:rPr/>
        <w:t>framework for publicly traded U.S. firms. Contrary to prior evidence, the paper finds no</w:t>
      </w:r>
      <w:r>
        <w:rPr>
          <w:spacing w:val="1"/>
        </w:rPr>
        <w:t> </w:t>
      </w:r>
      <w:r>
        <w:rPr/>
        <w:t>significant relationship between leverage and tax shelter usage for its main sample. Also, in a</w:t>
      </w:r>
      <w:r>
        <w:rPr>
          <w:spacing w:val="1"/>
        </w:rPr>
        <w:t> </w:t>
      </w:r>
      <w:r>
        <w:rPr/>
        <w:t>small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firms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known</w:t>
      </w:r>
      <w:r>
        <w:rPr>
          <w:spacing w:val="-14"/>
        </w:rPr>
        <w:t> </w:t>
      </w:r>
      <w:r>
        <w:rPr/>
        <w:t>tax</w:t>
      </w:r>
      <w:r>
        <w:rPr>
          <w:spacing w:val="-14"/>
        </w:rPr>
        <w:t> </w:t>
      </w:r>
      <w:r>
        <w:rPr/>
        <w:t>shelters</w:t>
      </w:r>
      <w:r>
        <w:rPr>
          <w:spacing w:val="-14"/>
        </w:rPr>
        <w:t> </w:t>
      </w:r>
      <w:r>
        <w:rPr/>
        <w:t>collected</w:t>
      </w:r>
      <w:r>
        <w:rPr>
          <w:spacing w:val="-14"/>
        </w:rPr>
        <w:t> </w:t>
      </w:r>
      <w:r>
        <w:rPr/>
        <w:t>from</w:t>
      </w:r>
      <w:r>
        <w:rPr>
          <w:spacing w:val="-13"/>
        </w:rPr>
        <w:t> </w:t>
      </w:r>
      <w:r>
        <w:rPr/>
        <w:t>court</w:t>
      </w:r>
      <w:r>
        <w:rPr>
          <w:spacing w:val="-14"/>
        </w:rPr>
        <w:t> </w:t>
      </w:r>
      <w:r>
        <w:rPr/>
        <w:t>records,</w:t>
      </w:r>
      <w:r>
        <w:rPr>
          <w:spacing w:val="-12"/>
        </w:rPr>
        <w:t> </w:t>
      </w:r>
      <w:r>
        <w:rPr/>
        <w:t>Graham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Tucker</w:t>
      </w:r>
      <w:r>
        <w:rPr>
          <w:spacing w:val="-58"/>
        </w:rPr>
        <w:t> </w:t>
      </w:r>
      <w:r>
        <w:rPr/>
        <w:t>(2006) have found that firms utilizing tax shelters have lower leverage and a lower probability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issuing debt during years in which the shelters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effective.</w:t>
      </w:r>
    </w:p>
    <w:p>
      <w:pPr>
        <w:pStyle w:val="Heading1"/>
        <w:spacing w:before="202"/>
        <w:ind w:left="822"/>
      </w:pPr>
      <w:bookmarkStart w:name="_bookmark52" w:id="89"/>
      <w:bookmarkEnd w:id="89"/>
      <w:r>
        <w:rPr>
          <w:b w:val="0"/>
        </w:rPr>
      </w:r>
      <w:r>
        <w:rPr/>
        <w:t>2.4</w:t>
      </w:r>
      <w:r>
        <w:rPr>
          <w:spacing w:val="-1"/>
        </w:rPr>
        <w:t> </w:t>
      </w:r>
      <w:r>
        <w:rPr/>
        <w:t>Overview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Nigeria Tax</w:t>
      </w:r>
      <w:r>
        <w:rPr>
          <w:spacing w:val="-1"/>
        </w:rPr>
        <w:t> </w:t>
      </w:r>
      <w:r>
        <w:rPr/>
        <w:t>System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2"/>
      </w:pPr>
      <w:r>
        <w:rPr/>
        <w:t>A country’s tax system represents its vital revenue allocator between the public sector and its</w:t>
      </w:r>
      <w:r>
        <w:rPr>
          <w:spacing w:val="1"/>
        </w:rPr>
        <w:t> </w:t>
      </w:r>
      <w:r>
        <w:rPr/>
        <w:t>counter-part, i.e. private sector. Taxes are imposed on individual’s/businesses’ income for the</w:t>
      </w:r>
      <w:r>
        <w:rPr>
          <w:spacing w:val="1"/>
        </w:rPr>
        <w:t> </w:t>
      </w:r>
      <w:r>
        <w:rPr/>
        <w:t>purpose of generating revenue which is used to support certain country’s obligations (Musa,</w:t>
      </w:r>
      <w:r>
        <w:rPr>
          <w:spacing w:val="1"/>
        </w:rPr>
        <w:t> </w:t>
      </w:r>
      <w:r>
        <w:rPr/>
        <w:t>2014). The Nigeria tax system dates back prior to 1904. However, the modern tax system was</w:t>
      </w:r>
      <w:r>
        <w:rPr>
          <w:spacing w:val="1"/>
        </w:rPr>
        <w:t> </w:t>
      </w:r>
      <w:r>
        <w:rPr/>
        <w:t>introduced into Nigeria sometimes around that time even before the amalgamation of the</w:t>
      </w:r>
      <w:r>
        <w:rPr>
          <w:spacing w:val="1"/>
        </w:rPr>
        <w:t> </w:t>
      </w:r>
      <w:r>
        <w:rPr/>
        <w:t>country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colonial</w:t>
      </w:r>
      <w:r>
        <w:rPr>
          <w:spacing w:val="37"/>
        </w:rPr>
        <w:t> </w:t>
      </w:r>
      <w:r>
        <w:rPr/>
        <w:t>masters130.</w:t>
      </w:r>
      <w:r>
        <w:rPr>
          <w:spacing w:val="36"/>
        </w:rPr>
        <w:t> </w:t>
      </w:r>
      <w:r>
        <w:rPr/>
        <w:t>It</w:t>
      </w:r>
      <w:r>
        <w:rPr>
          <w:spacing w:val="35"/>
        </w:rPr>
        <w:t> </w:t>
      </w:r>
      <w:r>
        <w:rPr/>
        <w:t>was</w:t>
      </w:r>
      <w:r>
        <w:rPr>
          <w:spacing w:val="36"/>
        </w:rPr>
        <w:t> </w:t>
      </w:r>
      <w:r>
        <w:rPr/>
        <w:t>later</w:t>
      </w:r>
      <w:r>
        <w:rPr>
          <w:spacing w:val="36"/>
        </w:rPr>
        <w:t> </w:t>
      </w:r>
      <w:r>
        <w:rPr/>
        <w:t>implemented</w:t>
      </w:r>
      <w:r>
        <w:rPr>
          <w:spacing w:val="34"/>
        </w:rPr>
        <w:t> </w:t>
      </w:r>
      <w:r>
        <w:rPr/>
        <w:t>through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Native</w:t>
      </w:r>
      <w:r>
        <w:rPr>
          <w:spacing w:val="35"/>
        </w:rPr>
        <w:t> </w:t>
      </w:r>
      <w:r>
        <w:rPr/>
        <w:t>Revenue</w:t>
      </w:r>
    </w:p>
    <w:p>
      <w:pPr>
        <w:pStyle w:val="BodyText"/>
      </w:pPr>
      <w:r>
        <w:rPr/>
        <w:t>Ordinances</w:t>
      </w:r>
      <w:r>
        <w:rPr>
          <w:spacing w:val="1"/>
        </w:rPr>
        <w:t> </w:t>
      </w:r>
      <w:r>
        <w:rPr/>
        <w:t>to the Western and</w:t>
      </w:r>
      <w:r>
        <w:rPr>
          <w:spacing w:val="-1"/>
        </w:rPr>
        <w:t> </w:t>
      </w:r>
      <w:r>
        <w:rPr/>
        <w:t>Eastern</w:t>
      </w:r>
      <w:r>
        <w:rPr>
          <w:spacing w:val="2"/>
        </w:rPr>
        <w:t> </w:t>
      </w:r>
      <w:r>
        <w:rPr/>
        <w:t>regions</w:t>
      </w:r>
      <w:r>
        <w:rPr>
          <w:spacing w:val="-1"/>
        </w:rPr>
        <w:t> </w:t>
      </w:r>
      <w:r>
        <w:rPr/>
        <w:t>in</w:t>
      </w:r>
      <w:r>
        <w:rPr>
          <w:spacing w:val="4"/>
        </w:rPr>
        <w:t> </w:t>
      </w:r>
      <w:r>
        <w:rPr/>
        <w:t>1917</w:t>
      </w:r>
      <w:r>
        <w:rPr>
          <w:spacing w:val="-1"/>
        </w:rPr>
        <w:t> </w:t>
      </w:r>
      <w:r>
        <w:rPr/>
        <w:t>and 1928,</w:t>
      </w:r>
      <w:r>
        <w:rPr>
          <w:spacing w:val="2"/>
        </w:rPr>
        <w:t> </w:t>
      </w:r>
      <w:r>
        <w:rPr/>
        <w:t>respectively.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then, the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2982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4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Nigerian tax system has been undergoing several amendments, reforms and revisions, and,</w:t>
      </w:r>
      <w:r>
        <w:rPr>
          <w:spacing w:val="1"/>
        </w:rPr>
        <w:t> </w:t>
      </w:r>
      <w:r>
        <w:rPr/>
        <w:t>since then, different governments and regimes have continued to try to improve the Nigerian</w:t>
      </w:r>
      <w:r>
        <w:rPr>
          <w:spacing w:val="1"/>
        </w:rPr>
        <w:t> </w:t>
      </w:r>
      <w:r>
        <w:rPr/>
        <w:t>tax system (Musa, 2014). The Nigeria tax system is basically structured as a tool for revenue</w:t>
      </w:r>
      <w:r>
        <w:rPr>
          <w:spacing w:val="1"/>
        </w:rPr>
        <w:t> </w:t>
      </w:r>
      <w:r>
        <w:rPr/>
        <w:t>generation. This is a legacy from the pre-independence government based on 1948 British tax</w:t>
      </w:r>
      <w:r>
        <w:rPr>
          <w:spacing w:val="1"/>
        </w:rPr>
        <w:t> </w:t>
      </w:r>
      <w:r>
        <w:rPr/>
        <w:t>laws and have been mainly static since enhancement (Micah, Ebere &amp; Umobong, 2012). The</w:t>
      </w:r>
      <w:r>
        <w:rPr>
          <w:spacing w:val="1"/>
        </w:rPr>
        <w:t> </w:t>
      </w:r>
      <w:r>
        <w:rPr/>
        <w:t>first attempt at legislation to regulate the collection of taxes from companies was in the year</w:t>
      </w:r>
      <w:r>
        <w:rPr>
          <w:spacing w:val="1"/>
        </w:rPr>
        <w:t> </w:t>
      </w:r>
      <w:r>
        <w:rPr/>
        <w:t>1939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promulgation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companies’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ordinance</w:t>
      </w:r>
      <w:r>
        <w:rPr>
          <w:spacing w:val="1"/>
        </w:rPr>
        <w:t> </w:t>
      </w:r>
      <w:r>
        <w:rPr/>
        <w:t>(C.I.T.O).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ordinance was found to be ineffective as it failed to bring individuals into the tax net. Due to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weakness, the</w:t>
      </w:r>
      <w:r>
        <w:rPr>
          <w:spacing w:val="-1"/>
        </w:rPr>
        <w:t> </w:t>
      </w:r>
      <w:r>
        <w:rPr/>
        <w:t>Nigerian income</w:t>
      </w:r>
      <w:r>
        <w:rPr>
          <w:spacing w:val="-2"/>
        </w:rPr>
        <w:t> </w:t>
      </w:r>
      <w:r>
        <w:rPr/>
        <w:t>tax ordinance</w:t>
      </w:r>
      <w:r>
        <w:rPr>
          <w:spacing w:val="1"/>
        </w:rPr>
        <w:t> </w:t>
      </w:r>
      <w:r>
        <w:rPr/>
        <w:t>was enacted in</w:t>
      </w:r>
      <w:r>
        <w:rPr>
          <w:spacing w:val="-1"/>
        </w:rPr>
        <w:t> </w:t>
      </w:r>
      <w:r>
        <w:rPr/>
        <w:t>1940.</w:t>
      </w:r>
    </w:p>
    <w:p>
      <w:pPr>
        <w:pStyle w:val="BodyText"/>
        <w:spacing w:line="480" w:lineRule="auto" w:before="203"/>
        <w:ind w:right="830"/>
      </w:pPr>
      <w:r>
        <w:rPr/>
        <w:t>Corporate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(CIT)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administration.</w:t>
      </w:r>
      <w:r>
        <w:rPr>
          <w:spacing w:val="-11"/>
        </w:rPr>
        <w:t> </w:t>
      </w:r>
      <w:r>
        <w:rPr/>
        <w:t>Company</w:t>
      </w:r>
      <w:r>
        <w:rPr>
          <w:spacing w:val="-9"/>
        </w:rPr>
        <w:t> </w:t>
      </w:r>
      <w:r>
        <w:rPr/>
        <w:t>Income</w:t>
      </w:r>
      <w:r>
        <w:rPr>
          <w:spacing w:val="-9"/>
        </w:rPr>
        <w:t> </w:t>
      </w:r>
      <w:r>
        <w:rPr/>
        <w:t>Tax</w:t>
      </w:r>
      <w:r>
        <w:rPr>
          <w:spacing w:val="-11"/>
        </w:rPr>
        <w:t> </w:t>
      </w:r>
      <w:r>
        <w:rPr/>
        <w:t>was</w:t>
      </w:r>
      <w:r>
        <w:rPr>
          <w:spacing w:val="-11"/>
        </w:rPr>
        <w:t> </w:t>
      </w:r>
      <w:r>
        <w:rPr/>
        <w:t>introduced,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1961.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original</w:t>
      </w:r>
      <w:r>
        <w:rPr>
          <w:spacing w:val="-10"/>
        </w:rPr>
        <w:t> </w:t>
      </w:r>
      <w:r>
        <w:rPr/>
        <w:t>law</w:t>
      </w:r>
      <w:r>
        <w:rPr>
          <w:spacing w:val="-12"/>
        </w:rPr>
        <w:t> </w:t>
      </w:r>
      <w:r>
        <w:rPr/>
        <w:t>has</w:t>
      </w:r>
      <w:r>
        <w:rPr>
          <w:spacing w:val="-9"/>
        </w:rPr>
        <w:t> </w:t>
      </w:r>
      <w:r>
        <w:rPr/>
        <w:t>undergone</w:t>
      </w:r>
      <w:r>
        <w:rPr>
          <w:spacing w:val="-58"/>
        </w:rPr>
        <w:t> </w:t>
      </w:r>
      <w:r>
        <w:rPr/>
        <w:t>many</w:t>
      </w:r>
      <w:r>
        <w:rPr>
          <w:spacing w:val="-8"/>
        </w:rPr>
        <w:t> </w:t>
      </w:r>
      <w:r>
        <w:rPr/>
        <w:t>amendments</w:t>
      </w:r>
      <w:r>
        <w:rPr>
          <w:spacing w:val="-6"/>
        </w:rPr>
        <w:t> </w:t>
      </w:r>
      <w:r>
        <w:rPr/>
        <w:t>and,</w:t>
      </w:r>
      <w:r>
        <w:rPr>
          <w:spacing w:val="-7"/>
        </w:rPr>
        <w:t> </w:t>
      </w:r>
      <w:r>
        <w:rPr/>
        <w:t>was</w:t>
      </w:r>
      <w:r>
        <w:rPr>
          <w:spacing w:val="-6"/>
        </w:rPr>
        <w:t> </w:t>
      </w:r>
      <w:r>
        <w:rPr/>
        <w:t>codified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Company’s</w:t>
      </w:r>
      <w:r>
        <w:rPr>
          <w:spacing w:val="-4"/>
        </w:rPr>
        <w:t> </w:t>
      </w:r>
      <w:r>
        <w:rPr/>
        <w:t>Income</w:t>
      </w:r>
      <w:r>
        <w:rPr>
          <w:spacing w:val="-8"/>
        </w:rPr>
        <w:t> </w:t>
      </w:r>
      <w:r>
        <w:rPr/>
        <w:t>Tax</w:t>
      </w:r>
      <w:r>
        <w:rPr>
          <w:spacing w:val="-6"/>
        </w:rPr>
        <w:t> </w:t>
      </w:r>
      <w:r>
        <w:rPr/>
        <w:t>Act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1990,</w:t>
      </w:r>
      <w:r>
        <w:rPr>
          <w:spacing w:val="-6"/>
        </w:rPr>
        <w:t> </w:t>
      </w:r>
      <w:r>
        <w:rPr/>
        <w:t>which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now</w:t>
      </w:r>
      <w:r>
        <w:rPr>
          <w:spacing w:val="-58"/>
        </w:rPr>
        <w:t> </w:t>
      </w:r>
      <w:r>
        <w:rPr/>
        <w:t>repealed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Companies</w:t>
      </w:r>
      <w:r>
        <w:rPr>
          <w:spacing w:val="-7"/>
        </w:rPr>
        <w:t> </w:t>
      </w:r>
      <w:r>
        <w:rPr/>
        <w:t>Income</w:t>
      </w:r>
      <w:r>
        <w:rPr>
          <w:spacing w:val="-12"/>
        </w:rPr>
        <w:t> </w:t>
      </w:r>
      <w:r>
        <w:rPr/>
        <w:t>Tax</w:t>
      </w:r>
      <w:r>
        <w:rPr>
          <w:spacing w:val="-8"/>
        </w:rPr>
        <w:t> </w:t>
      </w:r>
      <w:r>
        <w:rPr/>
        <w:t>(Amendment)</w:t>
      </w:r>
      <w:r>
        <w:rPr>
          <w:spacing w:val="-9"/>
        </w:rPr>
        <w:t> </w:t>
      </w:r>
      <w:r>
        <w:rPr/>
        <w:t>Act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2020.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current</w:t>
      </w:r>
      <w:r>
        <w:rPr>
          <w:spacing w:val="-8"/>
        </w:rPr>
        <w:t> </w:t>
      </w:r>
      <w:r>
        <w:rPr/>
        <w:t>enabling</w:t>
      </w:r>
      <w:r>
        <w:rPr>
          <w:spacing w:val="-10"/>
        </w:rPr>
        <w:t> </w:t>
      </w:r>
      <w:r>
        <w:rPr/>
        <w:t>law</w:t>
      </w:r>
      <w:r>
        <w:rPr>
          <w:spacing w:val="-58"/>
        </w:rPr>
        <w:t> </w:t>
      </w:r>
      <w:r>
        <w:rPr/>
        <w:t>that</w:t>
      </w:r>
      <w:r>
        <w:rPr>
          <w:spacing w:val="1"/>
        </w:rPr>
        <w:t> </w:t>
      </w:r>
      <w:r>
        <w:rPr/>
        <w:t>governs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taxes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profit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excluding</w:t>
      </w:r>
      <w:r>
        <w:rPr>
          <w:spacing w:val="-10"/>
        </w:rPr>
        <w:t> </w:t>
      </w:r>
      <w:r>
        <w:rPr/>
        <w:t>companies</w:t>
      </w:r>
      <w:r>
        <w:rPr>
          <w:spacing w:val="-10"/>
        </w:rPr>
        <w:t> </w:t>
      </w:r>
      <w:r>
        <w:rPr/>
        <w:t>engaged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petroleum</w:t>
      </w:r>
      <w:r>
        <w:rPr>
          <w:spacing w:val="-9"/>
        </w:rPr>
        <w:t> </w:t>
      </w:r>
      <w:r>
        <w:rPr/>
        <w:t>exploration</w:t>
      </w:r>
      <w:r>
        <w:rPr>
          <w:spacing w:val="-10"/>
        </w:rPr>
        <w:t> </w:t>
      </w:r>
      <w:r>
        <w:rPr/>
        <w:t>activities.</w:t>
      </w:r>
      <w:r>
        <w:rPr>
          <w:spacing w:val="-9"/>
        </w:rPr>
        <w:t> </w:t>
      </w:r>
      <w:r>
        <w:rPr/>
        <w:t>Non-Nigerian</w:t>
      </w:r>
      <w:r>
        <w:rPr>
          <w:spacing w:val="-10"/>
        </w:rPr>
        <w:t> </w:t>
      </w:r>
      <w:r>
        <w:rPr/>
        <w:t>companies,</w:t>
      </w:r>
      <w:r>
        <w:rPr>
          <w:spacing w:val="-9"/>
        </w:rPr>
        <w:t> </w:t>
      </w:r>
      <w:r>
        <w:rPr/>
        <w:t>i.e</w:t>
      </w:r>
      <w:r>
        <w:rPr>
          <w:spacing w:val="-58"/>
        </w:rPr>
        <w:t> </w:t>
      </w:r>
      <w:r>
        <w:rPr/>
        <w:t>foreign companies are also subject to tax under this tax law. The term “company‟, for the</w:t>
      </w:r>
      <w:r>
        <w:rPr>
          <w:spacing w:val="1"/>
        </w:rPr>
        <w:t> </w:t>
      </w:r>
      <w:r>
        <w:rPr/>
        <w:t>purpose of CITA 1990 is defined under section 84 to mean any company or corporation (other</w:t>
      </w:r>
      <w:r>
        <w:rPr>
          <w:spacing w:val="-57"/>
        </w:rPr>
        <w:t> </w:t>
      </w:r>
      <w:r>
        <w:rPr/>
        <w:t>than corporation sole or partnership) established by or under any law in force in Nigeria or</w:t>
      </w:r>
      <w:r>
        <w:rPr>
          <w:spacing w:val="1"/>
        </w:rPr>
        <w:t> </w:t>
      </w:r>
      <w:r>
        <w:rPr/>
        <w:t>elsewhere. Section 84(1) also defines what a Nigerian company or Foreign company is. A</w:t>
      </w:r>
      <w:r>
        <w:rPr>
          <w:spacing w:val="1"/>
        </w:rPr>
        <w:t> </w:t>
      </w:r>
      <w:r>
        <w:rPr/>
        <w:t>Nigerian Company is any company incorporated under the Companies and Allied Matters Act</w:t>
      </w:r>
      <w:r>
        <w:rPr>
          <w:spacing w:val="-57"/>
        </w:rPr>
        <w:t> </w:t>
      </w:r>
      <w:r>
        <w:rPr/>
        <w:t>1990 or any enactment replaced by that Act, while a “Foreign Company” is defined as “any</w:t>
      </w:r>
      <w:r>
        <w:rPr>
          <w:spacing w:val="1"/>
        </w:rPr>
        <w:t> </w:t>
      </w:r>
      <w:r>
        <w:rPr/>
        <w:t>company or corporation established by or under any law in force in any territory or country</w:t>
      </w:r>
      <w:r>
        <w:rPr>
          <w:spacing w:val="1"/>
        </w:rPr>
        <w:t> </w:t>
      </w:r>
      <w:r>
        <w:rPr/>
        <w:t>outside</w:t>
      </w:r>
      <w:r>
        <w:rPr>
          <w:spacing w:val="-2"/>
        </w:rPr>
        <w:t> </w:t>
      </w:r>
      <w:r>
        <w:rPr/>
        <w:t>Nigeria</w:t>
      </w:r>
      <w:r>
        <w:rPr>
          <w:spacing w:val="-2"/>
        </w:rPr>
        <w:t> </w:t>
      </w:r>
      <w:r>
        <w:rPr/>
        <w:t>(Soyode,</w:t>
      </w:r>
      <w:r>
        <w:rPr>
          <w:spacing w:val="1"/>
        </w:rPr>
        <w:t> </w:t>
      </w:r>
      <w:r>
        <w:rPr/>
        <w:t>&amp; Kajola, 2006).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3033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5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Federal Board of Inland Revenue, whose operational arm is the Federal Inland Revenue</w:t>
      </w:r>
      <w:r>
        <w:rPr>
          <w:spacing w:val="1"/>
        </w:rPr>
        <w:t> </w:t>
      </w:r>
      <w:r>
        <w:rPr/>
        <w:t>Services (FIRS), is empowered to administer the tax. CITA policy regimes can be divided into</w:t>
      </w:r>
      <w:r>
        <w:rPr>
          <w:spacing w:val="-58"/>
        </w:rPr>
        <w:t> </w:t>
      </w:r>
      <w:r>
        <w:rPr/>
        <w:t>two phases, namely, pre-1992 and post-1992. The CIT policies in the pre-1992 era were</w:t>
      </w:r>
      <w:r>
        <w:rPr>
          <w:spacing w:val="1"/>
        </w:rPr>
        <w:t> </w:t>
      </w:r>
      <w:r>
        <w:rPr/>
        <w:t>narrowly</w:t>
      </w:r>
      <w:r>
        <w:rPr>
          <w:spacing w:val="-7"/>
        </w:rPr>
        <w:t> </w:t>
      </w:r>
      <w:r>
        <w:rPr/>
        <w:t>based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characterized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increasing</w:t>
      </w:r>
      <w:r>
        <w:rPr>
          <w:spacing w:val="-6"/>
        </w:rPr>
        <w:t> </w:t>
      </w:r>
      <w:r>
        <w:rPr/>
        <w:t>tax</w:t>
      </w:r>
      <w:r>
        <w:rPr>
          <w:spacing w:val="-8"/>
        </w:rPr>
        <w:t> </w:t>
      </w:r>
      <w:r>
        <w:rPr/>
        <w:t>rates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overburdening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taxpayers,</w:t>
      </w:r>
      <w:r>
        <w:rPr>
          <w:spacing w:val="-58"/>
        </w:rPr>
        <w:t> </w:t>
      </w:r>
      <w:r>
        <w:rPr>
          <w:spacing w:val="-1"/>
        </w:rPr>
        <w:t>which</w:t>
      </w:r>
      <w:r>
        <w:rPr>
          <w:spacing w:val="-15"/>
        </w:rPr>
        <w:t> </w:t>
      </w:r>
      <w:r>
        <w:rPr>
          <w:spacing w:val="-1"/>
        </w:rPr>
        <w:t>induced</w:t>
      </w:r>
      <w:r>
        <w:rPr>
          <w:spacing w:val="-14"/>
        </w:rPr>
        <w:t> </w:t>
      </w:r>
      <w:r>
        <w:rPr>
          <w:spacing w:val="-1"/>
        </w:rPr>
        <w:t>negative</w:t>
      </w:r>
      <w:r>
        <w:rPr>
          <w:spacing w:val="-16"/>
        </w:rPr>
        <w:t> </w:t>
      </w:r>
      <w:r>
        <w:rPr/>
        <w:t>effects</w:t>
      </w:r>
      <w:r>
        <w:rPr>
          <w:spacing w:val="-13"/>
        </w:rPr>
        <w:t> </w:t>
      </w:r>
      <w:r>
        <w:rPr/>
        <w:t>on</w:t>
      </w:r>
      <w:r>
        <w:rPr>
          <w:spacing w:val="-14"/>
        </w:rPr>
        <w:t> </w:t>
      </w:r>
      <w:r>
        <w:rPr/>
        <w:t>savings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investment.</w:t>
      </w:r>
      <w:r>
        <w:rPr>
          <w:spacing w:val="-14"/>
        </w:rPr>
        <w:t> </w:t>
      </w:r>
      <w:r>
        <w:rPr/>
        <w:t>Since</w:t>
      </w:r>
      <w:r>
        <w:rPr>
          <w:spacing w:val="-15"/>
        </w:rPr>
        <w:t> </w:t>
      </w:r>
      <w:r>
        <w:rPr/>
        <w:t>1992,</w:t>
      </w:r>
      <w:r>
        <w:rPr>
          <w:spacing w:val="-14"/>
        </w:rPr>
        <w:t> </w:t>
      </w:r>
      <w:r>
        <w:rPr/>
        <w:t>however,</w:t>
      </w:r>
      <w:r>
        <w:rPr>
          <w:spacing w:val="-16"/>
        </w:rPr>
        <w:t> </w:t>
      </w:r>
      <w:r>
        <w:rPr/>
        <w:t>measures</w:t>
      </w:r>
      <w:r>
        <w:rPr>
          <w:spacing w:val="-14"/>
        </w:rPr>
        <w:t> </w:t>
      </w:r>
      <w:r>
        <w:rPr/>
        <w:t>have</w:t>
      </w:r>
      <w:r>
        <w:rPr>
          <w:spacing w:val="-58"/>
        </w:rPr>
        <w:t> </w:t>
      </w:r>
      <w:r>
        <w:rPr/>
        <w:t>been taken to address these structural problems. For instance, excess profit tax was eliminated</w:t>
      </w:r>
      <w:r>
        <w:rPr>
          <w:spacing w:val="-57"/>
        </w:rPr>
        <w:t> </w:t>
      </w:r>
      <w:r>
        <w:rPr/>
        <w:t>in 1991, and the capital transfer tax scrapped in 1996. Tax rates on company profits, payable</w:t>
      </w:r>
      <w:r>
        <w:rPr>
          <w:spacing w:val="1"/>
        </w:rPr>
        <w:t> </w:t>
      </w:r>
      <w:r>
        <w:rPr/>
        <w:t>on trade profits and investment income, fell from 45 per cent during 1970 to 1986 (when SAP</w:t>
      </w:r>
      <w:r>
        <w:rPr>
          <w:spacing w:val="1"/>
        </w:rPr>
        <w:t> </w:t>
      </w:r>
      <w:r>
        <w:rPr/>
        <w:t>was introduced) to 40 per cent between 1987 and 1991, further to 35 per cent for the period</w:t>
      </w:r>
      <w:r>
        <w:rPr>
          <w:spacing w:val="1"/>
        </w:rPr>
        <w:t> </w:t>
      </w:r>
      <w:r>
        <w:rPr/>
        <w:t>1992-95 and to 30 per cent from 1996 to date. There is, however, a 20 per cent tax concession</w:t>
      </w:r>
      <w:r>
        <w:rPr>
          <w:spacing w:val="1"/>
        </w:rPr>
        <w:t> </w:t>
      </w:r>
      <w:r>
        <w:rPr/>
        <w:t>for</w:t>
      </w:r>
      <w:r>
        <w:rPr>
          <w:spacing w:val="-8"/>
        </w:rPr>
        <w:t> </w:t>
      </w:r>
      <w:r>
        <w:rPr/>
        <w:t>certain</w:t>
      </w:r>
      <w:r>
        <w:rPr>
          <w:spacing w:val="-6"/>
        </w:rPr>
        <w:t> </w:t>
      </w:r>
      <w:r>
        <w:rPr/>
        <w:t>companies</w:t>
      </w:r>
      <w:r>
        <w:rPr>
          <w:spacing w:val="-6"/>
        </w:rPr>
        <w:t> </w:t>
      </w:r>
      <w:r>
        <w:rPr/>
        <w:t>(Ayodele,</w:t>
      </w:r>
      <w:r>
        <w:rPr>
          <w:spacing w:val="-7"/>
        </w:rPr>
        <w:t> </w:t>
      </w:r>
      <w:r>
        <w:rPr/>
        <w:t>2006):</w:t>
      </w:r>
      <w:r>
        <w:rPr>
          <w:spacing w:val="-6"/>
        </w:rPr>
        <w:t> </w:t>
      </w:r>
      <w:r>
        <w:rPr/>
        <w:t>i.e.,</w:t>
      </w:r>
      <w:r>
        <w:rPr>
          <w:spacing w:val="-6"/>
        </w:rPr>
        <w:t> </w:t>
      </w:r>
      <w:r>
        <w:rPr/>
        <w:t>those</w:t>
      </w:r>
      <w:r>
        <w:rPr>
          <w:spacing w:val="-4"/>
        </w:rPr>
        <w:t> </w:t>
      </w:r>
      <w:r>
        <w:rPr/>
        <w:t>engaged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agricultural</w:t>
      </w:r>
      <w:r>
        <w:rPr>
          <w:spacing w:val="-6"/>
        </w:rPr>
        <w:t> </w:t>
      </w:r>
      <w:r>
        <w:rPr/>
        <w:t>production</w:t>
      </w:r>
      <w:r>
        <w:rPr>
          <w:spacing w:val="-5"/>
        </w:rPr>
        <w:t> </w:t>
      </w:r>
      <w:r>
        <w:rPr/>
        <w:t>or</w:t>
      </w:r>
      <w:r>
        <w:rPr>
          <w:spacing w:val="-7"/>
        </w:rPr>
        <w:t> </w:t>
      </w:r>
      <w:r>
        <w:rPr/>
        <w:t>mining</w:t>
      </w:r>
      <w:r>
        <w:rPr>
          <w:spacing w:val="-58"/>
        </w:rPr>
        <w:t> </w:t>
      </w:r>
      <w:r>
        <w:rPr/>
        <w:t>of solid minerals with a maximum turnover of N 0.5 million and those in manufacturing or the</w:t>
      </w:r>
      <w:r>
        <w:rPr>
          <w:spacing w:val="-57"/>
        </w:rPr>
        <w:t> </w:t>
      </w:r>
      <w:r>
        <w:rPr/>
        <w:t>export promotion sector with a turnover not exceeding N 1 million.6 The rates on capital</w:t>
      </w:r>
      <w:r>
        <w:rPr>
          <w:spacing w:val="1"/>
        </w:rPr>
        <w:t> </w:t>
      </w:r>
      <w:r>
        <w:rPr/>
        <w:t>allowances have been reduced continually to reflect the economic reality of the country. The</w:t>
      </w:r>
      <w:r>
        <w:rPr>
          <w:spacing w:val="1"/>
        </w:rPr>
        <w:t> </w:t>
      </w:r>
      <w:r>
        <w:rPr/>
        <w:t>concession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limited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first</w:t>
      </w:r>
      <w:r>
        <w:rPr>
          <w:spacing w:val="-3"/>
        </w:rPr>
        <w:t> </w:t>
      </w:r>
      <w:r>
        <w:rPr/>
        <w:t>five</w:t>
      </w:r>
      <w:r>
        <w:rPr>
          <w:spacing w:val="-3"/>
        </w:rPr>
        <w:t> </w:t>
      </w:r>
      <w:r>
        <w:rPr/>
        <w:t>years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operations.</w:t>
      </w:r>
      <w:r>
        <w:rPr>
          <w:spacing w:val="-3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engaged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gas</w:t>
      </w:r>
      <w:r>
        <w:rPr>
          <w:spacing w:val="-3"/>
        </w:rPr>
        <w:t> </w:t>
      </w:r>
      <w:r>
        <w:rPr/>
        <w:t>utilization</w:t>
      </w:r>
      <w:r>
        <w:rPr>
          <w:spacing w:val="-58"/>
        </w:rPr>
        <w:t> </w:t>
      </w:r>
      <w:r>
        <w:rPr/>
        <w:t>in</w:t>
      </w:r>
      <w:r>
        <w:rPr>
          <w:spacing w:val="-11"/>
        </w:rPr>
        <w:t> </w:t>
      </w:r>
      <w:r>
        <w:rPr/>
        <w:t>downstream</w:t>
      </w:r>
      <w:r>
        <w:rPr>
          <w:spacing w:val="-11"/>
        </w:rPr>
        <w:t> </w:t>
      </w:r>
      <w:r>
        <w:rPr/>
        <w:t>operations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entitled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three-year</w:t>
      </w:r>
      <w:r>
        <w:rPr>
          <w:spacing w:val="-12"/>
        </w:rPr>
        <w:t> </w:t>
      </w:r>
      <w:r>
        <w:rPr/>
        <w:t>tax-free</w:t>
      </w:r>
      <w:r>
        <w:rPr>
          <w:spacing w:val="-12"/>
        </w:rPr>
        <w:t> </w:t>
      </w:r>
      <w:r>
        <w:rPr/>
        <w:t>period,</w:t>
      </w:r>
      <w:r>
        <w:rPr>
          <w:spacing w:val="-10"/>
        </w:rPr>
        <w:t> </w:t>
      </w:r>
      <w:r>
        <w:rPr/>
        <w:t>subject</w:t>
      </w:r>
      <w:r>
        <w:rPr>
          <w:spacing w:val="-8"/>
        </w:rPr>
        <w:t> </w:t>
      </w:r>
      <w:r>
        <w:rPr/>
        <w:t>to</w:t>
      </w:r>
      <w:r>
        <w:rPr>
          <w:spacing w:val="-11"/>
        </w:rPr>
        <w:t> </w:t>
      </w:r>
      <w:r>
        <w:rPr/>
        <w:t>renewal,</w:t>
      </w:r>
      <w:r>
        <w:rPr>
          <w:spacing w:val="-10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58"/>
        </w:rPr>
        <w:t> </w:t>
      </w:r>
      <w:r>
        <w:rPr/>
        <w:t>as an</w:t>
      </w:r>
      <w:r>
        <w:rPr>
          <w:spacing w:val="1"/>
        </w:rPr>
        <w:t> </w:t>
      </w:r>
      <w:r>
        <w:rPr/>
        <w:t>accelerated capital allowance of 90 per cent; a 10 per cent retention for investment in</w:t>
      </w:r>
      <w:r>
        <w:rPr>
          <w:spacing w:val="1"/>
        </w:rPr>
        <w:t> </w:t>
      </w:r>
      <w:r>
        <w:rPr/>
        <w:t>plant(s)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machinery</w:t>
      </w:r>
      <w:r>
        <w:rPr>
          <w:spacing w:val="-9"/>
        </w:rPr>
        <w:t> </w:t>
      </w:r>
      <w:r>
        <w:rPr/>
        <w:t>after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tax-free</w:t>
      </w:r>
      <w:r>
        <w:rPr>
          <w:spacing w:val="-10"/>
        </w:rPr>
        <w:t> </w:t>
      </w:r>
      <w:r>
        <w:rPr/>
        <w:t>period</w:t>
      </w:r>
      <w:r>
        <w:rPr>
          <w:spacing w:val="-9"/>
        </w:rPr>
        <w:t> </w:t>
      </w:r>
      <w:r>
        <w:rPr/>
        <w:t>as</w:t>
      </w:r>
      <w:r>
        <w:rPr>
          <w:spacing w:val="-6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tax-free</w:t>
      </w:r>
      <w:r>
        <w:rPr>
          <w:spacing w:val="-10"/>
        </w:rPr>
        <w:t> </w:t>
      </w:r>
      <w:r>
        <w:rPr/>
        <w:t>dividends</w:t>
      </w:r>
      <w:r>
        <w:rPr>
          <w:spacing w:val="-8"/>
        </w:rPr>
        <w:t> </w:t>
      </w:r>
      <w:r>
        <w:rPr/>
        <w:t>payable</w:t>
      </w:r>
      <w:r>
        <w:rPr>
          <w:spacing w:val="-9"/>
        </w:rPr>
        <w:t> </w:t>
      </w:r>
      <w:r>
        <w:rPr/>
        <w:t>during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tax holidays. Businesses located more than 20 kilometres away from available utilities are</w:t>
      </w:r>
      <w:r>
        <w:rPr>
          <w:spacing w:val="1"/>
        </w:rPr>
        <w:t> </w:t>
      </w:r>
      <w:r>
        <w:rPr/>
        <w:t>entitled to certain allowances: 100 per cent if no facilities are available; 50 per cent if no</w:t>
      </w:r>
      <w:r>
        <w:rPr>
          <w:spacing w:val="1"/>
        </w:rPr>
        <w:t> </w:t>
      </w:r>
      <w:r>
        <w:rPr/>
        <w:t>electricity is available; 30 per cent for no water; 15 per cent for no paved roads; and 5 per cent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no telephones</w:t>
      </w:r>
      <w:r>
        <w:rPr>
          <w:spacing w:val="2"/>
        </w:rPr>
        <w:t> </w:t>
      </w:r>
      <w:r>
        <w:rPr/>
        <w:t>(The</w:t>
      </w:r>
      <w:r>
        <w:rPr>
          <w:spacing w:val="-1"/>
        </w:rPr>
        <w:t> </w:t>
      </w:r>
      <w:r>
        <w:rPr/>
        <w:t>Guardian, 10 November</w:t>
      </w:r>
      <w:r>
        <w:rPr>
          <w:spacing w:val="-2"/>
        </w:rPr>
        <w:t> </w:t>
      </w:r>
      <w:r>
        <w:rPr/>
        <w:t>2003: 29).</w:t>
      </w:r>
    </w:p>
    <w:p>
      <w:pPr>
        <w:pStyle w:val="BodyText"/>
        <w:spacing w:before="202"/>
      </w:pP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spirit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global</w:t>
      </w:r>
      <w:r>
        <w:rPr>
          <w:spacing w:val="4"/>
        </w:rPr>
        <w:t> </w:t>
      </w:r>
      <w:r>
        <w:rPr/>
        <w:t>competitiveness,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30</w:t>
      </w:r>
      <w:r>
        <w:rPr>
          <w:spacing w:val="3"/>
        </w:rPr>
        <w:t> </w:t>
      </w:r>
      <w:r>
        <w:rPr/>
        <w:t>per cent</w:t>
      </w:r>
      <w:r>
        <w:rPr>
          <w:spacing w:val="5"/>
        </w:rPr>
        <w:t> </w:t>
      </w:r>
      <w:r>
        <w:rPr/>
        <w:t>tax</w:t>
      </w:r>
      <w:r>
        <w:rPr>
          <w:spacing w:val="3"/>
        </w:rPr>
        <w:t> </w:t>
      </w:r>
      <w:r>
        <w:rPr/>
        <w:t>rate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corporates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still</w:t>
      </w:r>
      <w:r>
        <w:rPr>
          <w:spacing w:val="4"/>
        </w:rPr>
        <w:t> </w:t>
      </w:r>
      <w:r>
        <w:rPr/>
        <w:t>one</w:t>
      </w:r>
      <w:r>
        <w:rPr>
          <w:spacing w:val="2"/>
        </w:rPr>
        <w:t> </w:t>
      </w:r>
      <w:r>
        <w:rPr/>
        <w:t>of the</w:t>
      </w:r>
    </w:p>
    <w:p>
      <w:pPr>
        <w:pStyle w:val="BodyText"/>
        <w:spacing w:line="550" w:lineRule="atLeast" w:before="2"/>
        <w:ind w:right="830"/>
      </w:pPr>
      <w:r>
        <w:rPr/>
        <w:t>highest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world.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allocation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3"/>
        </w:rPr>
        <w:t> </w:t>
      </w:r>
      <w:r>
        <w:rPr/>
        <w:t>categories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tax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federal</w:t>
      </w:r>
      <w:r>
        <w:rPr>
          <w:spacing w:val="-3"/>
        </w:rPr>
        <w:t> </w:t>
      </w:r>
      <w:r>
        <w:rPr/>
        <w:t>government</w:t>
      </w:r>
      <w:r>
        <w:rPr>
          <w:spacing w:val="-58"/>
        </w:rPr>
        <w:t> </w:t>
      </w:r>
      <w:r>
        <w:rPr/>
        <w:t>negates</w:t>
      </w:r>
      <w:r>
        <w:rPr>
          <w:spacing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spirit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decentralization,</w:t>
      </w:r>
      <w:r>
        <w:rPr>
          <w:spacing w:val="21"/>
        </w:rPr>
        <w:t> </w:t>
      </w:r>
      <w:r>
        <w:rPr/>
        <w:t>particularly</w:t>
      </w:r>
      <w:r>
        <w:rPr>
          <w:spacing w:val="22"/>
        </w:rPr>
        <w:t> </w:t>
      </w:r>
      <w:r>
        <w:rPr/>
        <w:t>in</w:t>
      </w:r>
      <w:r>
        <w:rPr>
          <w:spacing w:val="20"/>
        </w:rPr>
        <w:t> </w:t>
      </w:r>
      <w:r>
        <w:rPr/>
        <w:t>a</w:t>
      </w:r>
      <w:r>
        <w:rPr>
          <w:spacing w:val="21"/>
        </w:rPr>
        <w:t> </w:t>
      </w:r>
      <w:r>
        <w:rPr/>
        <w:t>federal</w:t>
      </w:r>
      <w:r>
        <w:rPr>
          <w:spacing w:val="20"/>
        </w:rPr>
        <w:t> </w:t>
      </w:r>
      <w:r>
        <w:rPr/>
        <w:t>system</w:t>
      </w:r>
      <w:r>
        <w:rPr>
          <w:spacing w:val="21"/>
        </w:rPr>
        <w:t> </w:t>
      </w:r>
      <w:r>
        <w:rPr/>
        <w:t>such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Nigeria’s.</w:t>
      </w:r>
      <w:r>
        <w:rPr>
          <w:spacing w:val="22"/>
        </w:rPr>
        <w:t> </w:t>
      </w:r>
      <w:r>
        <w:rPr/>
        <w:t>The</w:t>
      </w:r>
    </w:p>
    <w:p>
      <w:pPr>
        <w:spacing w:after="0" w:line="550" w:lineRule="atLeas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t>taxation of companies operating at a loss is not only grossly inequitable but also destructive to</w:t>
      </w:r>
      <w:r>
        <w:rPr>
          <w:spacing w:val="-57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enterprises.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penalty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non-compliance</w:t>
      </w:r>
      <w:r>
        <w:rPr>
          <w:spacing w:val="-6"/>
        </w:rPr>
        <w:t> </w:t>
      </w:r>
      <w:r>
        <w:rPr/>
        <w:t>within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provision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Act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too</w:t>
      </w:r>
      <w:r>
        <w:rPr>
          <w:spacing w:val="-5"/>
        </w:rPr>
        <w:t> </w:t>
      </w:r>
      <w:r>
        <w:rPr/>
        <w:t>low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counter-productive</w:t>
      </w:r>
      <w:r>
        <w:rPr>
          <w:spacing w:val="-1"/>
        </w:rPr>
        <w:t> </w:t>
      </w:r>
      <w:r>
        <w:rPr/>
        <w:t>to the goals of the Act.</w:t>
      </w:r>
    </w:p>
    <w:p>
      <w:pPr>
        <w:pStyle w:val="Heading1"/>
        <w:numPr>
          <w:ilvl w:val="1"/>
          <w:numId w:val="23"/>
        </w:numPr>
        <w:tabs>
          <w:tab w:pos="1243" w:val="left" w:leader="none"/>
        </w:tabs>
        <w:spacing w:line="240" w:lineRule="auto" w:before="202" w:after="0"/>
        <w:ind w:left="1242" w:right="0" w:hanging="421"/>
        <w:jc w:val="both"/>
      </w:pPr>
      <w:bookmarkStart w:name="_bookmark53" w:id="90"/>
      <w:bookmarkEnd w:id="90"/>
      <w:r>
        <w:rPr>
          <w:b w:val="0"/>
        </w:rPr>
      </w:r>
      <w:bookmarkStart w:name="_bookmark53" w:id="91"/>
      <w:bookmarkEnd w:id="91"/>
      <w:r>
        <w:rPr/>
        <w:t>E</w:t>
      </w:r>
      <w:r>
        <w:rPr/>
        <w:t>mpirical</w:t>
      </w:r>
      <w:r>
        <w:rPr>
          <w:spacing w:val="-4"/>
        </w:rPr>
        <w:t> </w:t>
      </w:r>
      <w:r>
        <w:rPr/>
        <w:t>Review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3"/>
      </w:pPr>
      <w:r>
        <w:rPr/>
        <w:drawing>
          <wp:anchor distT="0" distB="0" distL="0" distR="0" allowOverlap="1" layoutInCell="1" locked="0" behindDoc="1" simplePos="0" relativeHeight="454030848">
            <wp:simplePos x="0" y="0"/>
            <wp:positionH relativeFrom="page">
              <wp:posOffset>1261605</wp:posOffset>
            </wp:positionH>
            <wp:positionV relativeFrom="paragraph">
              <wp:posOffset>208192</wp:posOffset>
            </wp:positionV>
            <wp:extent cx="5133225" cy="5265293"/>
            <wp:effectExtent l="0" t="0" r="0" b="0"/>
            <wp:wrapNone/>
            <wp:docPr id="15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extant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tax</w:t>
      </w:r>
      <w:r>
        <w:rPr>
          <w:spacing w:val="-12"/>
        </w:rPr>
        <w:t> </w:t>
      </w:r>
      <w:r>
        <w:rPr/>
        <w:t>aggressiveness.</w:t>
      </w:r>
      <w:r>
        <w:rPr>
          <w:spacing w:val="-11"/>
        </w:rPr>
        <w:t> </w:t>
      </w:r>
      <w:r>
        <w:rPr/>
        <w:t>Studies</w:t>
      </w:r>
      <w:r>
        <w:rPr>
          <w:spacing w:val="-13"/>
        </w:rPr>
        <w:t> </w:t>
      </w:r>
      <w:r>
        <w:rPr/>
        <w:t>done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developed</w:t>
      </w:r>
      <w:r>
        <w:rPr>
          <w:spacing w:val="-12"/>
        </w:rPr>
        <w:t> </w:t>
      </w:r>
      <w:r>
        <w:rPr/>
        <w:t>countries</w:t>
      </w:r>
      <w:r>
        <w:rPr>
          <w:spacing w:val="-11"/>
        </w:rPr>
        <w:t> </w:t>
      </w:r>
      <w:r>
        <w:rPr/>
        <w:t>are</w:t>
      </w:r>
      <w:r>
        <w:rPr>
          <w:spacing w:val="-13"/>
        </w:rPr>
        <w:t> </w:t>
      </w:r>
      <w:r>
        <w:rPr/>
        <w:t>examined</w:t>
      </w:r>
      <w:r>
        <w:rPr>
          <w:spacing w:val="-11"/>
        </w:rPr>
        <w:t> </w:t>
      </w:r>
      <w:r>
        <w:rPr/>
        <w:t>followed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those</w:t>
      </w:r>
      <w:r>
        <w:rPr>
          <w:spacing w:val="-1"/>
        </w:rPr>
        <w:t> </w:t>
      </w:r>
      <w:r>
        <w:rPr/>
        <w:t>in developing countries and then studies</w:t>
      </w:r>
      <w:r>
        <w:rPr>
          <w:spacing w:val="2"/>
        </w:rPr>
        <w:t> </w:t>
      </w:r>
      <w:r>
        <w:rPr/>
        <w:t>in Nigeria.</w:t>
      </w:r>
    </w:p>
    <w:p>
      <w:pPr>
        <w:pStyle w:val="Heading1"/>
        <w:numPr>
          <w:ilvl w:val="2"/>
          <w:numId w:val="23"/>
        </w:numPr>
        <w:tabs>
          <w:tab w:pos="1362" w:val="left" w:leader="none"/>
        </w:tabs>
        <w:spacing w:line="240" w:lineRule="auto" w:before="200" w:after="0"/>
        <w:ind w:left="1362" w:right="0" w:hanging="540"/>
        <w:jc w:val="both"/>
      </w:pPr>
      <w:bookmarkStart w:name="_bookmark54" w:id="92"/>
      <w:bookmarkEnd w:id="92"/>
      <w:r>
        <w:rPr>
          <w:b w:val="0"/>
        </w:rPr>
      </w:r>
      <w:bookmarkStart w:name="_bookmark54" w:id="93"/>
      <w:bookmarkEnd w:id="93"/>
      <w:r>
        <w:rPr/>
        <w:t>Stud</w:t>
      </w:r>
      <w:r>
        <w:rPr/>
        <w:t>ies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Economies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7"/>
      </w:pPr>
      <w:r>
        <w:rPr/>
        <w:t>Andrea,</w:t>
      </w:r>
      <w:r>
        <w:rPr>
          <w:spacing w:val="1"/>
        </w:rPr>
        <w:t> </w:t>
      </w:r>
      <w:r>
        <w:rPr/>
        <w:t>Antonio</w:t>
      </w:r>
      <w:r>
        <w:rPr>
          <w:spacing w:val="1"/>
        </w:rPr>
        <w:t> </w:t>
      </w:r>
      <w:r>
        <w:rPr/>
        <w:t>Demetris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Monica</w:t>
      </w:r>
      <w:r>
        <w:rPr>
          <w:spacing w:val="1"/>
        </w:rPr>
        <w:t> </w:t>
      </w:r>
      <w:r>
        <w:rPr/>
        <w:t>(2020)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moderating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diversity within a corporate board on the relationship between tax aggressiveness and a firm’s</w:t>
      </w:r>
      <w:r>
        <w:rPr>
          <w:spacing w:val="1"/>
        </w:rPr>
        <w:t> </w:t>
      </w:r>
      <w:r>
        <w:rPr/>
        <w:t>corporate social responsibility (CSR) approach. The analysis was conducted using a set of</w:t>
      </w:r>
      <w:r>
        <w:rPr>
          <w:spacing w:val="1"/>
        </w:rPr>
        <w:t> </w:t>
      </w:r>
      <w:r>
        <w:rPr/>
        <w:t>indicators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statements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168</w:t>
      </w:r>
      <w:r>
        <w:rPr>
          <w:spacing w:val="-14"/>
        </w:rPr>
        <w:t> </w:t>
      </w:r>
      <w:r>
        <w:rPr/>
        <w:t>Italian</w:t>
      </w:r>
      <w:r>
        <w:rPr>
          <w:spacing w:val="-14"/>
        </w:rPr>
        <w:t> </w:t>
      </w:r>
      <w:r>
        <w:rPr/>
        <w:t>listed</w:t>
      </w:r>
      <w:r>
        <w:rPr>
          <w:spacing w:val="-14"/>
        </w:rPr>
        <w:t> </w:t>
      </w:r>
      <w:r>
        <w:rPr/>
        <w:t>firms</w:t>
      </w:r>
      <w:r>
        <w:rPr>
          <w:spacing w:val="-13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2011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2018.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addition,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sustainability</w:t>
      </w:r>
      <w:r>
        <w:rPr>
          <w:spacing w:val="-5"/>
        </w:rPr>
        <w:t> </w:t>
      </w:r>
      <w:r>
        <w:rPr/>
        <w:t>reports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6"/>
        </w:rPr>
        <w:t> </w:t>
      </w:r>
      <w:r>
        <w:rPr/>
        <w:t>companies</w:t>
      </w:r>
      <w:r>
        <w:rPr>
          <w:spacing w:val="-6"/>
        </w:rPr>
        <w:t> </w:t>
      </w:r>
      <w:r>
        <w:rPr/>
        <w:t>were</w:t>
      </w:r>
      <w:r>
        <w:rPr>
          <w:spacing w:val="-8"/>
        </w:rPr>
        <w:t> </w:t>
      </w:r>
      <w:r>
        <w:rPr/>
        <w:t>observed.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perform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logit</w:t>
      </w:r>
      <w:r>
        <w:rPr>
          <w:spacing w:val="-58"/>
        </w:rPr>
        <w:t> </w:t>
      </w:r>
      <w:r>
        <w:rPr/>
        <w:t>regression model is used. This paper showed different empirical results. First, this study noted</w:t>
      </w:r>
      <w:r>
        <w:rPr>
          <w:spacing w:val="-57"/>
        </w:rPr>
        <w:t> </w:t>
      </w:r>
      <w:r>
        <w:rPr/>
        <w:t>that there is not a direct relationship between tax aggressiveness and CSR reporting. Second,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directors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CSR</w:t>
      </w:r>
      <w:r>
        <w:rPr>
          <w:spacing w:val="1"/>
        </w:rPr>
        <w:t> </w:t>
      </w:r>
      <w:r>
        <w:rPr/>
        <w:t>disclosure,</w:t>
      </w:r>
      <w:r>
        <w:rPr>
          <w:spacing w:val="-4"/>
        </w:rPr>
        <w:t> </w:t>
      </w:r>
      <w:r>
        <w:rPr/>
        <w:t>but</w:t>
      </w:r>
      <w:r>
        <w:rPr>
          <w:spacing w:val="-3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have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impact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4"/>
        </w:rPr>
        <w:t> </w:t>
      </w:r>
      <w:r>
        <w:rPr/>
        <w:t>tax</w:t>
      </w:r>
      <w:r>
        <w:rPr>
          <w:spacing w:val="-4"/>
        </w:rPr>
        <w:t> </w:t>
      </w:r>
      <w:r>
        <w:rPr/>
        <w:t>aggressiveness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CSR</w:t>
      </w:r>
      <w:r>
        <w:rPr>
          <w:spacing w:val="-58"/>
        </w:rPr>
        <w:t> </w:t>
      </w:r>
      <w:r>
        <w:rPr/>
        <w:t>disclosure.</w:t>
      </w:r>
    </w:p>
    <w:p>
      <w:pPr>
        <w:pStyle w:val="BodyText"/>
        <w:spacing w:line="480" w:lineRule="auto" w:before="193"/>
        <w:ind w:right="830"/>
      </w:pPr>
      <w:r>
        <w:rPr/>
        <w:t>Chytis,</w:t>
      </w:r>
      <w:r>
        <w:rPr>
          <w:spacing w:val="-9"/>
        </w:rPr>
        <w:t> </w:t>
      </w:r>
      <w:r>
        <w:rPr/>
        <w:t>Tasios,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Filos</w:t>
      </w:r>
      <w:r>
        <w:rPr>
          <w:spacing w:val="-8"/>
        </w:rPr>
        <w:t> </w:t>
      </w:r>
      <w:r>
        <w:rPr/>
        <w:t>(2020)</w:t>
      </w:r>
      <w:r>
        <w:rPr>
          <w:spacing w:val="-10"/>
        </w:rPr>
        <w:t> </w:t>
      </w:r>
      <w:r>
        <w:rPr/>
        <w:t>examined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corporate</w:t>
      </w:r>
      <w:r>
        <w:rPr>
          <w:spacing w:val="-10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mechanisms</w:t>
      </w:r>
      <w:r>
        <w:rPr>
          <w:spacing w:val="-8"/>
        </w:rPr>
        <w:t> </w:t>
      </w:r>
      <w:r>
        <w:rPr/>
        <w:t>on</w:t>
      </w:r>
      <w:r>
        <w:rPr>
          <w:spacing w:val="-9"/>
        </w:rPr>
        <w:t> </w:t>
      </w:r>
      <w:r>
        <w:rPr/>
        <w:t>tax</w:t>
      </w:r>
      <w:r>
        <w:rPr>
          <w:spacing w:val="-58"/>
        </w:rPr>
        <w:t> </w:t>
      </w:r>
      <w:r>
        <w:rPr/>
        <w:t>planning during financial crisis: an empirical study of companies listed on the Athens stock</w:t>
      </w:r>
      <w:r>
        <w:rPr>
          <w:spacing w:val="1"/>
        </w:rPr>
        <w:t> </w:t>
      </w:r>
      <w:r>
        <w:rPr/>
        <w:t>exchange.</w:t>
      </w:r>
      <w:r>
        <w:rPr>
          <w:spacing w:val="1"/>
        </w:rPr>
        <w:t> </w:t>
      </w:r>
      <w:r>
        <w:rPr/>
        <w:t>The study aimed to explore the effect of corporate governance on tax planning</w:t>
      </w:r>
      <w:r>
        <w:rPr>
          <w:spacing w:val="1"/>
        </w:rPr>
        <w:t> </w:t>
      </w:r>
      <w:r>
        <w:rPr/>
        <w:t>during the adverse circumstances created by the economic crisis. The effective tax rates of a</w:t>
      </w:r>
      <w:r>
        <w:rPr>
          <w:spacing w:val="1"/>
        </w:rPr>
        <w:t> </w:t>
      </w:r>
      <w:r>
        <w:rPr/>
        <w:t>sample of 55 non-financial companies listed on the Athens Stock Exchange (ASE) during the</w:t>
      </w:r>
      <w:r>
        <w:rPr>
          <w:spacing w:val="1"/>
        </w:rPr>
        <w:t> </w:t>
      </w:r>
      <w:r>
        <w:rPr/>
        <w:t>2011–2015</w:t>
      </w:r>
      <w:r>
        <w:rPr>
          <w:spacing w:val="46"/>
        </w:rPr>
        <w:t> </w:t>
      </w:r>
      <w:r>
        <w:rPr/>
        <w:t>period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used</w:t>
      </w:r>
      <w:r>
        <w:rPr>
          <w:spacing w:val="46"/>
        </w:rPr>
        <w:t> </w:t>
      </w:r>
      <w:r>
        <w:rPr/>
        <w:t>as</w:t>
      </w:r>
      <w:r>
        <w:rPr>
          <w:spacing w:val="48"/>
        </w:rPr>
        <w:t> </w:t>
      </w:r>
      <w:r>
        <w:rPr/>
        <w:t>a</w:t>
      </w:r>
      <w:r>
        <w:rPr>
          <w:spacing w:val="45"/>
        </w:rPr>
        <w:t> </w:t>
      </w:r>
      <w:r>
        <w:rPr/>
        <w:t>proxy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tax</w:t>
      </w:r>
      <w:r>
        <w:rPr>
          <w:spacing w:val="46"/>
        </w:rPr>
        <w:t> </w:t>
      </w:r>
      <w:r>
        <w:rPr/>
        <w:t>planning</w:t>
      </w:r>
      <w:r>
        <w:rPr>
          <w:spacing w:val="47"/>
        </w:rPr>
        <w:t> </w:t>
      </w:r>
      <w:r>
        <w:rPr/>
        <w:t>and</w:t>
      </w:r>
      <w:r>
        <w:rPr>
          <w:spacing w:val="46"/>
        </w:rPr>
        <w:t> </w:t>
      </w:r>
      <w:r>
        <w:rPr/>
        <w:t>were</w:t>
      </w:r>
      <w:r>
        <w:rPr>
          <w:spacing w:val="45"/>
        </w:rPr>
        <w:t> </w:t>
      </w:r>
      <w:r>
        <w:rPr/>
        <w:t>regressed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corporate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3"/>
      </w:pPr>
      <w:r>
        <w:rPr/>
        <w:drawing>
          <wp:anchor distT="0" distB="0" distL="0" distR="0" allowOverlap="1" layoutInCell="1" locked="0" behindDoc="1" simplePos="0" relativeHeight="45403136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5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governance</w:t>
      </w:r>
      <w:r>
        <w:rPr>
          <w:spacing w:val="-11"/>
        </w:rPr>
        <w:t> </w:t>
      </w:r>
      <w:r>
        <w:rPr/>
        <w:t>characteristics,</w:t>
      </w:r>
      <w:r>
        <w:rPr>
          <w:spacing w:val="-8"/>
        </w:rPr>
        <w:t> </w:t>
      </w:r>
      <w:r>
        <w:rPr/>
        <w:t>controlling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firm</w:t>
      </w:r>
      <w:r>
        <w:rPr>
          <w:spacing w:val="-8"/>
        </w:rPr>
        <w:t> </w:t>
      </w:r>
      <w:r>
        <w:rPr/>
        <w:t>specific</w:t>
      </w:r>
      <w:r>
        <w:rPr>
          <w:spacing w:val="-10"/>
        </w:rPr>
        <w:t> </w:t>
      </w:r>
      <w:r>
        <w:rPr/>
        <w:t>attributes.</w:t>
      </w:r>
      <w:r>
        <w:rPr>
          <w:spacing w:val="-8"/>
        </w:rPr>
        <w:t> </w:t>
      </w:r>
      <w:r>
        <w:rPr/>
        <w:t>Results</w:t>
      </w:r>
      <w:r>
        <w:rPr>
          <w:spacing w:val="-8"/>
        </w:rPr>
        <w:t> </w:t>
      </w:r>
      <w:r>
        <w:rPr/>
        <w:t>showed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negative</w:t>
      </w:r>
      <w:r>
        <w:rPr>
          <w:spacing w:val="-57"/>
        </w:rPr>
        <w:t> </w:t>
      </w:r>
      <w:r>
        <w:rPr/>
        <w:t>association with chief executive officer (CEO) duality and firm size. The remaining 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audit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size,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leverage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liquidity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tax planning of</w:t>
      </w:r>
      <w:r>
        <w:rPr>
          <w:spacing w:val="1"/>
        </w:rPr>
        <w:t> </w:t>
      </w:r>
      <w:r>
        <w:rPr/>
        <w:t>listed companies in Greece</w:t>
      </w:r>
    </w:p>
    <w:p>
      <w:pPr>
        <w:pStyle w:val="BodyText"/>
        <w:spacing w:line="480" w:lineRule="auto" w:before="203"/>
        <w:ind w:right="826"/>
      </w:pPr>
      <w:r>
        <w:rPr/>
        <w:t>Dirk and Johannes (2017) analyzed the relationship between corporate governance and tax</w:t>
      </w:r>
      <w:r>
        <w:rPr>
          <w:spacing w:val="1"/>
        </w:rPr>
        <w:t> </w:t>
      </w:r>
      <w:r>
        <w:rPr/>
        <w:t>avoidance. They used a regression discontinuity design (RDD) in a two-stage instrumental</w:t>
      </w:r>
      <w:r>
        <w:rPr>
          <w:spacing w:val="1"/>
        </w:rPr>
        <w:t> </w:t>
      </w:r>
      <w:r>
        <w:rPr/>
        <w:t>variable</w:t>
      </w:r>
      <w:r>
        <w:rPr>
          <w:spacing w:val="-14"/>
        </w:rPr>
        <w:t> </w:t>
      </w:r>
      <w:r>
        <w:rPr/>
        <w:t>threshold.</w:t>
      </w:r>
      <w:r>
        <w:rPr>
          <w:spacing w:val="-13"/>
        </w:rPr>
        <w:t> </w:t>
      </w:r>
      <w:r>
        <w:rPr/>
        <w:t>They</w:t>
      </w:r>
      <w:r>
        <w:rPr>
          <w:spacing w:val="-10"/>
        </w:rPr>
        <w:t> </w:t>
      </w:r>
      <w:r>
        <w:rPr/>
        <w:t>supposed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differences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corporate</w:t>
      </w:r>
      <w:r>
        <w:rPr>
          <w:spacing w:val="-14"/>
        </w:rPr>
        <w:t> </w:t>
      </w:r>
      <w:r>
        <w:rPr/>
        <w:t>governance</w:t>
      </w:r>
      <w:r>
        <w:rPr>
          <w:spacing w:val="-11"/>
        </w:rPr>
        <w:t> </w:t>
      </w:r>
      <w:r>
        <w:rPr/>
        <w:t>result</w:t>
      </w:r>
      <w:r>
        <w:rPr>
          <w:spacing w:val="-13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value</w:t>
      </w:r>
      <w:r>
        <w:rPr>
          <w:spacing w:val="-58"/>
        </w:rPr>
        <w:t> </w:t>
      </w:r>
      <w:r>
        <w:rPr/>
        <w:t>weighted composition of the market capitalization-based indexes. They however found a</w:t>
      </w:r>
      <w:r>
        <w:rPr>
          <w:spacing w:val="1"/>
        </w:rPr>
        <w:t> </w:t>
      </w:r>
      <w:r>
        <w:rPr/>
        <w:t>significant discontinuity in the level of the corporate governance characteristics at the cutoff.</w:t>
      </w:r>
      <w:r>
        <w:rPr>
          <w:spacing w:val="1"/>
        </w:rPr>
        <w:t> </w:t>
      </w:r>
      <w:r>
        <w:rPr/>
        <w:t>The largest firms show stronger corporate governance characteristics compared to the smallest</w:t>
      </w:r>
      <w:r>
        <w:rPr>
          <w:spacing w:val="-57"/>
        </w:rPr>
        <w:t> </w:t>
      </w:r>
      <w:r>
        <w:rPr/>
        <w:t>firms. The analysis showed that strong corporate governance characteristics drive down the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tax rate for the firms.</w:t>
      </w:r>
    </w:p>
    <w:p>
      <w:pPr>
        <w:pStyle w:val="BodyText"/>
        <w:spacing w:line="480" w:lineRule="auto" w:before="200"/>
        <w:ind w:right="825"/>
      </w:pPr>
      <w:r>
        <w:rPr/>
        <w:t>Richardson,</w:t>
      </w:r>
      <w:r>
        <w:rPr>
          <w:spacing w:val="-7"/>
        </w:rPr>
        <w:t> </w:t>
      </w:r>
      <w:r>
        <w:rPr/>
        <w:t>Taylor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Lanis</w:t>
      </w:r>
      <w:r>
        <w:rPr>
          <w:spacing w:val="-5"/>
        </w:rPr>
        <w:t> </w:t>
      </w:r>
      <w:r>
        <w:rPr/>
        <w:t>(2016)</w:t>
      </w:r>
      <w:r>
        <w:rPr>
          <w:spacing w:val="-5"/>
        </w:rPr>
        <w:t> </w:t>
      </w:r>
      <w:r>
        <w:rPr/>
        <w:t>carried</w:t>
      </w:r>
      <w:r>
        <w:rPr>
          <w:spacing w:val="-6"/>
        </w:rPr>
        <w:t> </w:t>
      </w:r>
      <w:r>
        <w:rPr/>
        <w:t>out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study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investigate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impact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women</w:t>
      </w:r>
      <w:r>
        <w:rPr>
          <w:spacing w:val="-6"/>
        </w:rPr>
        <w:t> </w:t>
      </w:r>
      <w:r>
        <w:rPr/>
        <w:t>on</w:t>
      </w:r>
      <w:r>
        <w:rPr>
          <w:spacing w:val="-58"/>
        </w:rPr>
        <w:t> </w:t>
      </w:r>
      <w:r>
        <w:rPr/>
        <w:t>the</w:t>
      </w:r>
      <w:r>
        <w:rPr>
          <w:spacing w:val="-2"/>
        </w:rPr>
        <w:t> </w:t>
      </w:r>
      <w:r>
        <w:rPr/>
        <w:t>board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directors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corporate</w:t>
      </w:r>
      <w:r>
        <w:rPr>
          <w:spacing w:val="-3"/>
        </w:rPr>
        <w:t> </w:t>
      </w:r>
      <w:r>
        <w:rPr/>
        <w:t>tax</w:t>
      </w:r>
      <w:r>
        <w:rPr>
          <w:spacing w:val="-2"/>
        </w:rPr>
        <w:t> </w:t>
      </w:r>
      <w:r>
        <w:rPr/>
        <w:t>avoidance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Australia.</w:t>
      </w:r>
      <w:r>
        <w:rPr>
          <w:spacing w:val="-1"/>
        </w:rPr>
        <w:t> </w:t>
      </w:r>
      <w:r>
        <w:rPr/>
        <w:t>Multivariate</w:t>
      </w:r>
      <w:r>
        <w:rPr>
          <w:spacing w:val="-2"/>
        </w:rPr>
        <w:t> </w:t>
      </w:r>
      <w:r>
        <w:rPr/>
        <w:t>regression</w:t>
      </w:r>
      <w:r>
        <w:rPr>
          <w:spacing w:val="-2"/>
        </w:rPr>
        <w:t> </w:t>
      </w:r>
      <w:r>
        <w:rPr/>
        <w:t>analysis</w:t>
      </w:r>
      <w:r>
        <w:rPr>
          <w:spacing w:val="-58"/>
        </w:rPr>
        <w:t> </w:t>
      </w:r>
      <w:r>
        <w:rPr/>
        <w:t>was used to test the association between the presence of female directors on the board and tax</w:t>
      </w:r>
      <w:r>
        <w:rPr>
          <w:spacing w:val="1"/>
        </w:rPr>
        <w:t> </w:t>
      </w:r>
      <w:r>
        <w:rPr/>
        <w:t>aggressiveness. They also test for self-selection bias in the regression model by using the two-</w:t>
      </w:r>
      <w:r>
        <w:rPr>
          <w:spacing w:val="-57"/>
        </w:rPr>
        <w:t> </w:t>
      </w:r>
      <w:r>
        <w:rPr/>
        <w:t>stage Heckman procedure. Findings from the study revealed that female presence on the board</w:t>
      </w:r>
      <w:r>
        <w:rPr>
          <w:spacing w:val="-57"/>
        </w:rPr>
        <w:t> </w:t>
      </w:r>
      <w:r>
        <w:rPr/>
        <w:t>of</w:t>
      </w:r>
      <w:r>
        <w:rPr>
          <w:spacing w:val="-12"/>
        </w:rPr>
        <w:t> </w:t>
      </w:r>
      <w:r>
        <w:rPr/>
        <w:t>directors</w:t>
      </w:r>
      <w:r>
        <w:rPr>
          <w:spacing w:val="-11"/>
        </w:rPr>
        <w:t> </w:t>
      </w:r>
      <w:r>
        <w:rPr/>
        <w:t>reduces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likelihood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tax</w:t>
      </w:r>
      <w:r>
        <w:rPr>
          <w:spacing w:val="-9"/>
        </w:rPr>
        <w:t> </w:t>
      </w:r>
      <w:r>
        <w:rPr/>
        <w:t>aggressiveness.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are</w:t>
      </w:r>
      <w:r>
        <w:rPr>
          <w:spacing w:val="-10"/>
        </w:rPr>
        <w:t> </w:t>
      </w:r>
      <w:r>
        <w:rPr/>
        <w:t>robust</w:t>
      </w:r>
      <w:r>
        <w:rPr>
          <w:spacing w:val="-10"/>
        </w:rPr>
        <w:t> </w:t>
      </w:r>
      <w:r>
        <w:rPr/>
        <w:t>after</w:t>
      </w:r>
      <w:r>
        <w:rPr>
          <w:spacing w:val="-9"/>
        </w:rPr>
        <w:t> </w:t>
      </w:r>
      <w:r>
        <w:rPr/>
        <w:t>controlling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self-selection bias</w:t>
      </w:r>
      <w:r>
        <w:rPr>
          <w:spacing w:val="-1"/>
        </w:rPr>
        <w:t> </w:t>
      </w:r>
      <w:r>
        <w:rPr/>
        <w:t>and using several</w:t>
      </w:r>
      <w:r>
        <w:rPr>
          <w:spacing w:val="-1"/>
        </w:rPr>
        <w:t> </w:t>
      </w:r>
      <w:r>
        <w:rPr/>
        <w:t>alternative</w:t>
      </w:r>
      <w:r>
        <w:rPr>
          <w:spacing w:val="2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 tax aggressiveness.</w:t>
      </w:r>
    </w:p>
    <w:p>
      <w:pPr>
        <w:pStyle w:val="BodyText"/>
        <w:spacing w:line="480" w:lineRule="auto" w:before="200"/>
        <w:ind w:right="833"/>
      </w:pPr>
      <w:r>
        <w:rPr/>
        <w:t>Ribeiro, Cerqueira and Brandao (2015) carried out a study to provide evidence on how ETRs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determined</w:t>
      </w:r>
      <w:r>
        <w:rPr>
          <w:spacing w:val="-12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firms’</w:t>
      </w:r>
      <w:r>
        <w:rPr>
          <w:spacing w:val="-9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operational</w:t>
      </w:r>
      <w:r>
        <w:rPr>
          <w:spacing w:val="-10"/>
        </w:rPr>
        <w:t> </w:t>
      </w:r>
      <w:r>
        <w:rPr/>
        <w:t>characteristics.</w:t>
      </w:r>
      <w:r>
        <w:rPr>
          <w:spacing w:val="-12"/>
        </w:rPr>
        <w:t> </w:t>
      </w:r>
      <w:r>
        <w:rPr/>
        <w:t>Secondly,</w:t>
      </w:r>
      <w:r>
        <w:rPr>
          <w:spacing w:val="-10"/>
        </w:rPr>
        <w:t> </w:t>
      </w:r>
      <w:r>
        <w:rPr/>
        <w:t>their</w:t>
      </w:r>
      <w:r>
        <w:rPr>
          <w:spacing w:val="-13"/>
        </w:rPr>
        <w:t> </w:t>
      </w:r>
      <w:r>
        <w:rPr/>
        <w:t>objective</w:t>
      </w:r>
      <w:r>
        <w:rPr>
          <w:spacing w:val="-13"/>
        </w:rPr>
        <w:t> </w:t>
      </w:r>
      <w:r>
        <w:rPr/>
        <w:t>was</w:t>
      </w:r>
      <w:r>
        <w:rPr>
          <w:spacing w:val="-57"/>
        </w:rPr>
        <w:t> </w:t>
      </w:r>
      <w:r>
        <w:rPr/>
        <w:t>to</w:t>
      </w:r>
      <w:r>
        <w:rPr>
          <w:spacing w:val="34"/>
        </w:rPr>
        <w:t> </w:t>
      </w:r>
      <w:r>
        <w:rPr/>
        <w:t>show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role</w:t>
      </w:r>
      <w:r>
        <w:rPr>
          <w:spacing w:val="33"/>
        </w:rPr>
        <w:t> </w:t>
      </w:r>
      <w:r>
        <w:rPr/>
        <w:t>of</w:t>
      </w:r>
      <w:r>
        <w:rPr>
          <w:spacing w:val="34"/>
        </w:rPr>
        <w:t> </w:t>
      </w:r>
      <w:r>
        <w:rPr/>
        <w:t>Corporate</w:t>
      </w:r>
      <w:r>
        <w:rPr>
          <w:spacing w:val="34"/>
        </w:rPr>
        <w:t> </w:t>
      </w:r>
      <w:r>
        <w:rPr/>
        <w:t>Governance</w:t>
      </w:r>
      <w:r>
        <w:rPr>
          <w:spacing w:val="33"/>
        </w:rPr>
        <w:t> </w:t>
      </w:r>
      <w:r>
        <w:rPr/>
        <w:t>attributes</w:t>
      </w:r>
      <w:r>
        <w:rPr>
          <w:spacing w:val="34"/>
        </w:rPr>
        <w:t> </w:t>
      </w:r>
      <w:r>
        <w:rPr/>
        <w:t>in</w:t>
      </w:r>
      <w:r>
        <w:rPr>
          <w:spacing w:val="35"/>
        </w:rPr>
        <w:t> </w:t>
      </w:r>
      <w:r>
        <w:rPr/>
        <w:t>explaining</w:t>
      </w:r>
      <w:r>
        <w:rPr>
          <w:spacing w:val="35"/>
        </w:rPr>
        <w:t> </w:t>
      </w:r>
      <w:r>
        <w:rPr/>
        <w:t>ETRs.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carry</w:t>
      </w:r>
      <w:r>
        <w:rPr>
          <w:spacing w:val="34"/>
        </w:rPr>
        <w:t> </w:t>
      </w:r>
      <w:r>
        <w:rPr/>
        <w:t>out</w:t>
      </w:r>
      <w:r>
        <w:rPr>
          <w:spacing w:val="35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3187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5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analysis,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selected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sample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704</w:t>
      </w:r>
      <w:r>
        <w:rPr>
          <w:spacing w:val="-11"/>
        </w:rPr>
        <w:t> </w:t>
      </w:r>
      <w:r>
        <w:rPr/>
        <w:t>nonfinancial</w:t>
      </w:r>
      <w:r>
        <w:rPr>
          <w:spacing w:val="-10"/>
        </w:rPr>
        <w:t> </w:t>
      </w:r>
      <w:r>
        <w:rPr/>
        <w:t>firms</w:t>
      </w:r>
      <w:r>
        <w:rPr>
          <w:spacing w:val="-10"/>
        </w:rPr>
        <w:t> </w:t>
      </w:r>
      <w:r>
        <w:rPr/>
        <w:t>listed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London</w:t>
      </w:r>
      <w:r>
        <w:rPr>
          <w:spacing w:val="-11"/>
        </w:rPr>
        <w:t> </w:t>
      </w:r>
      <w:r>
        <w:rPr/>
        <w:t>Stock</w:t>
      </w:r>
      <w:r>
        <w:rPr>
          <w:spacing w:val="-11"/>
        </w:rPr>
        <w:t> </w:t>
      </w:r>
      <w:r>
        <w:rPr/>
        <w:t>Exchange</w:t>
      </w:r>
      <w:r>
        <w:rPr>
          <w:spacing w:val="-58"/>
        </w:rPr>
        <w:t> </w:t>
      </w:r>
      <w:r>
        <w:rPr/>
        <w:t>between 2010 and 2013. With the purpose of studying the determinants of effective tax rates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four</w:t>
      </w:r>
      <w:r>
        <w:rPr>
          <w:spacing w:val="-5"/>
        </w:rPr>
        <w:t> </w:t>
      </w:r>
      <w:r>
        <w:rPr/>
        <w:t>regressions.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econometric</w:t>
      </w:r>
      <w:r>
        <w:rPr>
          <w:spacing w:val="-4"/>
        </w:rPr>
        <w:t> </w:t>
      </w:r>
      <w:r>
        <w:rPr/>
        <w:t>model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Generalized</w:t>
      </w:r>
      <w:r>
        <w:rPr>
          <w:spacing w:val="-58"/>
        </w:rPr>
        <w:t> </w:t>
      </w:r>
      <w:r>
        <w:rPr/>
        <w:t>Least</w:t>
      </w:r>
      <w:r>
        <w:rPr>
          <w:spacing w:val="-10"/>
        </w:rPr>
        <w:t> </w:t>
      </w:r>
      <w:r>
        <w:rPr/>
        <w:t>Squares</w:t>
      </w:r>
      <w:r>
        <w:rPr>
          <w:spacing w:val="-10"/>
        </w:rPr>
        <w:t> </w:t>
      </w:r>
      <w:r>
        <w:rPr/>
        <w:t>(GLS)</w:t>
      </w:r>
      <w:r>
        <w:rPr>
          <w:spacing w:val="-9"/>
        </w:rPr>
        <w:t> </w:t>
      </w:r>
      <w:r>
        <w:rPr/>
        <w:t>cross-section</w:t>
      </w:r>
      <w:r>
        <w:rPr>
          <w:spacing w:val="-11"/>
        </w:rPr>
        <w:t> </w:t>
      </w:r>
      <w:r>
        <w:rPr/>
        <w:t>weights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time</w:t>
      </w:r>
      <w:r>
        <w:rPr>
          <w:spacing w:val="-12"/>
        </w:rPr>
        <w:t> </w:t>
      </w:r>
      <w:r>
        <w:rPr/>
        <w:t>fixed</w:t>
      </w:r>
      <w:r>
        <w:rPr>
          <w:spacing w:val="-11"/>
        </w:rPr>
        <w:t> </w:t>
      </w:r>
      <w:r>
        <w:rPr/>
        <w:t>effects</w:t>
      </w:r>
      <w:r>
        <w:rPr>
          <w:spacing w:val="-10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inclusion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year</w:t>
      </w:r>
      <w:r>
        <w:rPr>
          <w:spacing w:val="-58"/>
        </w:rPr>
        <w:t> </w:t>
      </w:r>
      <w:r>
        <w:rPr/>
        <w:t>dummy variables. Results arising from their empirical analysis showed that larger and more</w:t>
      </w:r>
      <w:r>
        <w:rPr>
          <w:spacing w:val="1"/>
        </w:rPr>
        <w:t> </w:t>
      </w:r>
      <w:r>
        <w:rPr/>
        <w:t>profitable firms have higher ETRs. On the contrary, capital intensity, leverage and R&amp;D</w:t>
      </w:r>
      <w:r>
        <w:rPr>
          <w:spacing w:val="1"/>
        </w:rPr>
        <w:t> </w:t>
      </w:r>
      <w:r>
        <w:rPr/>
        <w:t>expenses</w:t>
      </w:r>
      <w:r>
        <w:rPr>
          <w:spacing w:val="-1"/>
        </w:rPr>
        <w:t> </w:t>
      </w:r>
      <w:r>
        <w:rPr/>
        <w:t>had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impact on ETRs.</w:t>
      </w:r>
    </w:p>
    <w:p>
      <w:pPr>
        <w:pStyle w:val="BodyText"/>
        <w:spacing w:line="480" w:lineRule="auto" w:before="203"/>
        <w:ind w:right="834"/>
      </w:pPr>
      <w:r>
        <w:rPr/>
        <w:t>Lanis and Richardson (2015) carried out a study to examine the impact of board of director</w:t>
      </w:r>
      <w:r>
        <w:rPr>
          <w:spacing w:val="1"/>
        </w:rPr>
        <w:t> </w:t>
      </w:r>
      <w:r>
        <w:rPr/>
        <w:t>gender</w:t>
      </w:r>
      <w:r>
        <w:rPr>
          <w:spacing w:val="-12"/>
        </w:rPr>
        <w:t> </w:t>
      </w:r>
      <w:r>
        <w:rPr/>
        <w:t>diversity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corporate</w:t>
      </w:r>
      <w:r>
        <w:rPr>
          <w:spacing w:val="-11"/>
        </w:rPr>
        <w:t> </w:t>
      </w:r>
      <w:r>
        <w:rPr/>
        <w:t>tax</w:t>
      </w:r>
      <w:r>
        <w:rPr>
          <w:spacing w:val="-9"/>
        </w:rPr>
        <w:t> </w:t>
      </w:r>
      <w:r>
        <w:rPr/>
        <w:t>aggressiveness.</w:t>
      </w:r>
      <w:r>
        <w:rPr>
          <w:spacing w:val="-11"/>
        </w:rPr>
        <w:t> </w:t>
      </w:r>
      <w:r>
        <w:rPr/>
        <w:t>Based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sample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418</w:t>
      </w:r>
      <w:r>
        <w:rPr>
          <w:spacing w:val="-9"/>
        </w:rPr>
        <w:t> </w:t>
      </w:r>
      <w:r>
        <w:rPr/>
        <w:t>U.S.</w:t>
      </w:r>
      <w:r>
        <w:rPr>
          <w:spacing w:val="-11"/>
        </w:rPr>
        <w:t> </w:t>
      </w:r>
      <w:r>
        <w:rPr/>
        <w:t>firms</w:t>
      </w:r>
      <w:r>
        <w:rPr>
          <w:spacing w:val="-10"/>
        </w:rPr>
        <w:t> </w:t>
      </w:r>
      <w:r>
        <w:rPr/>
        <w:t>covering</w:t>
      </w:r>
      <w:r>
        <w:rPr>
          <w:spacing w:val="-57"/>
        </w:rPr>
        <w:t> </w:t>
      </w:r>
      <w:r>
        <w:rPr/>
        <w:t>the 2006–2009 period (1672 firm-year observations), their ordinary least squares regression</w:t>
      </w:r>
      <w:r>
        <w:rPr>
          <w:spacing w:val="1"/>
        </w:rPr>
        <w:t> </w:t>
      </w:r>
      <w:r>
        <w:rPr/>
        <w:t>results show a negative and statistically significant association between female representation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endogeneity.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consistent</w:t>
      </w:r>
      <w:r>
        <w:rPr>
          <w:spacing w:val="-1"/>
        </w:rPr>
        <w:t> </w:t>
      </w:r>
      <w:r>
        <w:rPr/>
        <w:t>across</w:t>
      </w:r>
      <w:r>
        <w:rPr>
          <w:spacing w:val="-1"/>
        </w:rPr>
        <w:t> </w:t>
      </w:r>
      <w:r>
        <w:rPr/>
        <w:t>several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robustness</w:t>
      </w:r>
      <w:r>
        <w:rPr>
          <w:spacing w:val="-1"/>
        </w:rPr>
        <w:t> </w:t>
      </w:r>
      <w:r>
        <w:rPr/>
        <w:t>checks.</w:t>
      </w:r>
    </w:p>
    <w:p>
      <w:pPr>
        <w:pStyle w:val="BodyText"/>
        <w:spacing w:line="480" w:lineRule="auto" w:before="200"/>
        <w:ind w:right="832"/>
      </w:pPr>
      <w:r>
        <w:rPr/>
        <w:t>Ribeiro, Cerqueira and Brandao (2015) carried out a study to provide evidence on how ETRs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determined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firms’</w:t>
      </w:r>
      <w:r>
        <w:rPr>
          <w:spacing w:val="-9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operational</w:t>
      </w:r>
      <w:r>
        <w:rPr>
          <w:spacing w:val="-10"/>
        </w:rPr>
        <w:t> </w:t>
      </w:r>
      <w:r>
        <w:rPr/>
        <w:t>characteristics.</w:t>
      </w:r>
      <w:r>
        <w:rPr>
          <w:spacing w:val="-12"/>
        </w:rPr>
        <w:t> </w:t>
      </w:r>
      <w:r>
        <w:rPr/>
        <w:t>Secondly,</w:t>
      </w:r>
      <w:r>
        <w:rPr>
          <w:spacing w:val="-10"/>
        </w:rPr>
        <w:t> </w:t>
      </w:r>
      <w:r>
        <w:rPr/>
        <w:t>their</w:t>
      </w:r>
      <w:r>
        <w:rPr>
          <w:spacing w:val="-12"/>
        </w:rPr>
        <w:t> </w:t>
      </w:r>
      <w:r>
        <w:rPr/>
        <w:t>objective</w:t>
      </w:r>
      <w:r>
        <w:rPr>
          <w:spacing w:val="-13"/>
        </w:rPr>
        <w:t> </w:t>
      </w:r>
      <w:r>
        <w:rPr/>
        <w:t>was</w:t>
      </w:r>
      <w:r>
        <w:rPr>
          <w:spacing w:val="-57"/>
        </w:rPr>
        <w:t> </w:t>
      </w:r>
      <w:r>
        <w:rPr/>
        <w:t>to show the role of Corporate Governance attributes in explaining ETRs. To carry out the</w:t>
      </w:r>
      <w:r>
        <w:rPr>
          <w:spacing w:val="1"/>
        </w:rPr>
        <w:t> </w:t>
      </w:r>
      <w:r>
        <w:rPr/>
        <w:t>analysis,</w:t>
      </w:r>
      <w:r>
        <w:rPr>
          <w:spacing w:val="-11"/>
        </w:rPr>
        <w:t> </w:t>
      </w:r>
      <w:r>
        <w:rPr/>
        <w:t>they</w:t>
      </w:r>
      <w:r>
        <w:rPr>
          <w:spacing w:val="-12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sample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704</w:t>
      </w:r>
      <w:r>
        <w:rPr>
          <w:spacing w:val="-10"/>
        </w:rPr>
        <w:t> </w:t>
      </w:r>
      <w:r>
        <w:rPr/>
        <w:t>nonfinancial</w:t>
      </w:r>
      <w:r>
        <w:rPr>
          <w:spacing w:val="-11"/>
        </w:rPr>
        <w:t> </w:t>
      </w:r>
      <w:r>
        <w:rPr/>
        <w:t>firms</w:t>
      </w:r>
      <w:r>
        <w:rPr>
          <w:spacing w:val="-10"/>
        </w:rPr>
        <w:t> </w:t>
      </w:r>
      <w:r>
        <w:rPr/>
        <w:t>listed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London</w:t>
      </w:r>
      <w:r>
        <w:rPr>
          <w:spacing w:val="-11"/>
        </w:rPr>
        <w:t> </w:t>
      </w:r>
      <w:r>
        <w:rPr/>
        <w:t>Stock</w:t>
      </w:r>
      <w:r>
        <w:rPr>
          <w:spacing w:val="-11"/>
        </w:rPr>
        <w:t> </w:t>
      </w:r>
      <w:r>
        <w:rPr/>
        <w:t>Exchange</w:t>
      </w:r>
      <w:r>
        <w:rPr>
          <w:spacing w:val="-58"/>
        </w:rPr>
        <w:t> </w:t>
      </w:r>
      <w:r>
        <w:rPr/>
        <w:t>between 2010 and 2013. With the purpose of studying the determinants of effective tax rates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four</w:t>
      </w:r>
      <w:r>
        <w:rPr>
          <w:spacing w:val="-5"/>
        </w:rPr>
        <w:t> </w:t>
      </w:r>
      <w:r>
        <w:rPr/>
        <w:t>regressions.</w:t>
      </w:r>
      <w:r>
        <w:rPr>
          <w:spacing w:val="-3"/>
        </w:rPr>
        <w:t> </w:t>
      </w:r>
      <w:r>
        <w:rPr/>
        <w:t>They</w:t>
      </w:r>
      <w:r>
        <w:rPr>
          <w:spacing w:val="-4"/>
        </w:rPr>
        <w:t> </w:t>
      </w:r>
      <w:r>
        <w:rPr/>
        <w:t>estimated</w:t>
      </w:r>
      <w:r>
        <w:rPr>
          <w:spacing w:val="-4"/>
        </w:rPr>
        <w:t> </w:t>
      </w:r>
      <w:r>
        <w:rPr/>
        <w:t>their</w:t>
      </w:r>
      <w:r>
        <w:rPr>
          <w:spacing w:val="-4"/>
        </w:rPr>
        <w:t> </w:t>
      </w:r>
      <w:r>
        <w:rPr/>
        <w:t>econometric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Generalized</w:t>
      </w:r>
      <w:r>
        <w:rPr>
          <w:spacing w:val="-58"/>
        </w:rPr>
        <w:t> </w:t>
      </w:r>
      <w:r>
        <w:rPr/>
        <w:t>Least</w:t>
      </w:r>
      <w:r>
        <w:rPr>
          <w:spacing w:val="-11"/>
        </w:rPr>
        <w:t> </w:t>
      </w:r>
      <w:r>
        <w:rPr/>
        <w:t>Squares</w:t>
      </w:r>
      <w:r>
        <w:rPr>
          <w:spacing w:val="-9"/>
        </w:rPr>
        <w:t> </w:t>
      </w:r>
      <w:r>
        <w:rPr/>
        <w:t>(GLS)</w:t>
      </w:r>
      <w:r>
        <w:rPr>
          <w:spacing w:val="-9"/>
        </w:rPr>
        <w:t> </w:t>
      </w:r>
      <w:r>
        <w:rPr/>
        <w:t>cross-section</w:t>
      </w:r>
      <w:r>
        <w:rPr>
          <w:spacing w:val="-11"/>
        </w:rPr>
        <w:t> </w:t>
      </w:r>
      <w:r>
        <w:rPr/>
        <w:t>weights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time</w:t>
      </w:r>
      <w:r>
        <w:rPr>
          <w:spacing w:val="-12"/>
        </w:rPr>
        <w:t> </w:t>
      </w:r>
      <w:r>
        <w:rPr/>
        <w:t>fixed</w:t>
      </w:r>
      <w:r>
        <w:rPr>
          <w:spacing w:val="-10"/>
        </w:rPr>
        <w:t> </w:t>
      </w:r>
      <w:r>
        <w:rPr/>
        <w:t>effects</w:t>
      </w:r>
      <w:r>
        <w:rPr>
          <w:spacing w:val="-11"/>
        </w:rPr>
        <w:t> </w:t>
      </w:r>
      <w:r>
        <w:rPr/>
        <w:t>through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inclusion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year</w:t>
      </w:r>
      <w:r>
        <w:rPr>
          <w:spacing w:val="-58"/>
        </w:rPr>
        <w:t> </w:t>
      </w:r>
      <w:r>
        <w:rPr/>
        <w:t>dummy variables. Results arising from their empirical analysis showed that larger and more</w:t>
      </w:r>
      <w:r>
        <w:rPr>
          <w:spacing w:val="1"/>
        </w:rPr>
        <w:t> </w:t>
      </w:r>
      <w:r>
        <w:rPr/>
        <w:t>profitable firms have higher ETRs. On the contrary, capital intensity, leverage and R&amp;D</w:t>
      </w:r>
      <w:r>
        <w:rPr>
          <w:spacing w:val="1"/>
        </w:rPr>
        <w:t> </w:t>
      </w:r>
      <w:r>
        <w:rPr/>
        <w:t>expenses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impact on ETRs.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7"/>
      </w:pPr>
      <w:r>
        <w:rPr/>
        <w:drawing>
          <wp:anchor distT="0" distB="0" distL="0" distR="0" allowOverlap="1" layoutInCell="1" locked="0" behindDoc="1" simplePos="0" relativeHeight="45403238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5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Hasan, Kim, Teng and Wu (2013) in a study examined whether foreign institutional investors</w:t>
      </w:r>
      <w:r>
        <w:rPr>
          <w:spacing w:val="1"/>
        </w:rPr>
        <w:t> </w:t>
      </w:r>
      <w:r>
        <w:rPr/>
        <w:t>(FIIs) help explain variation in corporate tax avoidance, and whether mechanisms, such as tax</w:t>
      </w:r>
      <w:r>
        <w:rPr>
          <w:spacing w:val="1"/>
        </w:rPr>
        <w:t> </w:t>
      </w:r>
      <w:r>
        <w:rPr/>
        <w:t>morality,</w:t>
      </w:r>
      <w:r>
        <w:rPr>
          <w:spacing w:val="-8"/>
        </w:rPr>
        <w:t> </w:t>
      </w:r>
      <w:r>
        <w:rPr/>
        <w:t>investment</w:t>
      </w:r>
      <w:r>
        <w:rPr>
          <w:spacing w:val="-8"/>
        </w:rPr>
        <w:t> </w:t>
      </w:r>
      <w:r>
        <w:rPr/>
        <w:t>horizon,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governance,</w:t>
      </w:r>
      <w:r>
        <w:rPr>
          <w:spacing w:val="-9"/>
        </w:rPr>
        <w:t> </w:t>
      </w:r>
      <w:r>
        <w:rPr/>
        <w:t>underlie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relation</w:t>
      </w:r>
      <w:r>
        <w:rPr>
          <w:spacing w:val="-9"/>
        </w:rPr>
        <w:t> </w:t>
      </w:r>
      <w:r>
        <w:rPr/>
        <w:t>between</w:t>
      </w:r>
      <w:r>
        <w:rPr>
          <w:spacing w:val="-7"/>
        </w:rPr>
        <w:t> </w:t>
      </w:r>
      <w:r>
        <w:rPr/>
        <w:t>FIIs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tax avoidance. They however find robust evidence that FIIs are negatively related to corporate</w:t>
      </w:r>
      <w:r>
        <w:rPr>
          <w:spacing w:val="-57"/>
        </w:rPr>
        <w:t> </w:t>
      </w:r>
      <w:r>
        <w:rPr/>
        <w:t>tax avoidance. Moreover, this negative association is dominated by FIIs from high-tax-morale</w:t>
      </w:r>
      <w:r>
        <w:rPr>
          <w:spacing w:val="-57"/>
        </w:rPr>
        <w:t> </w:t>
      </w:r>
      <w:r>
        <w:rPr/>
        <w:t>countries,</w:t>
      </w:r>
      <w:r>
        <w:rPr>
          <w:spacing w:val="-7"/>
        </w:rPr>
        <w:t> </w:t>
      </w:r>
      <w:r>
        <w:rPr/>
        <w:t>FIIs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long</w:t>
      </w:r>
      <w:r>
        <w:rPr>
          <w:spacing w:val="-4"/>
        </w:rPr>
        <w:t> </w:t>
      </w:r>
      <w:r>
        <w:rPr/>
        <w:t>investment</w:t>
      </w:r>
      <w:r>
        <w:rPr>
          <w:spacing w:val="-7"/>
        </w:rPr>
        <w:t> </w:t>
      </w:r>
      <w:r>
        <w:rPr/>
        <w:t>horizon,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FIIs</w:t>
      </w:r>
      <w:r>
        <w:rPr>
          <w:spacing w:val="-4"/>
        </w:rPr>
        <w:t> </w:t>
      </w:r>
      <w:r>
        <w:rPr/>
        <w:t>from</w:t>
      </w:r>
      <w:r>
        <w:rPr>
          <w:spacing w:val="-7"/>
        </w:rPr>
        <w:t> </w:t>
      </w:r>
      <w:r>
        <w:rPr/>
        <w:t>high-corporate-governance-quality</w:t>
      </w:r>
      <w:r>
        <w:rPr>
          <w:spacing w:val="-58"/>
        </w:rPr>
        <w:t> </w:t>
      </w:r>
      <w:r>
        <w:rPr/>
        <w:t>countries.</w:t>
      </w:r>
      <w:r>
        <w:rPr>
          <w:spacing w:val="-11"/>
        </w:rPr>
        <w:t> </w:t>
      </w:r>
      <w:r>
        <w:rPr/>
        <w:t>Furthermore,</w:t>
      </w:r>
      <w:r>
        <w:rPr>
          <w:spacing w:val="-10"/>
        </w:rPr>
        <w:t> </w:t>
      </w:r>
      <w:r>
        <w:rPr/>
        <w:t>they</w:t>
      </w:r>
      <w:r>
        <w:rPr>
          <w:spacing w:val="-10"/>
        </w:rPr>
        <w:t> </w:t>
      </w:r>
      <w:r>
        <w:rPr/>
        <w:t>divide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full</w:t>
      </w:r>
      <w:r>
        <w:rPr>
          <w:spacing w:val="-10"/>
        </w:rPr>
        <w:t> </w:t>
      </w:r>
      <w:r>
        <w:rPr/>
        <w:t>sample</w:t>
      </w:r>
      <w:r>
        <w:rPr>
          <w:spacing w:val="-9"/>
        </w:rPr>
        <w:t> </w:t>
      </w:r>
      <w:r>
        <w:rPr/>
        <w:t>into</w:t>
      </w:r>
      <w:r>
        <w:rPr>
          <w:spacing w:val="-10"/>
        </w:rPr>
        <w:t> </w:t>
      </w:r>
      <w:r>
        <w:rPr/>
        <w:t>two</w:t>
      </w:r>
      <w:r>
        <w:rPr>
          <w:spacing w:val="-10"/>
        </w:rPr>
        <w:t> </w:t>
      </w:r>
      <w:r>
        <w:rPr/>
        <w:t>subsamples:</w:t>
      </w:r>
      <w:r>
        <w:rPr>
          <w:spacing w:val="-10"/>
        </w:rPr>
        <w:t> </w:t>
      </w:r>
      <w:r>
        <w:rPr/>
        <w:t>investee</w:t>
      </w:r>
      <w:r>
        <w:rPr>
          <w:spacing w:val="-11"/>
        </w:rPr>
        <w:t> </w:t>
      </w:r>
      <w:r>
        <w:rPr/>
        <w:t>firms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high-</w:t>
      </w:r>
      <w:r>
        <w:rPr>
          <w:spacing w:val="-57"/>
        </w:rPr>
        <w:t> </w:t>
      </w:r>
      <w:r>
        <w:rPr/>
        <w:t>tax-morale</w:t>
      </w:r>
      <w:r>
        <w:rPr>
          <w:spacing w:val="-8"/>
        </w:rPr>
        <w:t> </w:t>
      </w:r>
      <w:r>
        <w:rPr/>
        <w:t>countries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investee</w:t>
      </w:r>
      <w:r>
        <w:rPr>
          <w:spacing w:val="-7"/>
        </w:rPr>
        <w:t> </w:t>
      </w:r>
      <w:r>
        <w:rPr/>
        <w:t>firms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low-tax-morale</w:t>
      </w:r>
      <w:r>
        <w:rPr>
          <w:spacing w:val="-7"/>
        </w:rPr>
        <w:t> </w:t>
      </w:r>
      <w:r>
        <w:rPr/>
        <w:t>countries,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find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negative</w:t>
      </w:r>
      <w:r>
        <w:rPr>
          <w:spacing w:val="-58"/>
        </w:rPr>
        <w:t> </w:t>
      </w:r>
      <w:r>
        <w:rPr/>
        <w:t>association only exhibits in the subsample of investee firms in low-tax-morale countries. They</w:t>
      </w:r>
      <w:r>
        <w:rPr>
          <w:spacing w:val="-57"/>
        </w:rPr>
        <w:t> </w:t>
      </w:r>
      <w:r>
        <w:rPr/>
        <w:t>conclude</w:t>
      </w:r>
      <w:r>
        <w:rPr>
          <w:spacing w:val="-1"/>
        </w:rPr>
        <w:t> </w:t>
      </w:r>
      <w:r>
        <w:rPr/>
        <w:t>that</w:t>
      </w:r>
      <w:r>
        <w:rPr>
          <w:spacing w:val="2"/>
        </w:rPr>
        <w:t> </w:t>
      </w:r>
      <w:r>
        <w:rPr/>
        <w:t>FIIs are</w:t>
      </w:r>
      <w:r>
        <w:rPr>
          <w:spacing w:val="-3"/>
        </w:rPr>
        <w:t> </w:t>
      </w:r>
      <w:r>
        <w:rPr/>
        <w:t>significant determinant of corporate tax</w:t>
      </w:r>
      <w:r>
        <w:rPr>
          <w:spacing w:val="2"/>
        </w:rPr>
        <w:t> </w:t>
      </w:r>
      <w:r>
        <w:rPr/>
        <w:t>avoidance.</w:t>
      </w:r>
    </w:p>
    <w:p>
      <w:pPr>
        <w:pStyle w:val="BodyText"/>
        <w:spacing w:line="480" w:lineRule="auto" w:before="203"/>
        <w:ind w:right="827"/>
      </w:pPr>
      <w:r>
        <w:rPr/>
        <w:t>Zenzem and Ftouhi (2013) carried out a study based on the analysis of a sample of 73 French</w:t>
      </w:r>
      <w:r>
        <w:rPr>
          <w:spacing w:val="1"/>
        </w:rPr>
        <w:t> </w:t>
      </w:r>
      <w:r>
        <w:rPr/>
        <w:t>companies on the SBF 120 index for the period 2006-2010. A regression analysis was used to</w:t>
      </w:r>
      <w:r>
        <w:rPr>
          <w:spacing w:val="1"/>
        </w:rPr>
        <w:t> </w:t>
      </w:r>
      <w:r>
        <w:rPr/>
        <w:t>determine which variables that can reduce tax aggressiveness. Results from the study showed</w:t>
      </w:r>
      <w:r>
        <w:rPr>
          <w:spacing w:val="1"/>
        </w:rPr>
        <w:t> </w:t>
      </w:r>
      <w:r>
        <w:rPr/>
        <w:t>that the board size and</w:t>
      </w:r>
      <w:r>
        <w:rPr>
          <w:spacing w:val="1"/>
        </w:rPr>
        <w:t> </w:t>
      </w:r>
      <w:r>
        <w:rPr/>
        <w:t>the percentage of women in the board affect</w:t>
      </w:r>
      <w:r>
        <w:rPr>
          <w:spacing w:val="1"/>
        </w:rPr>
        <w:t> </w:t>
      </w:r>
      <w:r>
        <w:rPr/>
        <w:t>the activity of tax</w:t>
      </w:r>
      <w:r>
        <w:rPr>
          <w:spacing w:val="1"/>
        </w:rPr>
        <w:t> </w:t>
      </w:r>
      <w:r>
        <w:rPr/>
        <w:t>aggressiveness.</w:t>
      </w:r>
      <w:r>
        <w:rPr>
          <w:spacing w:val="-9"/>
        </w:rPr>
        <w:t> </w:t>
      </w:r>
      <w:r>
        <w:rPr/>
        <w:t>Return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assets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size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firm</w:t>
      </w:r>
      <w:r>
        <w:rPr>
          <w:spacing w:val="-8"/>
        </w:rPr>
        <w:t> </w:t>
      </w:r>
      <w:r>
        <w:rPr/>
        <w:t>are</w:t>
      </w:r>
      <w:r>
        <w:rPr>
          <w:spacing w:val="-10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positively</w:t>
      </w:r>
      <w:r>
        <w:rPr>
          <w:spacing w:val="-8"/>
        </w:rPr>
        <w:t> </w:t>
      </w:r>
      <w:r>
        <w:rPr/>
        <w:t>associated.</w:t>
      </w:r>
    </w:p>
    <w:p>
      <w:pPr>
        <w:pStyle w:val="BodyText"/>
        <w:spacing w:line="480" w:lineRule="auto" w:before="200"/>
        <w:ind w:right="827"/>
      </w:pPr>
      <w:r>
        <w:rPr/>
        <w:t>Hasan, Kim, Teng and Wu (2013) in a study examined whether foreign institutional investors</w:t>
      </w:r>
      <w:r>
        <w:rPr>
          <w:spacing w:val="1"/>
        </w:rPr>
        <w:t> </w:t>
      </w:r>
      <w:r>
        <w:rPr/>
        <w:t>(FIIs)</w:t>
      </w:r>
      <w:r>
        <w:rPr>
          <w:spacing w:val="-8"/>
        </w:rPr>
        <w:t> </w:t>
      </w:r>
      <w:r>
        <w:rPr/>
        <w:t>helped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explain</w:t>
      </w:r>
      <w:r>
        <w:rPr>
          <w:spacing w:val="-6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tax</w:t>
      </w:r>
      <w:r>
        <w:rPr>
          <w:spacing w:val="-7"/>
        </w:rPr>
        <w:t> </w:t>
      </w:r>
      <w:r>
        <w:rPr/>
        <w:t>avoidance,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whether</w:t>
      </w:r>
      <w:r>
        <w:rPr>
          <w:spacing w:val="-7"/>
        </w:rPr>
        <w:t> </w:t>
      </w:r>
      <w:r>
        <w:rPr/>
        <w:t>mechanisms,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58"/>
        </w:rPr>
        <w:t> </w:t>
      </w:r>
      <w:r>
        <w:rPr/>
        <w:t>tax</w:t>
      </w:r>
      <w:r>
        <w:rPr>
          <w:spacing w:val="-4"/>
        </w:rPr>
        <w:t> </w:t>
      </w:r>
      <w:r>
        <w:rPr/>
        <w:t>morality,</w:t>
      </w:r>
      <w:r>
        <w:rPr>
          <w:spacing w:val="-3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horizon,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corporate</w:t>
      </w:r>
      <w:r>
        <w:rPr>
          <w:spacing w:val="-3"/>
        </w:rPr>
        <w:t> </w:t>
      </w:r>
      <w:r>
        <w:rPr/>
        <w:t>governance,</w:t>
      </w:r>
      <w:r>
        <w:rPr>
          <w:spacing w:val="-4"/>
        </w:rPr>
        <w:t> </w:t>
      </w:r>
      <w:r>
        <w:rPr/>
        <w:t>underlie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relation</w:t>
      </w:r>
      <w:r>
        <w:rPr>
          <w:spacing w:val="-2"/>
        </w:rPr>
        <w:t> </w:t>
      </w:r>
      <w:r>
        <w:rPr/>
        <w:t>between</w:t>
      </w:r>
      <w:r>
        <w:rPr>
          <w:spacing w:val="-4"/>
        </w:rPr>
        <w:t> </w:t>
      </w:r>
      <w:r>
        <w:rPr/>
        <w:t>FIIs</w:t>
      </w:r>
      <w:r>
        <w:rPr>
          <w:spacing w:val="-58"/>
        </w:rPr>
        <w:t> </w:t>
      </w:r>
      <w:r>
        <w:rPr/>
        <w:t>and tax avoidance. They however found a robust evidence that FIIs are negatively related to</w:t>
      </w:r>
      <w:r>
        <w:rPr>
          <w:spacing w:val="1"/>
        </w:rPr>
        <w:t> </w:t>
      </w:r>
      <w:r>
        <w:rPr/>
        <w:t>corporate tax avoidance. Moreover, this negative association is dominated by FIIs from high-</w:t>
      </w:r>
      <w:r>
        <w:rPr>
          <w:spacing w:val="1"/>
        </w:rPr>
        <w:t> </w:t>
      </w:r>
      <w:r>
        <w:rPr/>
        <w:t>tax-morale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FIIs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horizon,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FIIs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high-corporate-</w:t>
      </w:r>
      <w:r>
        <w:rPr>
          <w:spacing w:val="1"/>
        </w:rPr>
        <w:t> </w:t>
      </w:r>
      <w:r>
        <w:rPr/>
        <w:t>governance-quality countries. Furthermore, they divided the full sample into two subsamples:</w:t>
      </w:r>
      <w:r>
        <w:rPr>
          <w:spacing w:val="1"/>
        </w:rPr>
        <w:t> </w:t>
      </w:r>
      <w:r>
        <w:rPr/>
        <w:t>investee</w:t>
      </w:r>
      <w:r>
        <w:rPr>
          <w:spacing w:val="-11"/>
        </w:rPr>
        <w:t> </w:t>
      </w:r>
      <w:r>
        <w:rPr/>
        <w:t>firms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high-tax-morale</w:t>
      </w:r>
      <w:r>
        <w:rPr>
          <w:spacing w:val="-9"/>
        </w:rPr>
        <w:t> </w:t>
      </w:r>
      <w:r>
        <w:rPr/>
        <w:t>countries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investee</w:t>
      </w:r>
      <w:r>
        <w:rPr>
          <w:spacing w:val="-10"/>
        </w:rPr>
        <w:t> </w:t>
      </w:r>
      <w:r>
        <w:rPr/>
        <w:t>firms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low-tax-morale</w:t>
      </w:r>
      <w:r>
        <w:rPr>
          <w:spacing w:val="-9"/>
        </w:rPr>
        <w:t> </w:t>
      </w:r>
      <w:r>
        <w:rPr/>
        <w:t>countries,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found</w:t>
      </w:r>
      <w:r>
        <w:rPr>
          <w:spacing w:val="10"/>
        </w:rPr>
        <w:t> </w:t>
      </w:r>
      <w:r>
        <w:rPr/>
        <w:t>that</w:t>
      </w:r>
      <w:r>
        <w:rPr>
          <w:spacing w:val="10"/>
        </w:rPr>
        <w:t> </w:t>
      </w:r>
      <w:r>
        <w:rPr/>
        <w:t>this</w:t>
      </w:r>
      <w:r>
        <w:rPr>
          <w:spacing w:val="8"/>
        </w:rPr>
        <w:t> </w:t>
      </w:r>
      <w:r>
        <w:rPr/>
        <w:t>negative</w:t>
      </w:r>
      <w:r>
        <w:rPr>
          <w:spacing w:val="9"/>
        </w:rPr>
        <w:t> </w:t>
      </w:r>
      <w:r>
        <w:rPr/>
        <w:t>association</w:t>
      </w:r>
      <w:r>
        <w:rPr>
          <w:spacing w:val="11"/>
        </w:rPr>
        <w:t> </w:t>
      </w:r>
      <w:r>
        <w:rPr/>
        <w:t>only</w:t>
      </w:r>
      <w:r>
        <w:rPr>
          <w:spacing w:val="11"/>
        </w:rPr>
        <w:t> </w:t>
      </w:r>
      <w:r>
        <w:rPr/>
        <w:t>exhibited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subsample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investee</w:t>
      </w:r>
      <w:r>
        <w:rPr>
          <w:spacing w:val="9"/>
        </w:rPr>
        <w:t> </w:t>
      </w:r>
      <w:r>
        <w:rPr/>
        <w:t>firms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low-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3"/>
      </w:pPr>
      <w:r>
        <w:rPr/>
        <w:t>tax-morale countries. They concluded that FIIs were significant determinant of corporate tax</w:t>
      </w:r>
      <w:r>
        <w:rPr>
          <w:spacing w:val="1"/>
        </w:rPr>
        <w:t> </w:t>
      </w:r>
      <w:r>
        <w:rPr/>
        <w:t>avoidance.</w:t>
      </w:r>
    </w:p>
    <w:p>
      <w:pPr>
        <w:pStyle w:val="BodyText"/>
        <w:spacing w:line="480" w:lineRule="auto" w:before="202"/>
        <w:ind w:right="829"/>
      </w:pPr>
      <w:r>
        <w:rPr/>
        <w:drawing>
          <wp:anchor distT="0" distB="0" distL="0" distR="0" allowOverlap="1" layoutInCell="1" locked="0" behindDoc="1" simplePos="0" relativeHeight="454032896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16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Yeung</w:t>
      </w:r>
      <w:r>
        <w:rPr>
          <w:spacing w:val="-13"/>
        </w:rPr>
        <w:t> </w:t>
      </w:r>
      <w:r>
        <w:rPr/>
        <w:t>(2010)</w:t>
      </w:r>
      <w:r>
        <w:rPr>
          <w:spacing w:val="-11"/>
        </w:rPr>
        <w:t> </w:t>
      </w:r>
      <w:r>
        <w:rPr/>
        <w:t>carried</w:t>
      </w:r>
      <w:r>
        <w:rPr>
          <w:spacing w:val="-14"/>
        </w:rPr>
        <w:t> </w:t>
      </w:r>
      <w:r>
        <w:rPr/>
        <w:t>out</w:t>
      </w:r>
      <w:r>
        <w:rPr>
          <w:spacing w:val="-10"/>
        </w:rPr>
        <w:t> </w:t>
      </w:r>
      <w:r>
        <w:rPr/>
        <w:t>a</w:t>
      </w:r>
      <w:r>
        <w:rPr>
          <w:spacing w:val="-14"/>
        </w:rPr>
        <w:t> </w:t>
      </w:r>
      <w:r>
        <w:rPr/>
        <w:t>study</w:t>
      </w:r>
      <w:r>
        <w:rPr>
          <w:spacing w:val="-12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relationship</w:t>
      </w:r>
      <w:r>
        <w:rPr>
          <w:spacing w:val="-13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companies‟</w:t>
      </w:r>
      <w:r>
        <w:rPr>
          <w:spacing w:val="-14"/>
        </w:rPr>
        <w:t> </w:t>
      </w:r>
      <w:r>
        <w:rPr/>
        <w:t>corporate</w:t>
      </w:r>
      <w:r>
        <w:rPr>
          <w:spacing w:val="-13"/>
        </w:rPr>
        <w:t> </w:t>
      </w:r>
      <w:r>
        <w:rPr/>
        <w:t>governance</w:t>
      </w:r>
      <w:r>
        <w:rPr>
          <w:spacing w:val="-58"/>
        </w:rPr>
        <w:t> </w:t>
      </w:r>
      <w:r>
        <w:rPr/>
        <w:t>situation and the tax aggressiveness. The focus was on the Hong Kong companies which are</w:t>
      </w:r>
      <w:r>
        <w:rPr>
          <w:spacing w:val="1"/>
        </w:rPr>
        <w:t> </w:t>
      </w:r>
      <w:r>
        <w:rPr/>
        <w:t>mainly</w:t>
      </w:r>
      <w:r>
        <w:rPr>
          <w:spacing w:val="-13"/>
        </w:rPr>
        <w:t> </w:t>
      </w:r>
      <w:r>
        <w:rPr/>
        <w:t>subjected</w:t>
      </w:r>
      <w:r>
        <w:rPr>
          <w:spacing w:val="-14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Hong</w:t>
      </w:r>
      <w:r>
        <w:rPr>
          <w:spacing w:val="-13"/>
        </w:rPr>
        <w:t> </w:t>
      </w:r>
      <w:r>
        <w:rPr/>
        <w:t>Kong</w:t>
      </w:r>
      <w:r>
        <w:rPr>
          <w:spacing w:val="-14"/>
        </w:rPr>
        <w:t> </w:t>
      </w:r>
      <w:r>
        <w:rPr/>
        <w:t>tax.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regression</w:t>
      </w:r>
      <w:r>
        <w:rPr>
          <w:spacing w:val="-13"/>
        </w:rPr>
        <w:t> </w:t>
      </w:r>
      <w:r>
        <w:rPr/>
        <w:t>model</w:t>
      </w:r>
      <w:r>
        <w:rPr>
          <w:spacing w:val="-11"/>
        </w:rPr>
        <w:t> </w:t>
      </w:r>
      <w:r>
        <w:rPr/>
        <w:t>used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information</w:t>
      </w:r>
      <w:r>
        <w:rPr>
          <w:spacing w:val="-13"/>
        </w:rPr>
        <w:t> </w:t>
      </w:r>
      <w:r>
        <w:rPr/>
        <w:t>from</w:t>
      </w:r>
      <w:r>
        <w:rPr>
          <w:spacing w:val="-12"/>
        </w:rPr>
        <w:t> </w:t>
      </w:r>
      <w:r>
        <w:rPr/>
        <w:t>annual</w:t>
      </w:r>
      <w:r>
        <w:rPr>
          <w:spacing w:val="-58"/>
        </w:rPr>
        <w:t> </w:t>
      </w:r>
      <w:r>
        <w:rPr/>
        <w:t>report. From the result it shows that there are relationships between corporate governance</w:t>
      </w:r>
      <w:r>
        <w:rPr>
          <w:spacing w:val="1"/>
        </w:rPr>
        <w:t> </w:t>
      </w:r>
      <w:r>
        <w:rPr/>
        <w:t>factors and the effective tax rate, but the relationship may be greatly affected by economic</w:t>
      </w:r>
      <w:r>
        <w:rPr>
          <w:spacing w:val="1"/>
        </w:rPr>
        <w:t> </w:t>
      </w:r>
      <w:r>
        <w:rPr/>
        <w:t>environment.</w:t>
      </w:r>
      <w:r>
        <w:rPr>
          <w:spacing w:val="-12"/>
        </w:rPr>
        <w:t> </w:t>
      </w:r>
      <w:r>
        <w:rPr/>
        <w:t>Aliani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Zarai</w:t>
      </w:r>
      <w:r>
        <w:rPr>
          <w:spacing w:val="-11"/>
        </w:rPr>
        <w:t> </w:t>
      </w:r>
      <w:r>
        <w:rPr/>
        <w:t>(2012)</w:t>
      </w:r>
      <w:r>
        <w:rPr>
          <w:spacing w:val="-12"/>
        </w:rPr>
        <w:t> </w:t>
      </w:r>
      <w:r>
        <w:rPr/>
        <w:t>empirically</w:t>
      </w:r>
      <w:r>
        <w:rPr>
          <w:spacing w:val="-9"/>
        </w:rPr>
        <w:t> </w:t>
      </w:r>
      <w:r>
        <w:rPr/>
        <w:t>examined</w:t>
      </w:r>
      <w:r>
        <w:rPr>
          <w:spacing w:val="-11"/>
        </w:rPr>
        <w:t> </w:t>
      </w:r>
      <w:r>
        <w:rPr/>
        <w:t>demographic</w:t>
      </w:r>
      <w:r>
        <w:rPr>
          <w:spacing w:val="-13"/>
        </w:rPr>
        <w:t> </w:t>
      </w:r>
      <w:r>
        <w:rPr/>
        <w:t>diversity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board</w:t>
      </w:r>
      <w:r>
        <w:rPr>
          <w:spacing w:val="-57"/>
        </w:rPr>
        <w:t> </w:t>
      </w:r>
      <w:r>
        <w:rPr/>
        <w:t>and corporate tax planning in American firms for the period 1996 to 2009. A sample of 300</w:t>
      </w:r>
      <w:r>
        <w:rPr>
          <w:spacing w:val="1"/>
        </w:rPr>
        <w:t> </w:t>
      </w:r>
      <w:r>
        <w:rPr/>
        <w:t>firms (S &amp; P 500) was selected. The data were analyzed with panel least square estimation</w:t>
      </w:r>
      <w:r>
        <w:rPr>
          <w:spacing w:val="1"/>
        </w:rPr>
        <w:t> </w:t>
      </w:r>
      <w:r>
        <w:rPr/>
        <w:t>method. The result revealed that gender diversity on the board is not significant and does not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an</w:t>
      </w:r>
      <w:r>
        <w:rPr>
          <w:spacing w:val="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on tax aggressiveness</w:t>
      </w:r>
      <w:r>
        <w:rPr>
          <w:spacing w:val="-1"/>
        </w:rPr>
        <w:t> </w:t>
      </w:r>
      <w:r>
        <w:rPr/>
        <w:t>of the</w:t>
      </w:r>
      <w:r>
        <w:rPr>
          <w:spacing w:val="1"/>
        </w:rPr>
        <w:t> </w:t>
      </w:r>
      <w:r>
        <w:rPr/>
        <w:t>firms</w:t>
      </w:r>
      <w:r>
        <w:rPr>
          <w:spacing w:val="-1"/>
        </w:rPr>
        <w:t> </w:t>
      </w:r>
      <w:r>
        <w:rPr/>
        <w:t>in the period</w:t>
      </w:r>
      <w:r>
        <w:rPr>
          <w:spacing w:val="-1"/>
        </w:rPr>
        <w:t> </w:t>
      </w:r>
      <w:r>
        <w:rPr/>
        <w:t>considered.</w:t>
      </w:r>
    </w:p>
    <w:p>
      <w:pPr>
        <w:pStyle w:val="BodyText"/>
        <w:spacing w:line="480" w:lineRule="auto" w:before="201"/>
        <w:ind w:right="827"/>
      </w:pPr>
      <w:r>
        <w:rPr/>
        <w:t>Khurana and Moser (2009) examined whether the investment horizon of a firm’s foreign</w:t>
      </w:r>
      <w:r>
        <w:rPr>
          <w:spacing w:val="1"/>
        </w:rPr>
        <w:t> </w:t>
      </w:r>
      <w:r>
        <w:rPr/>
        <w:t>institutional shareholders affects the extent of tax aggressiveness as proxied by a firm’s five-</w:t>
      </w:r>
      <w:r>
        <w:rPr>
          <w:spacing w:val="1"/>
        </w:rPr>
        <w:t> </w:t>
      </w:r>
      <w:r>
        <w:rPr/>
        <w:t>year</w:t>
      </w:r>
      <w:r>
        <w:rPr>
          <w:spacing w:val="-9"/>
        </w:rPr>
        <w:t> </w:t>
      </w:r>
      <w:r>
        <w:rPr/>
        <w:t>cash</w:t>
      </w:r>
      <w:r>
        <w:rPr>
          <w:spacing w:val="-8"/>
        </w:rPr>
        <w:t> </w:t>
      </w:r>
      <w:r>
        <w:rPr/>
        <w:t>effective</w:t>
      </w:r>
      <w:r>
        <w:rPr>
          <w:spacing w:val="-10"/>
        </w:rPr>
        <w:t> </w:t>
      </w:r>
      <w:r>
        <w:rPr/>
        <w:t>tax</w:t>
      </w:r>
      <w:r>
        <w:rPr>
          <w:spacing w:val="-7"/>
        </w:rPr>
        <w:t> </w:t>
      </w:r>
      <w:r>
        <w:rPr/>
        <w:t>rate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yearly</w:t>
      </w:r>
      <w:r>
        <w:rPr>
          <w:spacing w:val="-9"/>
        </w:rPr>
        <w:t> </w:t>
      </w:r>
      <w:r>
        <w:rPr/>
        <w:t>permanent</w:t>
      </w:r>
      <w:r>
        <w:rPr>
          <w:spacing w:val="-8"/>
        </w:rPr>
        <w:t> </w:t>
      </w:r>
      <w:r>
        <w:rPr/>
        <w:t>book-tax</w:t>
      </w:r>
      <w:r>
        <w:rPr>
          <w:spacing w:val="-8"/>
        </w:rPr>
        <w:t> </w:t>
      </w:r>
      <w:r>
        <w:rPr/>
        <w:t>differences.</w:t>
      </w:r>
      <w:r>
        <w:rPr>
          <w:spacing w:val="-8"/>
        </w:rPr>
        <w:t> </w:t>
      </w:r>
      <w:r>
        <w:rPr/>
        <w:t>Using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sample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firms</w:t>
      </w:r>
      <w:r>
        <w:rPr>
          <w:spacing w:val="-58"/>
        </w:rPr>
        <w:t> </w:t>
      </w:r>
      <w:r>
        <w:rPr/>
        <w:t>with institutional foreign ownership data from 1995-2008 in Columbia, they find more tax</w:t>
      </w:r>
      <w:r>
        <w:rPr>
          <w:spacing w:val="1"/>
        </w:rPr>
        <w:t> </w:t>
      </w:r>
      <w:r>
        <w:rPr/>
        <w:t>aggressiveness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firms</w:t>
      </w:r>
      <w:r>
        <w:rPr>
          <w:spacing w:val="-3"/>
        </w:rPr>
        <w:t> </w:t>
      </w:r>
      <w:r>
        <w:rPr/>
        <w:t>held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short-term</w:t>
      </w:r>
      <w:r>
        <w:rPr>
          <w:spacing w:val="-3"/>
        </w:rPr>
        <w:t> </w:t>
      </w:r>
      <w:r>
        <w:rPr/>
        <w:t>investors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less</w:t>
      </w:r>
      <w:r>
        <w:rPr>
          <w:spacing w:val="-4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firms</w:t>
      </w:r>
      <w:r>
        <w:rPr>
          <w:spacing w:val="-3"/>
        </w:rPr>
        <w:t> </w:t>
      </w:r>
      <w:r>
        <w:rPr/>
        <w:t>held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long-term</w:t>
      </w:r>
      <w:r>
        <w:rPr>
          <w:spacing w:val="-5"/>
        </w:rPr>
        <w:t> </w:t>
      </w:r>
      <w:r>
        <w:rPr/>
        <w:t>investors.</w:t>
      </w:r>
      <w:r>
        <w:rPr>
          <w:spacing w:val="-5"/>
        </w:rPr>
        <w:t> </w:t>
      </w:r>
      <w:r>
        <w:rPr/>
        <w:t>These</w:t>
      </w:r>
      <w:r>
        <w:rPr>
          <w:spacing w:val="-4"/>
        </w:rPr>
        <w:t> </w:t>
      </w:r>
      <w:r>
        <w:rPr/>
        <w:t>relations</w:t>
      </w:r>
      <w:r>
        <w:rPr>
          <w:spacing w:val="-5"/>
        </w:rPr>
        <w:t> </w:t>
      </w:r>
      <w:r>
        <w:rPr/>
        <w:t>hold</w:t>
      </w:r>
      <w:r>
        <w:rPr>
          <w:spacing w:val="-2"/>
        </w:rPr>
        <w:t> </w:t>
      </w:r>
      <w:r>
        <w:rPr/>
        <w:t>after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inclusion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various</w:t>
      </w:r>
      <w:r>
        <w:rPr>
          <w:spacing w:val="-5"/>
        </w:rPr>
        <w:t> </w:t>
      </w:r>
      <w:r>
        <w:rPr/>
        <w:t>controls</w:t>
      </w:r>
      <w:r>
        <w:rPr>
          <w:spacing w:val="-5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in</w:t>
      </w:r>
      <w:r>
        <w:rPr>
          <w:spacing w:val="-57"/>
        </w:rPr>
        <w:t> </w:t>
      </w:r>
      <w:r>
        <w:rPr/>
        <w:t>prior research to affect their tax aggressiveness measures. Ying (2015) studied the relationship</w:t>
      </w:r>
      <w:r>
        <w:rPr>
          <w:spacing w:val="-57"/>
        </w:rPr>
        <w:t> </w:t>
      </w:r>
      <w:r>
        <w:rPr/>
        <w:t>between</w:t>
      </w:r>
      <w:r>
        <w:rPr>
          <w:spacing w:val="-9"/>
        </w:rPr>
        <w:t> </w:t>
      </w:r>
      <w:r>
        <w:rPr/>
        <w:t>ownership</w:t>
      </w:r>
      <w:r>
        <w:rPr>
          <w:spacing w:val="-9"/>
        </w:rPr>
        <w:t> </w:t>
      </w:r>
      <w:r>
        <w:rPr/>
        <w:t>structure,</w:t>
      </w:r>
      <w:r>
        <w:rPr>
          <w:spacing w:val="-8"/>
        </w:rPr>
        <w:t> </w:t>
      </w:r>
      <w:r>
        <w:rPr/>
        <w:t>board</w:t>
      </w:r>
      <w:r>
        <w:rPr>
          <w:spacing w:val="-9"/>
        </w:rPr>
        <w:t> </w:t>
      </w:r>
      <w:r>
        <w:rPr/>
        <w:t>characteristics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tax</w:t>
      </w:r>
      <w:r>
        <w:rPr>
          <w:spacing w:val="-8"/>
        </w:rPr>
        <w:t> </w:t>
      </w:r>
      <w:r>
        <w:rPr/>
        <w:t>aggressiveness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firms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China</w:t>
      </w:r>
      <w:r>
        <w:rPr>
          <w:spacing w:val="-9"/>
        </w:rPr>
        <w:t> </w:t>
      </w:r>
      <w:r>
        <w:rPr/>
        <w:t>for</w:t>
      </w:r>
      <w:r>
        <w:rPr>
          <w:spacing w:val="-57"/>
        </w:rPr>
        <w:t> </w:t>
      </w:r>
      <w:r>
        <w:rPr/>
        <w:t>the period 2003 to 2009 using panel regression method. The result obtained showed that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incentive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shareholders.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33408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6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Chen, Chen, Cheng and Shevlin (2007) examined the tax aggressiveness of firms with foreign</w:t>
      </w:r>
      <w:r>
        <w:rPr>
          <w:spacing w:val="-57"/>
        </w:rPr>
        <w:t> </w:t>
      </w:r>
      <w:r>
        <w:rPr/>
        <w:t>ownership in the U.S. They used two effective tax rate measures and two book-tax difference</w:t>
      </w:r>
      <w:r>
        <w:rPr>
          <w:spacing w:val="1"/>
        </w:rPr>
        <w:t> </w:t>
      </w:r>
      <w:r>
        <w:rPr/>
        <w:t>measures to capture tax aggressiveness, and multiple measures of foreign ownership presence.</w:t>
      </w:r>
      <w:r>
        <w:rPr>
          <w:spacing w:val="-57"/>
        </w:rPr>
        <w:t> </w:t>
      </w:r>
      <w:r>
        <w:rPr/>
        <w:t>Using both firm year level analysis on all four tax aggressiveness proxies and firm-level</w:t>
      </w:r>
      <w:r>
        <w:rPr>
          <w:spacing w:val="1"/>
        </w:rPr>
        <w:t> </w:t>
      </w:r>
      <w:r>
        <w:rPr/>
        <w:t>(averages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sampling</w:t>
      </w:r>
      <w:r>
        <w:rPr>
          <w:spacing w:val="-5"/>
        </w:rPr>
        <w:t> </w:t>
      </w:r>
      <w:r>
        <w:rPr/>
        <w:t>period)</w:t>
      </w:r>
      <w:r>
        <w:rPr>
          <w:spacing w:val="-7"/>
        </w:rPr>
        <w:t> </w:t>
      </w:r>
      <w:r>
        <w:rPr/>
        <w:t>analysis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two</w:t>
      </w:r>
      <w:r>
        <w:rPr>
          <w:spacing w:val="-4"/>
        </w:rPr>
        <w:t> </w:t>
      </w:r>
      <w:r>
        <w:rPr/>
        <w:t>tax</w:t>
      </w:r>
      <w:r>
        <w:rPr>
          <w:spacing w:val="-6"/>
        </w:rPr>
        <w:t> </w:t>
      </w:r>
      <w:r>
        <w:rPr/>
        <w:t>rate</w:t>
      </w:r>
      <w:r>
        <w:rPr>
          <w:spacing w:val="-4"/>
        </w:rPr>
        <w:t> </w:t>
      </w:r>
      <w:r>
        <w:rPr/>
        <w:t>measures,</w:t>
      </w:r>
      <w:r>
        <w:rPr>
          <w:spacing w:val="-6"/>
        </w:rPr>
        <w:t> </w:t>
      </w:r>
      <w:r>
        <w:rPr/>
        <w:t>they found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firms</w:t>
      </w:r>
      <w:r>
        <w:rPr>
          <w:spacing w:val="-6"/>
        </w:rPr>
        <w:t> </w:t>
      </w:r>
      <w:r>
        <w:rPr/>
        <w:t>with</w:t>
      </w:r>
      <w:r>
        <w:rPr>
          <w:spacing w:val="-57"/>
        </w:rPr>
        <w:t> </w:t>
      </w:r>
      <w:r>
        <w:rPr/>
        <w:t>foreign ownership were less tax aggressive than their counterparts, ceteris paribus. They went</w:t>
      </w:r>
      <w:r>
        <w:rPr>
          <w:spacing w:val="1"/>
        </w:rPr>
        <w:t> </w:t>
      </w:r>
      <w:r>
        <w:rPr/>
        <w:t>further to document that firm without long-term foreign institutional investors and firms</w:t>
      </w:r>
      <w:r>
        <w:rPr>
          <w:spacing w:val="1"/>
        </w:rPr>
        <w:t> </w:t>
      </w:r>
      <w:r>
        <w:rPr/>
        <w:t>expecting</w:t>
      </w:r>
      <w:r>
        <w:rPr>
          <w:spacing w:val="-1"/>
        </w:rPr>
        <w:t> </w:t>
      </w:r>
      <w:r>
        <w:rPr/>
        <w:t>to raise external capital exhibited</w:t>
      </w:r>
      <w:r>
        <w:rPr>
          <w:spacing w:val="-1"/>
        </w:rPr>
        <w:t> </w:t>
      </w:r>
      <w:r>
        <w:rPr/>
        <w:t>even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lower</w:t>
      </w:r>
      <w:r>
        <w:rPr>
          <w:spacing w:val="-1"/>
        </w:rPr>
        <w:t> </w:t>
      </w:r>
      <w:r>
        <w:rPr/>
        <w:t>tax</w:t>
      </w:r>
      <w:r>
        <w:rPr>
          <w:spacing w:val="2"/>
        </w:rPr>
        <w:t> </w:t>
      </w:r>
      <w:r>
        <w:rPr/>
        <w:t>aggressiveness.</w:t>
      </w:r>
    </w:p>
    <w:p>
      <w:pPr>
        <w:pStyle w:val="Heading1"/>
        <w:numPr>
          <w:ilvl w:val="2"/>
          <w:numId w:val="23"/>
        </w:numPr>
        <w:tabs>
          <w:tab w:pos="1363" w:val="left" w:leader="none"/>
        </w:tabs>
        <w:spacing w:line="240" w:lineRule="auto" w:before="203" w:after="0"/>
        <w:ind w:left="1362" w:right="0" w:hanging="541"/>
        <w:jc w:val="both"/>
      </w:pPr>
      <w:bookmarkStart w:name="_bookmark55" w:id="94"/>
      <w:bookmarkEnd w:id="94"/>
      <w:r>
        <w:rPr>
          <w:b w:val="0"/>
        </w:rPr>
      </w:r>
      <w:bookmarkStart w:name="_bookmark55" w:id="95"/>
      <w:bookmarkEnd w:id="95"/>
      <w:r>
        <w:rPr/>
        <w:t>Stud</w:t>
      </w:r>
      <w:r>
        <w:rPr/>
        <w:t>ies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Economies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7"/>
      </w:pPr>
      <w:r>
        <w:rPr/>
        <w:t>Mappadang,</w:t>
      </w:r>
      <w:r>
        <w:rPr>
          <w:spacing w:val="-2"/>
        </w:rPr>
        <w:t> </w:t>
      </w:r>
      <w:r>
        <w:rPr/>
        <w:t>Widyastuti and</w:t>
      </w:r>
      <w:r>
        <w:rPr>
          <w:spacing w:val="-3"/>
        </w:rPr>
        <w:t> </w:t>
      </w:r>
      <w:r>
        <w:rPr/>
        <w:t>Wijaya</w:t>
      </w:r>
      <w:r>
        <w:rPr>
          <w:spacing w:val="-4"/>
        </w:rPr>
        <w:t> </w:t>
      </w:r>
      <w:r>
        <w:rPr/>
        <w:t>(2018)</w:t>
      </w:r>
      <w:r>
        <w:rPr>
          <w:spacing w:val="-4"/>
        </w:rPr>
        <w:t> </w:t>
      </w:r>
      <w:r>
        <w:rPr/>
        <w:t>investigated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influence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governance</w:t>
      </w:r>
      <w:r>
        <w:rPr>
          <w:spacing w:val="-58"/>
        </w:rPr>
        <w:t> </w:t>
      </w:r>
      <w:r>
        <w:rPr/>
        <w:t>mechanisms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tax</w:t>
      </w:r>
      <w:r>
        <w:rPr>
          <w:spacing w:val="-9"/>
        </w:rPr>
        <w:t> </w:t>
      </w:r>
      <w:r>
        <w:rPr/>
        <w:t>avoidance.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mechanisms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corporate</w:t>
      </w:r>
      <w:r>
        <w:rPr>
          <w:spacing w:val="-10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were</w:t>
      </w:r>
      <w:r>
        <w:rPr>
          <w:spacing w:val="-10"/>
        </w:rPr>
        <w:t> </w:t>
      </w:r>
      <w:r>
        <w:rPr/>
        <w:t>measured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board of commissioners and the institutional ownership. Population of the study comprised of</w:t>
      </w:r>
      <w:r>
        <w:rPr>
          <w:spacing w:val="1"/>
        </w:rPr>
        <w:t> </w:t>
      </w:r>
      <w:r>
        <w:rPr/>
        <w:t>all manufacturing companies listed on the Indonesian Stock Exchange during the years 2012-</w:t>
      </w:r>
      <w:r>
        <w:rPr>
          <w:spacing w:val="1"/>
        </w:rPr>
        <w:t> </w:t>
      </w:r>
      <w:r>
        <w:rPr/>
        <w:t>2016. The samples comprised of 87 companies and method of the research analysis was the</w:t>
      </w:r>
      <w:r>
        <w:rPr>
          <w:spacing w:val="1"/>
        </w:rPr>
        <w:t> </w:t>
      </w:r>
      <w:r>
        <w:rPr/>
        <w:t>smart</w:t>
      </w:r>
      <w:r>
        <w:rPr>
          <w:spacing w:val="-6"/>
        </w:rPr>
        <w:t> </w:t>
      </w:r>
      <w:r>
        <w:rPr/>
        <w:t>PLS.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showed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governance</w:t>
      </w:r>
      <w:r>
        <w:rPr>
          <w:spacing w:val="-7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were</w:t>
      </w:r>
      <w:r>
        <w:rPr>
          <w:spacing w:val="-8"/>
        </w:rPr>
        <w:t> </w:t>
      </w:r>
      <w:r>
        <w:rPr/>
        <w:t>negatively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significantly</w:t>
      </w:r>
      <w:r>
        <w:rPr>
          <w:spacing w:val="-15"/>
        </w:rPr>
        <w:t> </w:t>
      </w:r>
      <w:r>
        <w:rPr/>
        <w:t>related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tax</w:t>
      </w:r>
      <w:r>
        <w:rPr>
          <w:spacing w:val="-15"/>
        </w:rPr>
        <w:t> </w:t>
      </w:r>
      <w:r>
        <w:rPr/>
        <w:t>avoidance;</w:t>
      </w:r>
      <w:r>
        <w:rPr>
          <w:spacing w:val="-14"/>
        </w:rPr>
        <w:t> </w:t>
      </w:r>
      <w:r>
        <w:rPr/>
        <w:t>board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commissioners</w:t>
      </w:r>
      <w:r>
        <w:rPr>
          <w:spacing w:val="-14"/>
        </w:rPr>
        <w:t> </w:t>
      </w:r>
      <w:r>
        <w:rPr/>
        <w:t>showed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positive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relationship with tax avoidance while institutional ownership had a negative but significant</w:t>
      </w:r>
      <w:r>
        <w:rPr>
          <w:spacing w:val="1"/>
        </w:rPr>
        <w:t> </w:t>
      </w:r>
      <w:r>
        <w:rPr/>
        <w:t>correlation</w:t>
      </w:r>
      <w:r>
        <w:rPr>
          <w:spacing w:val="-1"/>
        </w:rPr>
        <w:t> </w:t>
      </w:r>
      <w:r>
        <w:rPr/>
        <w:t>with tax avoidance.</w:t>
      </w:r>
    </w:p>
    <w:p>
      <w:pPr>
        <w:pStyle w:val="BodyText"/>
        <w:spacing w:line="480" w:lineRule="auto" w:before="203"/>
        <w:ind w:right="832"/>
      </w:pPr>
      <w:r>
        <w:rPr/>
        <w:t>Salihu, Annuar and Obid (2015) examined the tax impact of foreign investors’ interests within</w:t>
      </w:r>
      <w:r>
        <w:rPr>
          <w:spacing w:val="-57"/>
        </w:rPr>
        <w:t> </w:t>
      </w:r>
      <w:r>
        <w:rPr/>
        <w:t>a host developing economy. The sample data were extracted from annual reports of the FTSE</w:t>
      </w:r>
      <w:r>
        <w:rPr>
          <w:spacing w:val="1"/>
        </w:rPr>
        <w:t> </w:t>
      </w:r>
      <w:r>
        <w:rPr/>
        <w:t>Bursa</w:t>
      </w:r>
      <w:r>
        <w:rPr>
          <w:spacing w:val="-15"/>
        </w:rPr>
        <w:t> </w:t>
      </w:r>
      <w:r>
        <w:rPr/>
        <w:t>Malaysia</w:t>
      </w:r>
      <w:r>
        <w:rPr>
          <w:spacing w:val="-13"/>
        </w:rPr>
        <w:t> </w:t>
      </w:r>
      <w:r>
        <w:rPr/>
        <w:t>Top</w:t>
      </w:r>
      <w:r>
        <w:rPr>
          <w:spacing w:val="-14"/>
        </w:rPr>
        <w:t> </w:t>
      </w:r>
      <w:r>
        <w:rPr/>
        <w:t>100</w:t>
      </w:r>
      <w:r>
        <w:rPr>
          <w:spacing w:val="-10"/>
        </w:rPr>
        <w:t> </w:t>
      </w:r>
      <w:r>
        <w:rPr/>
        <w:t>firms</w:t>
      </w:r>
      <w:r>
        <w:rPr>
          <w:spacing w:val="-13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periods</w:t>
      </w:r>
      <w:r>
        <w:rPr>
          <w:spacing w:val="-12"/>
        </w:rPr>
        <w:t> </w:t>
      </w:r>
      <w:r>
        <w:rPr/>
        <w:t>2009-2011.</w:t>
      </w:r>
      <w:r>
        <w:rPr>
          <w:spacing w:val="-13"/>
        </w:rPr>
        <w:t> </w:t>
      </w:r>
      <w:r>
        <w:rPr/>
        <w:t>Using</w:t>
      </w:r>
      <w:r>
        <w:rPr>
          <w:spacing w:val="-12"/>
        </w:rPr>
        <w:t> </w:t>
      </w:r>
      <w:r>
        <w:rPr/>
        <w:t>four</w:t>
      </w:r>
      <w:r>
        <w:rPr>
          <w:spacing w:val="-12"/>
        </w:rPr>
        <w:t> </w:t>
      </w:r>
      <w:r>
        <w:rPr/>
        <w:t>similar</w:t>
      </w:r>
      <w:r>
        <w:rPr>
          <w:spacing w:val="-14"/>
        </w:rPr>
        <w:t> </w:t>
      </w:r>
      <w:r>
        <w:rPr/>
        <w:t>measures</w:t>
      </w:r>
      <w:r>
        <w:rPr>
          <w:spacing w:val="-57"/>
        </w:rPr>
        <w:t> </w:t>
      </w:r>
      <w:r>
        <w:rPr/>
        <w:t>of tax avoidance and three related measures of foreign investors’ interest, their analysis of the</w:t>
      </w:r>
      <w:r>
        <w:rPr>
          <w:spacing w:val="1"/>
        </w:rPr>
        <w:t> </w:t>
      </w:r>
      <w:r>
        <w:rPr/>
        <w:t>dynamic panel data with a system GMM estimator showed a significant positive relationship</w:t>
      </w:r>
      <w:r>
        <w:rPr>
          <w:spacing w:val="1"/>
        </w:rPr>
        <w:t> </w:t>
      </w:r>
      <w:r>
        <w:rPr/>
        <w:t>between</w:t>
      </w:r>
      <w:r>
        <w:rPr>
          <w:spacing w:val="4"/>
        </w:rPr>
        <w:t> </w:t>
      </w:r>
      <w:r>
        <w:rPr/>
        <w:t>foreign</w:t>
      </w:r>
      <w:r>
        <w:rPr>
          <w:spacing w:val="5"/>
        </w:rPr>
        <w:t> </w:t>
      </w:r>
      <w:r>
        <w:rPr/>
        <w:t>investors’</w:t>
      </w:r>
      <w:r>
        <w:rPr>
          <w:spacing w:val="5"/>
        </w:rPr>
        <w:t> </w:t>
      </w:r>
      <w:r>
        <w:rPr/>
        <w:t>interests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measures</w:t>
      </w:r>
      <w:r>
        <w:rPr>
          <w:spacing w:val="6"/>
        </w:rPr>
        <w:t> </w:t>
      </w:r>
      <w:r>
        <w:rPr/>
        <w:t>of</w:t>
      </w:r>
      <w:r>
        <w:rPr>
          <w:spacing w:val="4"/>
        </w:rPr>
        <w:t> </w:t>
      </w:r>
      <w:r>
        <w:rPr/>
        <w:t>corporate</w:t>
      </w:r>
      <w:r>
        <w:rPr>
          <w:spacing w:val="5"/>
        </w:rPr>
        <w:t> </w:t>
      </w:r>
      <w:r>
        <w:rPr/>
        <w:t>tax</w:t>
      </w:r>
      <w:r>
        <w:rPr>
          <w:spacing w:val="4"/>
        </w:rPr>
        <w:t> </w:t>
      </w:r>
      <w:r>
        <w:rPr/>
        <w:t>avoidance</w:t>
      </w:r>
      <w:r>
        <w:rPr>
          <w:spacing w:val="5"/>
        </w:rPr>
        <w:t> </w:t>
      </w:r>
      <w:r>
        <w:rPr/>
        <w:t>among</w:t>
      </w:r>
      <w:r>
        <w:rPr>
          <w:spacing w:val="5"/>
        </w:rPr>
        <w:t> </w:t>
      </w:r>
      <w:r>
        <w:rPr/>
        <w:t>large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2"/>
      </w:pPr>
      <w:r>
        <w:rPr/>
        <w:t>Malaysian</w:t>
      </w:r>
      <w:r>
        <w:rPr>
          <w:spacing w:val="1"/>
        </w:rPr>
        <w:t> </w:t>
      </w:r>
      <w:r>
        <w:rPr/>
        <w:t>companies.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multinational</w:t>
      </w:r>
      <w:r>
        <w:rPr>
          <w:spacing w:val="1"/>
        </w:rPr>
        <w:t> </w:t>
      </w:r>
      <w:r>
        <w:rPr/>
        <w:t>companies</w:t>
      </w:r>
      <w:r>
        <w:rPr>
          <w:spacing w:val="1"/>
        </w:rPr>
        <w:t> </w:t>
      </w:r>
      <w:r>
        <w:rPr/>
        <w:t>exploiting their international scales of operations to avoid taxes in both host and parent</w:t>
      </w:r>
      <w:r>
        <w:rPr>
          <w:spacing w:val="1"/>
        </w:rPr>
        <w:t> </w:t>
      </w:r>
      <w:r>
        <w:rPr/>
        <w:t>countries. Thus, emerging economies need to consider the residual benefits of foreign direct</w:t>
      </w:r>
      <w:r>
        <w:rPr>
          <w:spacing w:val="1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presence</w:t>
      </w:r>
      <w:r>
        <w:rPr>
          <w:spacing w:val="-2"/>
        </w:rPr>
        <w:t> </w:t>
      </w:r>
      <w:r>
        <w:rPr/>
        <w:t>of such</w:t>
      </w:r>
      <w:r>
        <w:rPr>
          <w:spacing w:val="-1"/>
        </w:rPr>
        <w:t> </w:t>
      </w:r>
      <w:r>
        <w:rPr/>
        <w:t>tax avoidance</w:t>
      </w:r>
      <w:r>
        <w:rPr>
          <w:spacing w:val="-2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pursuit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480" w:lineRule="auto" w:before="202"/>
        <w:ind w:right="831"/>
      </w:pPr>
      <w:r>
        <w:rPr/>
        <w:drawing>
          <wp:anchor distT="0" distB="0" distL="0" distR="0" allowOverlap="1" layoutInCell="1" locked="0" behindDoc="1" simplePos="0" relativeHeight="454033920">
            <wp:simplePos x="0" y="0"/>
            <wp:positionH relativeFrom="page">
              <wp:posOffset>1261605</wp:posOffset>
            </wp:positionH>
            <wp:positionV relativeFrom="paragraph">
              <wp:posOffset>376086</wp:posOffset>
            </wp:positionV>
            <wp:extent cx="5133225" cy="5265293"/>
            <wp:effectExtent l="0" t="0" r="0" b="0"/>
            <wp:wrapNone/>
            <wp:docPr id="16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Boussadi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Hamed</w:t>
      </w:r>
      <w:r>
        <w:rPr>
          <w:spacing w:val="-12"/>
        </w:rPr>
        <w:t> </w:t>
      </w:r>
      <w:r>
        <w:rPr/>
        <w:t>(2015)</w:t>
      </w:r>
      <w:r>
        <w:rPr>
          <w:spacing w:val="-13"/>
        </w:rPr>
        <w:t> </w:t>
      </w:r>
      <w:r>
        <w:rPr/>
        <w:t>examined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effect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some</w:t>
      </w:r>
      <w:r>
        <w:rPr>
          <w:spacing w:val="-11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mechanisms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tax aggressiveness. The study was based on the analysis of a sample of Tunisian listed firms</w:t>
      </w:r>
      <w:r>
        <w:rPr>
          <w:spacing w:val="1"/>
        </w:rPr>
        <w:t> </w:t>
      </w:r>
      <w:r>
        <w:rPr>
          <w:spacing w:val="-1"/>
        </w:rPr>
        <w:t>over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2006-2012</w:t>
      </w:r>
      <w:r>
        <w:rPr>
          <w:spacing w:val="-13"/>
        </w:rPr>
        <w:t> </w:t>
      </w:r>
      <w:r>
        <w:rPr/>
        <w:t>periods.</w:t>
      </w:r>
      <w:r>
        <w:rPr>
          <w:spacing w:val="-13"/>
        </w:rPr>
        <w:t> </w:t>
      </w:r>
      <w:r>
        <w:rPr/>
        <w:t>Our</w:t>
      </w:r>
      <w:r>
        <w:rPr>
          <w:spacing w:val="-15"/>
        </w:rPr>
        <w:t> </w:t>
      </w:r>
      <w:r>
        <w:rPr/>
        <w:t>regression</w:t>
      </w:r>
      <w:r>
        <w:rPr>
          <w:spacing w:val="-13"/>
        </w:rPr>
        <w:t> </w:t>
      </w:r>
      <w:r>
        <w:rPr/>
        <w:t>results</w:t>
      </w:r>
      <w:r>
        <w:rPr>
          <w:spacing w:val="-13"/>
        </w:rPr>
        <w:t> </w:t>
      </w:r>
      <w:r>
        <w:rPr/>
        <w:t>indicate</w:t>
      </w:r>
      <w:r>
        <w:rPr>
          <w:spacing w:val="-14"/>
        </w:rPr>
        <w:t> </w:t>
      </w:r>
      <w:r>
        <w:rPr/>
        <w:t>that</w:t>
      </w:r>
      <w:r>
        <w:rPr>
          <w:spacing w:val="-13"/>
        </w:rPr>
        <w:t> </w:t>
      </w:r>
      <w:r>
        <w:rPr/>
        <w:t>diversity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gender</w:t>
      </w:r>
      <w:r>
        <w:rPr>
          <w:spacing w:val="-14"/>
        </w:rPr>
        <w:t> </w:t>
      </w:r>
      <w:r>
        <w:rPr/>
        <w:t>on</w:t>
      </w:r>
      <w:r>
        <w:rPr>
          <w:spacing w:val="-13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board,</w:t>
      </w:r>
      <w:r>
        <w:rPr>
          <w:spacing w:val="1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firms`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Board`s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association</w:t>
      </w:r>
      <w:r>
        <w:rPr>
          <w:spacing w:val="-5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increases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concentration</w:t>
      </w:r>
      <w:r>
        <w:rPr>
          <w:spacing w:val="-4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tend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affect</w:t>
      </w:r>
      <w:r>
        <w:rPr>
          <w:spacing w:val="-58"/>
        </w:rPr>
        <w:t> </w:t>
      </w:r>
      <w:r>
        <w:rPr/>
        <w:t>it</w:t>
      </w:r>
      <w:r>
        <w:rPr>
          <w:spacing w:val="-2"/>
        </w:rPr>
        <w:t> </w:t>
      </w:r>
      <w:r>
        <w:rPr/>
        <w:t>negatively.</w:t>
      </w:r>
      <w:r>
        <w:rPr>
          <w:spacing w:val="-2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don`t</w:t>
      </w:r>
      <w:r>
        <w:rPr>
          <w:spacing w:val="-1"/>
        </w:rPr>
        <w:t> </w:t>
      </w:r>
      <w:r>
        <w:rPr/>
        <w:t>show</w:t>
      </w:r>
      <w:r>
        <w:rPr>
          <w:spacing w:val="-2"/>
        </w:rPr>
        <w:t> </w:t>
      </w:r>
      <w:r>
        <w:rPr/>
        <w:t>any</w:t>
      </w:r>
      <w:r>
        <w:rPr>
          <w:spacing w:val="-5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effects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board</w:t>
      </w:r>
      <w:r>
        <w:rPr>
          <w:spacing w:val="-2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external</w:t>
      </w:r>
      <w:r>
        <w:rPr>
          <w:spacing w:val="-1"/>
        </w:rPr>
        <w:t> </w:t>
      </w:r>
      <w:r>
        <w:rPr/>
        <w:t>auditor`s profile</w:t>
      </w:r>
      <w:r>
        <w:rPr>
          <w:spacing w:val="1"/>
        </w:rPr>
        <w:t> </w:t>
      </w:r>
      <w:r>
        <w:rPr/>
        <w:t>on the tax aggressiveness.</w:t>
      </w:r>
    </w:p>
    <w:p>
      <w:pPr>
        <w:pStyle w:val="BodyText"/>
        <w:spacing w:line="480" w:lineRule="auto" w:before="201"/>
        <w:ind w:right="829"/>
      </w:pPr>
      <w:r>
        <w:rPr/>
        <w:t>Martinez and Ramalho (2014) investigated whether firms with a foreign ownership structure</w:t>
      </w:r>
      <w:r>
        <w:rPr>
          <w:spacing w:val="1"/>
        </w:rPr>
        <w:t> </w:t>
      </w:r>
      <w:r>
        <w:rPr/>
        <w:t>were more aggressive in terms of tax planning in Brazil, based on a sample of firms listed on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BMF</w:t>
      </w:r>
      <w:r>
        <w:rPr>
          <w:spacing w:val="-16"/>
        </w:rPr>
        <w:t> </w:t>
      </w:r>
      <w:r>
        <w:rPr>
          <w:spacing w:val="-1"/>
        </w:rPr>
        <w:t>&amp;</w:t>
      </w:r>
      <w:r>
        <w:rPr>
          <w:spacing w:val="-12"/>
        </w:rPr>
        <w:t> </w:t>
      </w:r>
      <w:r>
        <w:rPr/>
        <w:t>Bovespa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2001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2012.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however</w:t>
      </w:r>
      <w:r>
        <w:rPr>
          <w:spacing w:val="-13"/>
        </w:rPr>
        <w:t> </w:t>
      </w:r>
      <w:r>
        <w:rPr/>
        <w:t>found</w:t>
      </w:r>
      <w:r>
        <w:rPr>
          <w:spacing w:val="-13"/>
        </w:rPr>
        <w:t> </w:t>
      </w:r>
      <w:r>
        <w:rPr/>
        <w:t>a</w:t>
      </w:r>
      <w:r>
        <w:rPr>
          <w:spacing w:val="-16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relationship</w:t>
      </w:r>
      <w:r>
        <w:rPr>
          <w:spacing w:val="-14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a</w:t>
      </w:r>
      <w:r>
        <w:rPr>
          <w:spacing w:val="-10"/>
        </w:rPr>
        <w:t> </w:t>
      </w:r>
      <w:r>
        <w:rPr/>
        <w:t>firm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foreign</w:t>
      </w:r>
      <w:r>
        <w:rPr>
          <w:spacing w:val="-8"/>
        </w:rPr>
        <w:t> </w:t>
      </w:r>
      <w:r>
        <w:rPr/>
        <w:t>ownership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tax</w:t>
      </w:r>
      <w:r>
        <w:rPr>
          <w:spacing w:val="-9"/>
        </w:rPr>
        <w:t> </w:t>
      </w:r>
      <w:r>
        <w:rPr/>
        <w:t>aggressiveness,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two</w:t>
      </w:r>
      <w:r>
        <w:rPr>
          <w:spacing w:val="-9"/>
        </w:rPr>
        <w:t> </w:t>
      </w:r>
      <w:r>
        <w:rPr/>
        <w:t>metrics.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first,</w:t>
      </w:r>
      <w:r>
        <w:rPr>
          <w:spacing w:val="-8"/>
        </w:rPr>
        <w:t> </w:t>
      </w:r>
      <w:r>
        <w:rPr/>
        <w:t>effective</w:t>
      </w:r>
      <w:r>
        <w:rPr>
          <w:spacing w:val="-58"/>
        </w:rPr>
        <w:t> </w:t>
      </w:r>
      <w:r>
        <w:rPr/>
        <w:t>tax rate (ETR), captures the actual taxes paid in relation to pre-tax earnings, while the second,</w:t>
      </w:r>
      <w:r>
        <w:rPr>
          <w:spacing w:val="1"/>
        </w:rPr>
        <w:t> </w:t>
      </w:r>
      <w:r>
        <w:rPr/>
        <w:t>book-tax differences (BTD), reflected the differences between accounting income and taxable</w:t>
      </w:r>
      <w:r>
        <w:rPr>
          <w:spacing w:val="1"/>
        </w:rPr>
        <w:t> </w:t>
      </w:r>
      <w:r>
        <w:rPr/>
        <w:t>income.</w:t>
      </w:r>
      <w:r>
        <w:rPr>
          <w:spacing w:val="1"/>
        </w:rPr>
        <w:t> </w:t>
      </w:r>
      <w:r>
        <w:rPr/>
        <w:t>The sampled firms were more tax aggressive than other firms. For the variable BTD</w:t>
      </w:r>
      <w:r>
        <w:rPr>
          <w:spacing w:val="1"/>
        </w:rPr>
        <w:t> </w:t>
      </w:r>
      <w:r>
        <w:rPr/>
        <w:t>presented a positive sign, indicating a tendency for higher BTD. In turn, ETR had a negative</w:t>
      </w:r>
      <w:r>
        <w:rPr>
          <w:spacing w:val="1"/>
        </w:rPr>
        <w:t> </w:t>
      </w:r>
      <w:r>
        <w:rPr/>
        <w:t>sign,</w:t>
      </w:r>
      <w:r>
        <w:rPr>
          <w:spacing w:val="-1"/>
        </w:rPr>
        <w:t> </w:t>
      </w:r>
      <w:r>
        <w:rPr/>
        <w:t>identifying a</w:t>
      </w:r>
      <w:r>
        <w:rPr>
          <w:spacing w:val="-1"/>
        </w:rPr>
        <w:t> </w:t>
      </w:r>
      <w:r>
        <w:rPr/>
        <w:t>tendency for</w:t>
      </w:r>
      <w:r>
        <w:rPr>
          <w:spacing w:val="-3"/>
        </w:rPr>
        <w:t> </w:t>
      </w:r>
      <w:r>
        <w:rPr/>
        <w:t>firms with foreign</w:t>
      </w:r>
      <w:r>
        <w:rPr>
          <w:spacing w:val="2"/>
        </w:rPr>
        <w:t> </w:t>
      </w:r>
      <w:r>
        <w:rPr/>
        <w:t>ownership</w:t>
      </w:r>
      <w:r>
        <w:rPr>
          <w:spacing w:val="-1"/>
        </w:rPr>
        <w:t> </w:t>
      </w:r>
      <w:r>
        <w:rPr/>
        <w:t>to pay lower taxes.</w:t>
      </w:r>
    </w:p>
    <w:p>
      <w:pPr>
        <w:pStyle w:val="BodyText"/>
        <w:spacing w:line="480" w:lineRule="auto" w:before="200"/>
        <w:ind w:right="832"/>
      </w:pPr>
      <w:r>
        <w:rPr/>
        <w:t>Otieno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firms’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explained differences in their level of tax avoidance in Kenya. The study aimed at establishing</w:t>
      </w:r>
      <w:r>
        <w:rPr>
          <w:spacing w:val="-57"/>
        </w:rPr>
        <w:t> </w:t>
      </w:r>
      <w:r>
        <w:rPr/>
        <w:t>the</w:t>
      </w:r>
      <w:r>
        <w:rPr>
          <w:spacing w:val="36"/>
        </w:rPr>
        <w:t> </w:t>
      </w:r>
      <w:r>
        <w:rPr/>
        <w:t>relationship</w:t>
      </w:r>
      <w:r>
        <w:rPr>
          <w:spacing w:val="38"/>
        </w:rPr>
        <w:t> </w:t>
      </w:r>
      <w:r>
        <w:rPr/>
        <w:t>between</w:t>
      </w:r>
      <w:r>
        <w:rPr>
          <w:spacing w:val="39"/>
        </w:rPr>
        <w:t> </w:t>
      </w:r>
      <w:r>
        <w:rPr/>
        <w:t>ownership</w:t>
      </w:r>
      <w:r>
        <w:rPr>
          <w:spacing w:val="38"/>
        </w:rPr>
        <w:t> </w:t>
      </w:r>
      <w:r>
        <w:rPr/>
        <w:t>structure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tax</w:t>
      </w:r>
      <w:r>
        <w:rPr>
          <w:spacing w:val="36"/>
        </w:rPr>
        <w:t> </w:t>
      </w:r>
      <w:r>
        <w:rPr/>
        <w:t>avoidance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companies</w:t>
      </w:r>
      <w:r>
        <w:rPr>
          <w:spacing w:val="37"/>
        </w:rPr>
        <w:t> </w:t>
      </w:r>
      <w:r>
        <w:rPr/>
        <w:t>listed</w:t>
      </w:r>
      <w:r>
        <w:rPr>
          <w:spacing w:val="36"/>
        </w:rPr>
        <w:t> </w:t>
      </w:r>
      <w:r>
        <w:rPr/>
        <w:t>at</w:t>
      </w:r>
      <w:r>
        <w:rPr>
          <w:spacing w:val="38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3443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6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Nairobi Securities Exchange. In order to do this, the research was designed as a descriptive</w:t>
      </w:r>
      <w:r>
        <w:rPr>
          <w:spacing w:val="1"/>
        </w:rPr>
        <w:t> </w:t>
      </w:r>
      <w:r>
        <w:rPr/>
        <w:t>study where relationships were tested. The population comprised of 61 companies listed at the</w:t>
      </w:r>
      <w:r>
        <w:rPr>
          <w:spacing w:val="-57"/>
        </w:rPr>
        <w:t> </w:t>
      </w:r>
      <w:r>
        <w:rPr/>
        <w:t>NSE.</w:t>
      </w:r>
      <w:r>
        <w:rPr>
          <w:spacing w:val="-6"/>
        </w:rPr>
        <w:t> </w:t>
      </w:r>
      <w:r>
        <w:rPr/>
        <w:t>Secondary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collected</w:t>
      </w:r>
      <w:r>
        <w:rPr>
          <w:spacing w:val="-7"/>
        </w:rPr>
        <w:t> </w:t>
      </w:r>
      <w:r>
        <w:rPr/>
        <w:t>from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NSE</w:t>
      </w:r>
      <w:r>
        <w:rPr>
          <w:spacing w:val="-6"/>
        </w:rPr>
        <w:t> </w:t>
      </w:r>
      <w:r>
        <w:rPr/>
        <w:t>Secretariat,</w:t>
      </w:r>
      <w:r>
        <w:rPr>
          <w:spacing w:val="-6"/>
        </w:rPr>
        <w:t> </w:t>
      </w:r>
      <w:r>
        <w:rPr/>
        <w:t>respective</w:t>
      </w:r>
      <w:r>
        <w:rPr>
          <w:spacing w:val="-7"/>
        </w:rPr>
        <w:t> </w:t>
      </w:r>
      <w:r>
        <w:rPr/>
        <w:t>company</w:t>
      </w:r>
      <w:r>
        <w:rPr>
          <w:spacing w:val="-6"/>
        </w:rPr>
        <w:t> </w:t>
      </w:r>
      <w:r>
        <w:rPr/>
        <w:t>websites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Africa Financials website was used in the study. Data was then analyzed using descriptive</w:t>
      </w:r>
      <w:r>
        <w:rPr>
          <w:spacing w:val="1"/>
        </w:rPr>
        <w:t> </w:t>
      </w:r>
      <w:r>
        <w:rPr/>
        <w:t>analysis and regression analysis. The findings of the study were that ownership structure did</w:t>
      </w:r>
      <w:r>
        <w:rPr>
          <w:spacing w:val="1"/>
        </w:rPr>
        <w:t> </w:t>
      </w:r>
      <w:r>
        <w:rPr/>
        <w:t>not significantly influence tax avoidance as the effects of state ownership, foreign ownership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institutional ownership on tax</w:t>
      </w:r>
      <w:r>
        <w:rPr>
          <w:spacing w:val="-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insignificant at 5%</w:t>
      </w:r>
      <w:r>
        <w:rPr>
          <w:spacing w:val="-2"/>
        </w:rPr>
        <w:t> </w:t>
      </w:r>
      <w:r>
        <w:rPr/>
        <w:t>level.</w:t>
      </w:r>
    </w:p>
    <w:p>
      <w:pPr>
        <w:pStyle w:val="BodyText"/>
        <w:spacing w:line="480" w:lineRule="auto" w:before="203"/>
        <w:ind w:right="831"/>
      </w:pPr>
      <w:r>
        <w:rPr/>
        <w:t>Annuar, Salihu and Obid (2014) carried out an empirical investigation into the relationship</w:t>
      </w:r>
      <w:r>
        <w:rPr>
          <w:spacing w:val="1"/>
        </w:rPr>
        <w:t> </w:t>
      </w:r>
      <w:r>
        <w:rPr/>
        <w:t>between</w:t>
      </w:r>
      <w:r>
        <w:rPr>
          <w:spacing w:val="-7"/>
        </w:rPr>
        <w:t> </w:t>
      </w:r>
      <w:r>
        <w:rPr/>
        <w:t>corporate</w:t>
      </w:r>
      <w:r>
        <w:rPr>
          <w:spacing w:val="-8"/>
        </w:rPr>
        <w:t> </w:t>
      </w:r>
      <w:r>
        <w:rPr/>
        <w:t>ownership</w:t>
      </w:r>
      <w:r>
        <w:rPr>
          <w:spacing w:val="-6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tax</w:t>
      </w:r>
      <w:r>
        <w:rPr>
          <w:spacing w:val="-8"/>
        </w:rPr>
        <w:t> </w:t>
      </w:r>
      <w:r>
        <w:rPr/>
        <w:t>avoidance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Malaysia.</w:t>
      </w:r>
      <w:r>
        <w:rPr>
          <w:spacing w:val="-7"/>
        </w:rPr>
        <w:t> </w:t>
      </w:r>
      <w:r>
        <w:rPr/>
        <w:t>It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argued,</w:t>
      </w:r>
      <w:r>
        <w:rPr>
          <w:spacing w:val="-58"/>
        </w:rPr>
        <w:t> </w:t>
      </w:r>
      <w:r>
        <w:rPr/>
        <w:t>based on cost/benefits consideration of tax avoidance, that family; foreign and government</w:t>
      </w:r>
      <w:r>
        <w:rPr>
          <w:spacing w:val="1"/>
        </w:rPr>
        <w:t> </w:t>
      </w:r>
      <w:r>
        <w:rPr/>
        <w:t>ownerships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Malaysian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companies. The Malaysian companies listed on the main market of Bursa Malaysia were</w:t>
      </w:r>
      <w:r>
        <w:rPr>
          <w:spacing w:val="1"/>
        </w:rPr>
        <w:t> </w:t>
      </w:r>
      <w:r>
        <w:rPr/>
        <w:t>targeted as the source of data for the proposed investigation. The study proposed a time-frame</w:t>
      </w:r>
      <w:r>
        <w:rPr>
          <w:spacing w:val="-57"/>
        </w:rPr>
        <w:t> </w:t>
      </w:r>
      <w:r>
        <w:rPr/>
        <w:t>of five years from 2009 to 2013. Two econometrics dynamic panel data models are proposed</w:t>
      </w:r>
      <w:r>
        <w:rPr>
          <w:spacing w:val="1"/>
        </w:rPr>
        <w:t> </w:t>
      </w:r>
      <w:r>
        <w:rPr/>
        <w:t>for the investigation. Generalized Method Moment (GMM) estimator is recommended as the</w:t>
      </w:r>
      <w:r>
        <w:rPr>
          <w:spacing w:val="1"/>
        </w:rPr>
        <w:t> </w:t>
      </w:r>
      <w:r>
        <w:rPr/>
        <w:t>estimation method. Findings from the study led to the conclusion that foreign ownerships are</w:t>
      </w:r>
      <w:r>
        <w:rPr>
          <w:spacing w:val="1"/>
        </w:rPr>
        <w:t> </w:t>
      </w:r>
      <w:r>
        <w:rPr/>
        <w:t>proven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potential</w:t>
      </w:r>
      <w:r>
        <w:rPr>
          <w:spacing w:val="-7"/>
        </w:rPr>
        <w:t> </w:t>
      </w:r>
      <w:r>
        <w:rPr/>
        <w:t>determinants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tax</w:t>
      </w:r>
      <w:r>
        <w:rPr>
          <w:spacing w:val="-8"/>
        </w:rPr>
        <w:t> </w:t>
      </w:r>
      <w:r>
        <w:rPr/>
        <w:t>avoidance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potential</w:t>
      </w:r>
      <w:r>
        <w:rPr>
          <w:spacing w:val="-9"/>
        </w:rPr>
        <w:t> </w:t>
      </w:r>
      <w:r>
        <w:rPr/>
        <w:t>interactive</w:t>
      </w:r>
      <w:r>
        <w:rPr>
          <w:spacing w:val="-9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board composition.</w:t>
      </w:r>
    </w:p>
    <w:p>
      <w:pPr>
        <w:pStyle w:val="BodyText"/>
        <w:spacing w:line="480" w:lineRule="auto" w:before="201"/>
        <w:ind w:right="828"/>
      </w:pPr>
      <w:r>
        <w:rPr/>
        <w:t>Rawiwan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 in the Stock Exchange of Thailand (SET) during 2007-2011. The study went</w:t>
      </w:r>
      <w:r>
        <w:rPr>
          <w:spacing w:val="1"/>
        </w:rPr>
        <w:t> </w:t>
      </w:r>
      <w:r>
        <w:rPr>
          <w:spacing w:val="-1"/>
        </w:rPr>
        <w:t>further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analyze</w:t>
      </w:r>
      <w:r>
        <w:rPr>
          <w:spacing w:val="-16"/>
        </w:rPr>
        <w:t> </w:t>
      </w:r>
      <w:r>
        <w:rPr/>
        <w:t>the</w:t>
      </w:r>
      <w:r>
        <w:rPr>
          <w:spacing w:val="-12"/>
        </w:rPr>
        <w:t> </w:t>
      </w:r>
      <w:r>
        <w:rPr/>
        <w:t>impact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these</w:t>
      </w:r>
      <w:r>
        <w:rPr>
          <w:spacing w:val="-15"/>
        </w:rPr>
        <w:t> </w:t>
      </w:r>
      <w:r>
        <w:rPr/>
        <w:t>two</w:t>
      </w:r>
      <w:r>
        <w:rPr>
          <w:spacing w:val="-13"/>
        </w:rPr>
        <w:t> </w:t>
      </w:r>
      <w:r>
        <w:rPr/>
        <w:t>variables</w:t>
      </w:r>
      <w:r>
        <w:rPr>
          <w:spacing w:val="-12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value</w:t>
      </w:r>
      <w:r>
        <w:rPr>
          <w:spacing w:val="-13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firms.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results</w:t>
      </w:r>
      <w:r>
        <w:rPr>
          <w:spacing w:val="-15"/>
        </w:rPr>
        <w:t> </w:t>
      </w:r>
      <w:r>
        <w:rPr/>
        <w:t>showed</w:t>
      </w:r>
      <w:r>
        <w:rPr>
          <w:spacing w:val="-58"/>
        </w:rPr>
        <w:t> </w:t>
      </w:r>
      <w:r>
        <w:rPr/>
        <w:t>that corporate governance is positively related to tax avoidance, meaning that firms with good</w:t>
      </w:r>
      <w:r>
        <w:rPr>
          <w:spacing w:val="-57"/>
        </w:rPr>
        <w:t> </w:t>
      </w:r>
      <w:r>
        <w:rPr/>
        <w:t>governance</w:t>
      </w:r>
      <w:r>
        <w:rPr>
          <w:spacing w:val="31"/>
        </w:rPr>
        <w:t> </w:t>
      </w:r>
      <w:r>
        <w:rPr/>
        <w:t>pay</w:t>
      </w:r>
      <w:r>
        <w:rPr>
          <w:spacing w:val="33"/>
        </w:rPr>
        <w:t> </w:t>
      </w:r>
      <w:r>
        <w:rPr/>
        <w:t>tax</w:t>
      </w:r>
      <w:r>
        <w:rPr>
          <w:spacing w:val="32"/>
        </w:rPr>
        <w:t> </w:t>
      </w:r>
      <w:r>
        <w:rPr/>
        <w:t>less</w:t>
      </w:r>
      <w:r>
        <w:rPr>
          <w:spacing w:val="32"/>
        </w:rPr>
        <w:t> </w:t>
      </w:r>
      <w:r>
        <w:rPr/>
        <w:t>than</w:t>
      </w:r>
      <w:r>
        <w:rPr>
          <w:spacing w:val="32"/>
        </w:rPr>
        <w:t> </w:t>
      </w:r>
      <w:r>
        <w:rPr/>
        <w:t>firms</w:t>
      </w:r>
      <w:r>
        <w:rPr>
          <w:spacing w:val="34"/>
        </w:rPr>
        <w:t> </w:t>
      </w:r>
      <w:r>
        <w:rPr/>
        <w:t>with</w:t>
      </w:r>
      <w:r>
        <w:rPr>
          <w:spacing w:val="32"/>
        </w:rPr>
        <w:t> </w:t>
      </w:r>
      <w:r>
        <w:rPr/>
        <w:t>bad</w:t>
      </w:r>
      <w:r>
        <w:rPr>
          <w:spacing w:val="33"/>
        </w:rPr>
        <w:t> </w:t>
      </w:r>
      <w:r>
        <w:rPr/>
        <w:t>governance.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board</w:t>
      </w:r>
      <w:r>
        <w:rPr>
          <w:spacing w:val="31"/>
        </w:rPr>
        <w:t> </w:t>
      </w:r>
      <w:r>
        <w:rPr/>
        <w:t>of</w:t>
      </w:r>
      <w:r>
        <w:rPr>
          <w:spacing w:val="37"/>
        </w:rPr>
        <w:t> </w:t>
      </w:r>
      <w:r>
        <w:rPr/>
        <w:t>directors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audit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8"/>
      </w:pPr>
      <w:r>
        <w:rPr/>
        <w:t>committee play 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role on</w:t>
      </w:r>
      <w:r>
        <w:rPr>
          <w:spacing w:val="1"/>
        </w:rPr>
        <w:t> </w:t>
      </w:r>
      <w:r>
        <w:rPr/>
        <w:t>tax reduction.</w:t>
      </w:r>
      <w:r>
        <w:rPr>
          <w:spacing w:val="1"/>
        </w:rPr>
        <w:t> </w:t>
      </w:r>
      <w:r>
        <w:rPr/>
        <w:t>Interestingly,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company</w:t>
      </w:r>
      <w:r>
        <w:rPr>
          <w:spacing w:val="-1"/>
        </w:rPr>
        <w:t> </w:t>
      </w:r>
      <w:r>
        <w:rPr/>
        <w:t>helped reduce</w:t>
      </w:r>
      <w:r>
        <w:rPr>
          <w:spacing w:val="-1"/>
        </w:rPr>
        <w:t> </w:t>
      </w:r>
      <w:r>
        <w:rPr/>
        <w:t>tax payment.</w:t>
      </w:r>
    </w:p>
    <w:p>
      <w:pPr>
        <w:pStyle w:val="BodyText"/>
        <w:spacing w:line="480" w:lineRule="auto" w:before="202"/>
        <w:ind w:right="829"/>
      </w:pPr>
      <w:r>
        <w:rPr/>
        <w:drawing>
          <wp:anchor distT="0" distB="0" distL="0" distR="0" allowOverlap="1" layoutInCell="1" locked="0" behindDoc="1" simplePos="0" relativeHeight="454034944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16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Utkir (2012) identified whether there is any relationship between corporate tax avoidance and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cost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debt,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whether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level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institutional</w:t>
      </w:r>
      <w:r>
        <w:rPr>
          <w:spacing w:val="-3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moderates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relationship.</w:t>
      </w:r>
      <w:r>
        <w:rPr>
          <w:spacing w:val="-6"/>
        </w:rPr>
        <w:t> </w:t>
      </w:r>
      <w:r>
        <w:rPr/>
        <w:t>A</w:t>
      </w:r>
      <w:r>
        <w:rPr>
          <w:spacing w:val="-58"/>
        </w:rPr>
        <w:t> </w:t>
      </w:r>
      <w:r>
        <w:rPr/>
        <w:t>two</w:t>
      </w:r>
      <w:r>
        <w:rPr>
          <w:spacing w:val="-6"/>
        </w:rPr>
        <w:t> </w:t>
      </w:r>
      <w:r>
        <w:rPr/>
        <w:t>hypotheses</w:t>
      </w:r>
      <w:r>
        <w:rPr>
          <w:spacing w:val="-5"/>
        </w:rPr>
        <w:t> </w:t>
      </w:r>
      <w:r>
        <w:rPr/>
        <w:t>test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sample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110</w:t>
      </w:r>
      <w:r>
        <w:rPr>
          <w:spacing w:val="-5"/>
        </w:rPr>
        <w:t> </w:t>
      </w:r>
      <w:r>
        <w:rPr/>
        <w:t>listed</w:t>
      </w:r>
      <w:r>
        <w:rPr>
          <w:spacing w:val="-7"/>
        </w:rPr>
        <w:t> </w:t>
      </w:r>
      <w:r>
        <w:rPr/>
        <w:t>firms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main</w:t>
      </w:r>
      <w:r>
        <w:rPr>
          <w:spacing w:val="-6"/>
        </w:rPr>
        <w:t> </w:t>
      </w:r>
      <w:r>
        <w:rPr/>
        <w:t>board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Bursa</w:t>
      </w:r>
      <w:r>
        <w:rPr>
          <w:spacing w:val="-7"/>
        </w:rPr>
        <w:t> </w:t>
      </w:r>
      <w:r>
        <w:rPr/>
        <w:t>Malaysia</w:t>
      </w:r>
      <w:r>
        <w:rPr>
          <w:spacing w:val="-7"/>
        </w:rPr>
        <w:t> </w:t>
      </w:r>
      <w:r>
        <w:rPr/>
        <w:t>during</w:t>
      </w:r>
      <w:r>
        <w:rPr>
          <w:spacing w:val="-57"/>
        </w:rPr>
        <w:t> </w:t>
      </w:r>
      <w:r>
        <w:rPr/>
        <w:t>the year 2005 – 2009 was utilized for the purpose of the study. The study however supported</w:t>
      </w:r>
      <w:r>
        <w:rPr>
          <w:spacing w:val="1"/>
        </w:rPr>
        <w:t> </w:t>
      </w:r>
      <w:r>
        <w:rPr/>
        <w:t>prior papers with negative relationship between tax avoidance and the cost of debt of a firm,</w:t>
      </w:r>
      <w:r>
        <w:rPr>
          <w:spacing w:val="1"/>
        </w:rPr>
        <w:t> </w:t>
      </w:r>
      <w:r>
        <w:rPr/>
        <w:t>suggesting corporate tax avoidance activity can also be affected by foreign and institutional</w:t>
      </w:r>
      <w:r>
        <w:rPr>
          <w:spacing w:val="1"/>
        </w:rPr>
        <w:t> </w:t>
      </w:r>
      <w:r>
        <w:rPr/>
        <w:t>ownership.</w:t>
      </w:r>
    </w:p>
    <w:p>
      <w:pPr>
        <w:pStyle w:val="Heading1"/>
        <w:numPr>
          <w:ilvl w:val="2"/>
          <w:numId w:val="23"/>
        </w:numPr>
        <w:tabs>
          <w:tab w:pos="1363" w:val="left" w:leader="none"/>
        </w:tabs>
        <w:spacing w:line="240" w:lineRule="auto" w:before="200" w:after="0"/>
        <w:ind w:left="1362" w:right="0" w:hanging="541"/>
        <w:jc w:val="both"/>
      </w:pPr>
      <w:bookmarkStart w:name="_bookmark56" w:id="96"/>
      <w:bookmarkEnd w:id="96"/>
      <w:r>
        <w:rPr>
          <w:b w:val="0"/>
        </w:rPr>
      </w:r>
      <w:bookmarkStart w:name="_bookmark56" w:id="97"/>
      <w:bookmarkEnd w:id="97"/>
      <w:r>
        <w:rPr/>
        <w:t>Stud</w:t>
      </w:r>
      <w:r>
        <w:rPr/>
        <w:t>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8"/>
      </w:pPr>
      <w:r>
        <w:rPr/>
        <w:t>Uniamikogbo, Bennee and Adeusi. (2019) investigated the effect of corporate governance on</w:t>
      </w:r>
      <w:r>
        <w:rPr>
          <w:spacing w:val="1"/>
        </w:rPr>
        <w:t> </w:t>
      </w:r>
      <w:r>
        <w:rPr/>
        <w:t>tax aggressiveness in Nigeria. Specifically, four variables; gender diversity, board size, CEO</w:t>
      </w:r>
      <w:r>
        <w:rPr>
          <w:spacing w:val="1"/>
        </w:rPr>
        <w:t> </w:t>
      </w:r>
      <w:r>
        <w:rPr/>
        <w:t>duality, and ownership structure were used as proxy for corporate governance while effective</w:t>
      </w:r>
      <w:r>
        <w:rPr>
          <w:spacing w:val="1"/>
        </w:rPr>
        <w:t> </w:t>
      </w:r>
      <w:r>
        <w:rPr/>
        <w:t>tax</w:t>
      </w:r>
      <w:r>
        <w:rPr>
          <w:spacing w:val="-2"/>
        </w:rPr>
        <w:t> </w:t>
      </w:r>
      <w:r>
        <w:rPr/>
        <w:t>rate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represent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Gas</w:t>
      </w:r>
      <w:r>
        <w:rPr>
          <w:spacing w:val="-2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firms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Nigeria.</w:t>
      </w:r>
      <w:r>
        <w:rPr>
          <w:spacing w:val="-57"/>
        </w:rPr>
        <w:t> </w:t>
      </w:r>
      <w:r>
        <w:rPr/>
        <w:t>The</w:t>
      </w:r>
      <w:r>
        <w:rPr>
          <w:spacing w:val="-10"/>
        </w:rPr>
        <w:t> </w:t>
      </w:r>
      <w:r>
        <w:rPr/>
        <w:t>population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study</w:t>
      </w:r>
      <w:r>
        <w:rPr>
          <w:spacing w:val="-7"/>
        </w:rPr>
        <w:t> </w:t>
      </w:r>
      <w:r>
        <w:rPr/>
        <w:t>consisted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all</w:t>
      </w:r>
      <w:r>
        <w:rPr>
          <w:spacing w:val="-8"/>
        </w:rPr>
        <w:t> </w:t>
      </w:r>
      <w:r>
        <w:rPr/>
        <w:t>Oil</w:t>
      </w:r>
      <w:r>
        <w:rPr>
          <w:spacing w:val="-10"/>
        </w:rPr>
        <w:t> </w:t>
      </w:r>
      <w:r>
        <w:rPr/>
        <w:t>&amp;</w:t>
      </w:r>
      <w:r>
        <w:rPr>
          <w:spacing w:val="-8"/>
        </w:rPr>
        <w:t> </w:t>
      </w:r>
      <w:r>
        <w:rPr/>
        <w:t>Gas</w:t>
      </w:r>
      <w:r>
        <w:rPr>
          <w:spacing w:val="-11"/>
        </w:rPr>
        <w:t> </w:t>
      </w:r>
      <w:r>
        <w:rPr/>
        <w:t>marketing</w:t>
      </w:r>
      <w:r>
        <w:rPr>
          <w:spacing w:val="-9"/>
        </w:rPr>
        <w:t> </w:t>
      </w:r>
      <w:r>
        <w:rPr/>
        <w:t>firms</w:t>
      </w:r>
      <w:r>
        <w:rPr>
          <w:spacing w:val="-7"/>
        </w:rPr>
        <w:t> </w:t>
      </w:r>
      <w:r>
        <w:rPr/>
        <w:t>listed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Nigerian</w:t>
      </w:r>
      <w:r>
        <w:rPr>
          <w:spacing w:val="-8"/>
        </w:rPr>
        <w:t> </w:t>
      </w:r>
      <w:r>
        <w:rPr/>
        <w:t>Stock</w:t>
      </w:r>
      <w:r>
        <w:rPr>
          <w:spacing w:val="-58"/>
        </w:rPr>
        <w:t> </w:t>
      </w:r>
      <w:r>
        <w:rPr/>
        <w:t>Exchange as at 31st December 2017.The entire population was adopted as the study sample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census</w:t>
      </w:r>
      <w:r>
        <w:rPr>
          <w:spacing w:val="-3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approach.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source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collection</w:t>
      </w:r>
      <w:r>
        <w:rPr>
          <w:spacing w:val="-4"/>
        </w:rPr>
        <w:t> </w:t>
      </w:r>
      <w:r>
        <w:rPr/>
        <w:t>method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-58"/>
        </w:rPr>
        <w:t> </w:t>
      </w:r>
      <w:r>
        <w:rPr/>
        <w:t>in generating data from the annual reports and accounts of the selected firms for the period</w:t>
      </w:r>
      <w:r>
        <w:rPr>
          <w:spacing w:val="1"/>
        </w:rPr>
        <w:t> </w:t>
      </w:r>
      <w:r>
        <w:rPr/>
        <w:t>2013- 2017. Data generated were analyzed using descriptive statistics and Ordinary Least</w:t>
      </w:r>
      <w:r>
        <w:rPr>
          <w:spacing w:val="1"/>
        </w:rPr>
        <w:t> </w:t>
      </w:r>
      <w:r>
        <w:rPr/>
        <w:t>Square (OLS) regression. Findings from the study showed that a positive and significant</w:t>
      </w:r>
      <w:r>
        <w:rPr>
          <w:spacing w:val="1"/>
        </w:rPr>
        <w:t> </w:t>
      </w:r>
      <w:r>
        <w:rPr/>
        <w:t>relationship</w:t>
      </w:r>
      <w:r>
        <w:rPr>
          <w:spacing w:val="-11"/>
        </w:rPr>
        <w:t> </w:t>
      </w:r>
      <w:r>
        <w:rPr/>
        <w:t>exists</w:t>
      </w:r>
      <w:r>
        <w:rPr>
          <w:spacing w:val="-11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gender</w:t>
      </w:r>
      <w:r>
        <w:rPr>
          <w:spacing w:val="-12"/>
        </w:rPr>
        <w:t> </w:t>
      </w:r>
      <w:r>
        <w:rPr/>
        <w:t>diversity,</w:t>
      </w:r>
      <w:r>
        <w:rPr>
          <w:spacing w:val="-11"/>
        </w:rPr>
        <w:t> </w:t>
      </w:r>
      <w:r>
        <w:rPr/>
        <w:t>board</w:t>
      </w:r>
      <w:r>
        <w:rPr>
          <w:spacing w:val="-10"/>
        </w:rPr>
        <w:t> </w:t>
      </w:r>
      <w:r>
        <w:rPr/>
        <w:t>size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tax</w:t>
      </w:r>
      <w:r>
        <w:rPr>
          <w:spacing w:val="-12"/>
        </w:rPr>
        <w:t> </w:t>
      </w:r>
      <w:r>
        <w:rPr/>
        <w:t>aggressiveness</w:t>
      </w:r>
      <w:r>
        <w:rPr>
          <w:spacing w:val="-11"/>
        </w:rPr>
        <w:t> </w:t>
      </w:r>
      <w:r>
        <w:rPr/>
        <w:t>while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negative</w:t>
      </w:r>
      <w:r>
        <w:rPr>
          <w:spacing w:val="-58"/>
        </w:rPr>
        <w:t> </w:t>
      </w:r>
      <w:r>
        <w:rPr/>
        <w:t>but significant relationship subsists between CEO duality and tax aggressiveness. A negative</w:t>
      </w:r>
      <w:r>
        <w:rPr>
          <w:spacing w:val="1"/>
        </w:rPr>
        <w:t> </w:t>
      </w:r>
      <w:r>
        <w:rPr/>
        <w:t>and insignificant relationship exists between ownership structure and tax aggressiveness in the</w:t>
      </w:r>
      <w:r>
        <w:rPr>
          <w:spacing w:val="-57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Oil &amp; Gas marketing firms.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3545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7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Onyali and Okafor (2018) examined the effect of corporate governance mechanisms on tax</w:t>
      </w:r>
      <w:r>
        <w:rPr>
          <w:spacing w:val="1"/>
        </w:rPr>
        <w:t> </w:t>
      </w:r>
      <w:r>
        <w:rPr/>
        <w:t>aggressiveness among selected manufacturing firms in Nigeria. The data used for the study</w:t>
      </w:r>
      <w:r>
        <w:rPr>
          <w:spacing w:val="1"/>
        </w:rPr>
        <w:t> </w:t>
      </w:r>
      <w:r>
        <w:rPr/>
        <w:t>were derived from the financial statements of manufacturing companies listed on the Nigerian</w:t>
      </w:r>
      <w:r>
        <w:rPr>
          <w:spacing w:val="-57"/>
        </w:rPr>
        <w:t> </w:t>
      </w:r>
      <w:r>
        <w:rPr/>
        <w:t>Stock Exchange (NSE) and the NSE fact book as at the end of the year, 2016. Forty-four (44)</w:t>
      </w:r>
      <w:r>
        <w:rPr>
          <w:spacing w:val="1"/>
        </w:rPr>
        <w:t> </w:t>
      </w:r>
      <w:r>
        <w:rPr/>
        <w:t>listed manufacturing firms were used for the study from 2005-2016. The data obtained were</w:t>
      </w:r>
      <w:r>
        <w:rPr>
          <w:spacing w:val="1"/>
        </w:rPr>
        <w:t> </w:t>
      </w:r>
      <w:r>
        <w:rPr/>
        <w:t>analyzed using the Ordinary Least Square technique with its Best Linear Unbiased Estimate</w:t>
      </w:r>
      <w:r>
        <w:rPr>
          <w:spacing w:val="1"/>
        </w:rPr>
        <w:t> </w:t>
      </w:r>
      <w:r>
        <w:rPr/>
        <w:t>(BLUE)</w:t>
      </w:r>
      <w:r>
        <w:rPr>
          <w:spacing w:val="1"/>
        </w:rPr>
        <w:t> </w:t>
      </w:r>
      <w:r>
        <w:rPr/>
        <w:t>Property.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-57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diversity,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proportion of non-executive directors to executive directors is having a significant impact on</w:t>
      </w:r>
      <w:r>
        <w:rPr>
          <w:spacing w:val="1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 among quoted manufacturing firms in Nigeria.</w:t>
      </w:r>
    </w:p>
    <w:p>
      <w:pPr>
        <w:pStyle w:val="BodyText"/>
        <w:spacing w:line="480" w:lineRule="auto" w:before="203"/>
        <w:ind w:right="828"/>
      </w:pPr>
      <w:r>
        <w:rPr/>
        <w:t>Ogbeide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Obaretin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-57"/>
        </w:rPr>
        <w:t> </w:t>
      </w:r>
      <w:r>
        <w:rPr/>
        <w:t>aggressiveness of listed firms in Nigeria. Eighty- five (85) quoted non- financial firms were</w:t>
      </w:r>
      <w:r>
        <w:rPr>
          <w:spacing w:val="1"/>
        </w:rPr>
        <w:t> </w:t>
      </w:r>
      <w:r>
        <w:rPr/>
        <w:t>selected and data were collected over the period 2012 to 2016. Inferential statistics consisting</w:t>
      </w:r>
      <w:r>
        <w:rPr>
          <w:spacing w:val="1"/>
        </w:rPr>
        <w:t> </w:t>
      </w:r>
      <w:r>
        <w:rPr/>
        <w:t>of General Method of Moment was used for the data analysis. This was after carrying out unit</w:t>
      </w:r>
      <w:r>
        <w:rPr>
          <w:spacing w:val="1"/>
        </w:rPr>
        <w:t> </w:t>
      </w:r>
      <w:r>
        <w:rPr/>
        <w:t>root test and other diagnostic tests respectively. The results obtained reveal that corporate</w:t>
      </w:r>
      <w:r>
        <w:rPr>
          <w:spacing w:val="1"/>
        </w:rPr>
        <w:t> </w:t>
      </w:r>
      <w:r>
        <w:rPr/>
        <w:t>governance</w:t>
      </w:r>
      <w:r>
        <w:rPr>
          <w:spacing w:val="-13"/>
        </w:rPr>
        <w:t> </w:t>
      </w:r>
      <w:r>
        <w:rPr/>
        <w:t>mechanisms</w:t>
      </w:r>
      <w:r>
        <w:rPr>
          <w:spacing w:val="-12"/>
        </w:rPr>
        <w:t> </w:t>
      </w:r>
      <w:r>
        <w:rPr/>
        <w:t>exert</w:t>
      </w:r>
      <w:r>
        <w:rPr>
          <w:spacing w:val="-11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tax</w:t>
      </w:r>
      <w:r>
        <w:rPr>
          <w:spacing w:val="-12"/>
        </w:rPr>
        <w:t> </w:t>
      </w:r>
      <w:r>
        <w:rPr/>
        <w:t>aggressiveness</w:t>
      </w:r>
      <w:r>
        <w:rPr>
          <w:spacing w:val="-12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Nigeria.</w:t>
      </w:r>
      <w:r>
        <w:rPr>
          <w:spacing w:val="-13"/>
        </w:rPr>
        <w:t> </w:t>
      </w:r>
      <w:r>
        <w:rPr/>
        <w:t>Specifically,</w:t>
      </w:r>
      <w:r>
        <w:rPr>
          <w:spacing w:val="-57"/>
        </w:rPr>
        <w:t> </w:t>
      </w:r>
      <w:r>
        <w:rPr/>
        <w:t>ownership</w:t>
      </w:r>
      <w:r>
        <w:rPr>
          <w:spacing w:val="-7"/>
        </w:rPr>
        <w:t> </w:t>
      </w:r>
      <w:r>
        <w:rPr/>
        <w:t>concentration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managerial</w:t>
      </w:r>
      <w:r>
        <w:rPr>
          <w:spacing w:val="-7"/>
        </w:rPr>
        <w:t> </w:t>
      </w:r>
      <w:r>
        <w:rPr/>
        <w:t>ownership</w:t>
      </w:r>
      <w:r>
        <w:rPr>
          <w:spacing w:val="-7"/>
        </w:rPr>
        <w:t> </w:t>
      </w:r>
      <w:r>
        <w:rPr/>
        <w:t>were</w:t>
      </w:r>
      <w:r>
        <w:rPr>
          <w:spacing w:val="-8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impacts</w:t>
      </w:r>
      <w:r>
        <w:rPr>
          <w:spacing w:val="-7"/>
        </w:rPr>
        <w:t> </w:t>
      </w:r>
      <w:r>
        <w:rPr/>
        <w:t>tax</w:t>
      </w:r>
      <w:r>
        <w:rPr>
          <w:spacing w:val="-58"/>
        </w:rPr>
        <w:t> </w:t>
      </w:r>
      <w:r>
        <w:rPr/>
        <w:t>aggressiveness of listed non- financial firms in Nigeria whereas board size negatively and</w:t>
      </w:r>
      <w:r>
        <w:rPr>
          <w:spacing w:val="1"/>
        </w:rPr>
        <w:t> </w:t>
      </w:r>
      <w:r>
        <w:rPr/>
        <w:t>significantly impact tax aggressiveness over the reference period. Board gender diversity and</w:t>
      </w:r>
      <w:r>
        <w:rPr>
          <w:spacing w:val="1"/>
        </w:rPr>
        <w:t> </w:t>
      </w:r>
      <w:r>
        <w:rPr/>
        <w:t>board independence were significant and exert negative influence on tax aggressiveness of</w:t>
      </w:r>
      <w:r>
        <w:rPr>
          <w:spacing w:val="1"/>
        </w:rPr>
        <w:t> </w:t>
      </w:r>
      <w:r>
        <w:rPr/>
        <w:t>firms</w:t>
      </w:r>
      <w:r>
        <w:rPr>
          <w:spacing w:val="-1"/>
        </w:rPr>
        <w:t> </w:t>
      </w:r>
      <w:r>
        <w:rPr/>
        <w:t>in Nigeria.</w:t>
      </w:r>
    </w:p>
    <w:p>
      <w:pPr>
        <w:pStyle w:val="BodyText"/>
        <w:spacing w:line="480" w:lineRule="auto" w:before="201"/>
        <w:ind w:right="829"/>
      </w:pPr>
      <w:r>
        <w:rPr/>
        <w:t>Ogbeide and Iyafekhe (2018) in study empirically examined the level of tax aggressiveness of</w:t>
      </w:r>
      <w:r>
        <w:rPr>
          <w:spacing w:val="-57"/>
        </w:rPr>
        <w:t> </w:t>
      </w:r>
      <w:r>
        <w:rPr/>
        <w:t>listed firms in Nigeria. The population of the study consists of all the quoted non- financial</w:t>
      </w:r>
      <w:r>
        <w:rPr>
          <w:spacing w:val="1"/>
        </w:rPr>
        <w:t> </w:t>
      </w:r>
      <w:r>
        <w:rPr/>
        <w:t>firms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31</w:t>
      </w:r>
      <w:r>
        <w:rPr>
          <w:vertAlign w:val="superscript"/>
        </w:rPr>
        <w:t>st</w:t>
      </w:r>
      <w:r>
        <w:rPr>
          <w:spacing w:val="-5"/>
          <w:vertAlign w:val="baseline"/>
        </w:rPr>
        <w:t> </w:t>
      </w:r>
      <w:r>
        <w:rPr>
          <w:vertAlign w:val="baseline"/>
        </w:rPr>
        <w:t>December,</w:t>
      </w:r>
      <w:r>
        <w:rPr>
          <w:spacing w:val="-6"/>
          <w:vertAlign w:val="baseline"/>
        </w:rPr>
        <w:t> </w:t>
      </w:r>
      <w:r>
        <w:rPr>
          <w:vertAlign w:val="baseline"/>
        </w:rPr>
        <w:t>2016.</w:t>
      </w:r>
      <w:r>
        <w:rPr>
          <w:spacing w:val="-6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sample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5"/>
          <w:vertAlign w:val="baseline"/>
        </w:rPr>
        <w:t> </w:t>
      </w:r>
      <w:r>
        <w:rPr>
          <w:vertAlign w:val="baseline"/>
        </w:rPr>
        <w:t>eighty-five</w:t>
      </w:r>
      <w:r>
        <w:rPr>
          <w:spacing w:val="-7"/>
          <w:vertAlign w:val="baseline"/>
        </w:rPr>
        <w:t> </w:t>
      </w:r>
      <w:r>
        <w:rPr>
          <w:vertAlign w:val="baseline"/>
        </w:rPr>
        <w:t>(85)</w:t>
      </w:r>
      <w:r>
        <w:rPr>
          <w:spacing w:val="-8"/>
          <w:vertAlign w:val="baseline"/>
        </w:rPr>
        <w:t> </w:t>
      </w:r>
      <w:r>
        <w:rPr>
          <w:vertAlign w:val="baseline"/>
        </w:rPr>
        <w:t>quoted</w:t>
      </w:r>
      <w:r>
        <w:rPr>
          <w:spacing w:val="-7"/>
          <w:vertAlign w:val="baseline"/>
        </w:rPr>
        <w:t> </w:t>
      </w:r>
      <w:r>
        <w:rPr>
          <w:vertAlign w:val="baseline"/>
        </w:rPr>
        <w:t>firms</w:t>
      </w:r>
      <w:r>
        <w:rPr>
          <w:spacing w:val="-3"/>
          <w:vertAlign w:val="baseline"/>
        </w:rPr>
        <w:t> </w:t>
      </w:r>
      <w:r>
        <w:rPr>
          <w:vertAlign w:val="baseline"/>
        </w:rPr>
        <w:t>was</w:t>
      </w:r>
      <w:r>
        <w:rPr>
          <w:spacing w:val="-6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-7"/>
          <w:vertAlign w:val="baseline"/>
        </w:rPr>
        <w:t> </w:t>
      </w:r>
      <w:r>
        <w:rPr>
          <w:vertAlign w:val="baseline"/>
        </w:rPr>
        <w:t>for</w:t>
      </w:r>
      <w:r>
        <w:rPr>
          <w:spacing w:val="-6"/>
          <w:vertAlign w:val="baseline"/>
        </w:rPr>
        <w:t> </w:t>
      </w:r>
      <w:r>
        <w:rPr>
          <w:vertAlign w:val="baseline"/>
        </w:rPr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35968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7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period 2012 to 2016. The data analysis was done through descriptive analysis method. The</w:t>
      </w:r>
      <w:r>
        <w:rPr>
          <w:spacing w:val="1"/>
        </w:rPr>
        <w:t> </w:t>
      </w:r>
      <w:r>
        <w:rPr/>
        <w:t>results</w:t>
      </w:r>
      <w:r>
        <w:rPr>
          <w:spacing w:val="-9"/>
        </w:rPr>
        <w:t> </w:t>
      </w:r>
      <w:r>
        <w:rPr/>
        <w:t>obtained</w:t>
      </w:r>
      <w:r>
        <w:rPr>
          <w:spacing w:val="-8"/>
        </w:rPr>
        <w:t> </w:t>
      </w:r>
      <w:r>
        <w:rPr/>
        <w:t>revealed</w:t>
      </w:r>
      <w:r>
        <w:rPr>
          <w:spacing w:val="-7"/>
        </w:rPr>
        <w:t> </w:t>
      </w:r>
      <w:r>
        <w:rPr/>
        <w:t>that</w:t>
      </w:r>
      <w:r>
        <w:rPr>
          <w:spacing w:val="-8"/>
        </w:rPr>
        <w:t> </w:t>
      </w:r>
      <w:r>
        <w:rPr/>
        <w:t>twenty-six</w:t>
      </w:r>
      <w:r>
        <w:rPr>
          <w:spacing w:val="-8"/>
        </w:rPr>
        <w:t> </w:t>
      </w:r>
      <w:r>
        <w:rPr/>
        <w:t>(26)</w:t>
      </w:r>
      <w:r>
        <w:rPr>
          <w:spacing w:val="-10"/>
        </w:rPr>
        <w:t> </w:t>
      </w:r>
      <w:r>
        <w:rPr/>
        <w:t>out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eighty-five</w:t>
      </w:r>
      <w:r>
        <w:rPr>
          <w:spacing w:val="-10"/>
        </w:rPr>
        <w:t> </w:t>
      </w:r>
      <w:r>
        <w:rPr/>
        <w:t>(85)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companies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non-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aggressive.</w:t>
      </w:r>
      <w:r>
        <w:rPr>
          <w:spacing w:val="1"/>
        </w:rPr>
        <w:t> </w:t>
      </w:r>
      <w:r>
        <w:rPr/>
        <w:t>Thirteen</w:t>
      </w:r>
      <w:r>
        <w:rPr>
          <w:spacing w:val="1"/>
        </w:rPr>
        <w:t> </w:t>
      </w:r>
      <w:r>
        <w:rPr/>
        <w:t>(13)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moderately</w:t>
      </w:r>
      <w:r>
        <w:rPr>
          <w:spacing w:val="-2"/>
        </w:rPr>
        <w:t> </w:t>
      </w:r>
      <w:r>
        <w:rPr/>
        <w:t>tax</w:t>
      </w:r>
      <w:r>
        <w:rPr>
          <w:spacing w:val="-2"/>
        </w:rPr>
        <w:t> </w:t>
      </w:r>
      <w:r>
        <w:rPr/>
        <w:t>aggressive.</w:t>
      </w:r>
      <w:r>
        <w:rPr>
          <w:spacing w:val="-1"/>
        </w:rPr>
        <w:t> </w:t>
      </w:r>
      <w:r>
        <w:rPr/>
        <w:t>Sixteen</w:t>
      </w:r>
      <w:r>
        <w:rPr>
          <w:spacing w:val="-1"/>
        </w:rPr>
        <w:t> </w:t>
      </w:r>
      <w:r>
        <w:rPr/>
        <w:t>(16)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them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</w:t>
      </w:r>
      <w:r>
        <w:rPr>
          <w:spacing w:val="-2"/>
        </w:rPr>
        <w:t> </w:t>
      </w:r>
      <w:r>
        <w:rPr/>
        <w:t>while</w:t>
      </w:r>
      <w:r>
        <w:rPr>
          <w:spacing w:val="-1"/>
        </w:rPr>
        <w:t> </w:t>
      </w:r>
      <w:r>
        <w:rPr/>
        <w:t>thirty</w:t>
      </w:r>
      <w:r>
        <w:rPr>
          <w:spacing w:val="-1"/>
        </w:rPr>
        <w:t> </w:t>
      </w:r>
      <w:r>
        <w:rPr/>
        <w:t>(30)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not</w:t>
      </w:r>
      <w:r>
        <w:rPr>
          <w:spacing w:val="-58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aggressive.</w:t>
      </w:r>
    </w:p>
    <w:p>
      <w:pPr>
        <w:pStyle w:val="BodyText"/>
        <w:spacing w:line="480" w:lineRule="auto" w:before="202"/>
        <w:ind w:right="831"/>
      </w:pPr>
      <w:r>
        <w:rPr/>
        <w:t>Salawu and Adediji (2017) examined the impact of corporate governance on tax planning of</w:t>
      </w:r>
      <w:r>
        <w:rPr>
          <w:spacing w:val="1"/>
        </w:rPr>
        <w:t> </w:t>
      </w:r>
      <w:r>
        <w:rPr/>
        <w:t>non-financial quoted companies in Nigeria between 2004 and 2014. A sample of fifty (50)</w:t>
      </w:r>
      <w:r>
        <w:rPr>
          <w:spacing w:val="1"/>
        </w:rPr>
        <w:t> </w:t>
      </w:r>
      <w:r>
        <w:rPr/>
        <w:t>companies out of 151 non-financial quoted companies that covers 10 sectors were purposively</w:t>
      </w:r>
      <w:r>
        <w:rPr>
          <w:spacing w:val="-57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on</w:t>
      </w:r>
      <w:r>
        <w:rPr>
          <w:spacing w:val="-4"/>
        </w:rPr>
        <w:t> </w:t>
      </w:r>
      <w:r>
        <w:rPr/>
        <w:t>stratified</w:t>
      </w:r>
      <w:r>
        <w:rPr>
          <w:spacing w:val="-3"/>
        </w:rPr>
        <w:t> </w:t>
      </w:r>
      <w:r>
        <w:rPr/>
        <w:t>random</w:t>
      </w:r>
      <w:r>
        <w:rPr>
          <w:spacing w:val="-6"/>
        </w:rPr>
        <w:t> </w:t>
      </w:r>
      <w:r>
        <w:rPr/>
        <w:t>sampling</w:t>
      </w:r>
      <w:r>
        <w:rPr>
          <w:spacing w:val="-6"/>
        </w:rPr>
        <w:t> </w:t>
      </w:r>
      <w:r>
        <w:rPr/>
        <w:t>basis.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data</w:t>
      </w:r>
      <w:r>
        <w:rPr>
          <w:spacing w:val="-7"/>
        </w:rPr>
        <w:t> </w:t>
      </w:r>
      <w:r>
        <w:rPr/>
        <w:t>used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collected</w:t>
      </w:r>
      <w:r>
        <w:rPr>
          <w:spacing w:val="-6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audited financial statement of the selected non-financial quoted companies in Nigeria and</w:t>
      </w:r>
      <w:r>
        <w:rPr>
          <w:spacing w:val="1"/>
        </w:rPr>
        <w:t> </w:t>
      </w:r>
      <w:r>
        <w:rPr/>
        <w:t>Nigeria Stock Exchange</w:t>
      </w:r>
      <w:r>
        <w:rPr>
          <w:spacing w:val="1"/>
        </w:rPr>
        <w:t> </w:t>
      </w:r>
      <w:r>
        <w:rPr/>
        <w:t>Fact books and analysed using generalizes method of moments</w:t>
      </w:r>
      <w:r>
        <w:rPr>
          <w:spacing w:val="1"/>
        </w:rPr>
        <w:t> </w:t>
      </w:r>
      <w:r>
        <w:rPr/>
        <w:t>(GMM).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effective tax rates (ETR) and firm value (TobinQ). The positive relationship as shown in the</w:t>
      </w:r>
      <w:r>
        <w:rPr>
          <w:spacing w:val="1"/>
        </w:rPr>
        <w:t> </w:t>
      </w:r>
      <w:r>
        <w:rPr/>
        <w:t>result implied that tax planning activities had not resulted in an increase in firm value. All the</w:t>
      </w:r>
      <w:r>
        <w:rPr>
          <w:spacing w:val="1"/>
        </w:rPr>
        <w:t> </w:t>
      </w:r>
      <w:r>
        <w:rPr/>
        <w:t>other variables such as leverage (LEV), liquidity (LIQ), net working capital (NWC), Growth</w:t>
      </w:r>
      <w:r>
        <w:rPr>
          <w:spacing w:val="1"/>
        </w:rPr>
        <w:t> </w:t>
      </w:r>
      <w:r>
        <w:rPr/>
        <w:t>opportunities (MTB) and capital intensity (CIN) were found to have a positive and significant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with the firm value.</w:t>
      </w:r>
    </w:p>
    <w:p>
      <w:pPr>
        <w:pStyle w:val="BodyText"/>
        <w:spacing w:line="480" w:lineRule="auto" w:before="201"/>
        <w:ind w:right="831"/>
      </w:pPr>
      <w:r>
        <w:rPr/>
        <w:t>Oyeleke, Erin and Emeni (2016) examined the relationship between the board of directors’</w:t>
      </w:r>
      <w:r>
        <w:rPr>
          <w:spacing w:val="1"/>
        </w:rPr>
        <w:t> </w:t>
      </w:r>
      <w:r>
        <w:rPr/>
        <w:t>gender</w:t>
      </w:r>
      <w:r>
        <w:rPr>
          <w:spacing w:val="-9"/>
        </w:rPr>
        <w:t> </w:t>
      </w:r>
      <w:r>
        <w:rPr/>
        <w:t>diversity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tax</w:t>
      </w:r>
      <w:r>
        <w:rPr>
          <w:spacing w:val="-6"/>
        </w:rPr>
        <w:t> </w:t>
      </w:r>
      <w:r>
        <w:rPr/>
        <w:t>aggressiveness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banks</w:t>
      </w:r>
      <w:r>
        <w:rPr>
          <w:spacing w:val="-7"/>
        </w:rPr>
        <w:t> </w:t>
      </w:r>
      <w:r>
        <w:rPr/>
        <w:t>listed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Nigerian</w:t>
      </w:r>
      <w:r>
        <w:rPr>
          <w:spacing w:val="-9"/>
        </w:rPr>
        <w:t> </w:t>
      </w:r>
      <w:r>
        <w:rPr/>
        <w:t>Stock</w:t>
      </w:r>
      <w:r>
        <w:rPr>
          <w:spacing w:val="-9"/>
        </w:rPr>
        <w:t> </w:t>
      </w:r>
      <w:r>
        <w:rPr/>
        <w:t>Exchange</w:t>
      </w:r>
      <w:r>
        <w:rPr>
          <w:spacing w:val="-6"/>
        </w:rPr>
        <w:t> </w:t>
      </w:r>
      <w:r>
        <w:rPr/>
        <w:t>(NSE).</w:t>
      </w:r>
      <w:r>
        <w:rPr>
          <w:spacing w:val="-58"/>
        </w:rPr>
        <w:t> </w:t>
      </w:r>
      <w:r>
        <w:rPr/>
        <w:t>Using cross sectional time-series research design as the blue print for data collection in this</w:t>
      </w:r>
      <w:r>
        <w:rPr>
          <w:spacing w:val="1"/>
        </w:rPr>
        <w:t> </w:t>
      </w:r>
      <w:r>
        <w:rPr/>
        <w:t>study, data collected were analysed using Statistical Package for Social Sciences (SPSS) 21.</w:t>
      </w:r>
      <w:r>
        <w:rPr>
          <w:spacing w:val="1"/>
        </w:rPr>
        <w:t> </w:t>
      </w:r>
      <w:r>
        <w:rPr/>
        <w:t>The study provided evidence that a positive and non-significant association existed between</w:t>
      </w:r>
      <w:r>
        <w:rPr>
          <w:spacing w:val="1"/>
        </w:rPr>
        <w:t> </w:t>
      </w:r>
      <w:r>
        <w:rPr>
          <w:spacing w:val="-1"/>
        </w:rPr>
        <w:t>female</w:t>
      </w:r>
      <w:r>
        <w:rPr>
          <w:spacing w:val="-16"/>
        </w:rPr>
        <w:t> </w:t>
      </w:r>
      <w:r>
        <w:rPr>
          <w:spacing w:val="-1"/>
        </w:rPr>
        <w:t>directors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tax</w:t>
      </w:r>
      <w:r>
        <w:rPr>
          <w:spacing w:val="-15"/>
        </w:rPr>
        <w:t> </w:t>
      </w:r>
      <w:r>
        <w:rPr/>
        <w:t>aggressiveness</w:t>
      </w:r>
      <w:r>
        <w:rPr>
          <w:spacing w:val="-14"/>
        </w:rPr>
        <w:t> </w:t>
      </w:r>
      <w:r>
        <w:rPr/>
        <w:t>after</w:t>
      </w:r>
      <w:r>
        <w:rPr>
          <w:spacing w:val="-13"/>
        </w:rPr>
        <w:t> </w:t>
      </w:r>
      <w:r>
        <w:rPr/>
        <w:t>controlling</w:t>
      </w:r>
      <w:r>
        <w:rPr>
          <w:spacing w:val="-14"/>
        </w:rPr>
        <w:t> </w:t>
      </w:r>
      <w:r>
        <w:rPr/>
        <w:t>for</w:t>
      </w:r>
      <w:r>
        <w:rPr>
          <w:spacing w:val="-16"/>
        </w:rPr>
        <w:t> </w:t>
      </w:r>
      <w:r>
        <w:rPr/>
        <w:t>firm</w:t>
      </w:r>
      <w:r>
        <w:rPr>
          <w:spacing w:val="-11"/>
        </w:rPr>
        <w:t> </w:t>
      </w:r>
      <w:r>
        <w:rPr/>
        <w:t>characteristics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governance</w:t>
      </w:r>
      <w:r>
        <w:rPr>
          <w:spacing w:val="-57"/>
        </w:rPr>
        <w:t> </w:t>
      </w:r>
      <w:r>
        <w:rPr/>
        <w:t>mechanisms.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addition,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interaction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board</w:t>
      </w:r>
      <w:r>
        <w:rPr>
          <w:spacing w:val="26"/>
        </w:rPr>
        <w:t> </w:t>
      </w:r>
      <w:r>
        <w:rPr/>
        <w:t>size</w:t>
      </w:r>
      <w:r>
        <w:rPr>
          <w:spacing w:val="26"/>
        </w:rPr>
        <w:t> </w:t>
      </w:r>
      <w:r>
        <w:rPr/>
        <w:t>with</w:t>
      </w:r>
      <w:r>
        <w:rPr>
          <w:spacing w:val="27"/>
        </w:rPr>
        <w:t> </w:t>
      </w:r>
      <w:r>
        <w:rPr/>
        <w:t>female</w:t>
      </w:r>
      <w:r>
        <w:rPr>
          <w:spacing w:val="26"/>
        </w:rPr>
        <w:t> </w:t>
      </w:r>
      <w:r>
        <w:rPr/>
        <w:t>directors</w:t>
      </w:r>
      <w:r>
        <w:rPr>
          <w:spacing w:val="26"/>
        </w:rPr>
        <w:t> </w:t>
      </w:r>
      <w:r>
        <w:rPr/>
        <w:t>is</w:t>
      </w:r>
      <w:r>
        <w:rPr>
          <w:spacing w:val="28"/>
        </w:rPr>
        <w:t> </w:t>
      </w:r>
      <w:r>
        <w:rPr/>
        <w:t>significantly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t>associated with the reduced level of tax aggressiveness. The results were consistent with the</w:t>
      </w:r>
      <w:r>
        <w:rPr>
          <w:spacing w:val="1"/>
        </w:rPr>
        <w:t> </w:t>
      </w:r>
      <w:r>
        <w:rPr/>
        <w:t>‘women</w:t>
      </w:r>
      <w:r>
        <w:rPr>
          <w:spacing w:val="-13"/>
        </w:rPr>
        <w:t> </w:t>
      </w:r>
      <w:r>
        <w:rPr/>
        <w:t>risk</w:t>
      </w:r>
      <w:r>
        <w:rPr>
          <w:spacing w:val="-11"/>
        </w:rPr>
        <w:t> </w:t>
      </w:r>
      <w:r>
        <w:rPr/>
        <w:t>aversion’</w:t>
      </w:r>
      <w:r>
        <w:rPr>
          <w:spacing w:val="-12"/>
        </w:rPr>
        <w:t> </w:t>
      </w:r>
      <w:r>
        <w:rPr/>
        <w:t>theory</w:t>
      </w:r>
      <w:r>
        <w:rPr>
          <w:spacing w:val="-13"/>
        </w:rPr>
        <w:t> </w:t>
      </w:r>
      <w:r>
        <w:rPr/>
        <w:t>which</w:t>
      </w:r>
      <w:r>
        <w:rPr>
          <w:spacing w:val="-11"/>
        </w:rPr>
        <w:t> </w:t>
      </w:r>
      <w:r>
        <w:rPr/>
        <w:t>stipulated</w:t>
      </w:r>
      <w:r>
        <w:rPr>
          <w:spacing w:val="-11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attitude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females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excessive</w:t>
      </w:r>
      <w:r>
        <w:rPr>
          <w:spacing w:val="-58"/>
        </w:rPr>
        <w:t> </w:t>
      </w:r>
      <w:r>
        <w:rPr/>
        <w:t>risks</w:t>
      </w:r>
      <w:r>
        <w:rPr>
          <w:spacing w:val="-1"/>
        </w:rPr>
        <w:t> </w:t>
      </w:r>
      <w:r>
        <w:rPr/>
        <w:t>could project upon</w:t>
      </w:r>
      <w:r>
        <w:rPr>
          <w:spacing w:val="2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policies and decisions.</w:t>
      </w:r>
    </w:p>
    <w:p>
      <w:pPr>
        <w:pStyle w:val="BodyText"/>
        <w:spacing w:line="480" w:lineRule="auto" w:before="202"/>
        <w:ind w:right="830" w:firstLine="60"/>
      </w:pPr>
      <w:r>
        <w:rPr/>
        <w:drawing>
          <wp:anchor distT="0" distB="0" distL="0" distR="0" allowOverlap="1" layoutInCell="1" locked="0" behindDoc="1" simplePos="0" relativeHeight="454036480">
            <wp:simplePos x="0" y="0"/>
            <wp:positionH relativeFrom="page">
              <wp:posOffset>1261605</wp:posOffset>
            </wp:positionH>
            <wp:positionV relativeFrom="paragraph">
              <wp:posOffset>726606</wp:posOffset>
            </wp:positionV>
            <wp:extent cx="5133225" cy="5265293"/>
            <wp:effectExtent l="0" t="0" r="0" b="0"/>
            <wp:wrapNone/>
            <wp:docPr id="17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Odoemela</w:t>
      </w:r>
      <w:r>
        <w:rPr>
          <w:spacing w:val="1"/>
        </w:rPr>
        <w:t> </w:t>
      </w:r>
      <w:r>
        <w:rPr/>
        <w:t>Ironkwe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Nwaiwu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 mechanism and tax planning in Nigeria. The study made use of secondary data</w:t>
      </w:r>
      <w:r>
        <w:rPr>
          <w:spacing w:val="1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audited</w:t>
      </w:r>
      <w:r>
        <w:rPr>
          <w:spacing w:val="-4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statement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banks</w:t>
      </w:r>
      <w:r>
        <w:rPr>
          <w:spacing w:val="-4"/>
        </w:rPr>
        <w:t> </w:t>
      </w:r>
      <w:r>
        <w:rPr/>
        <w:t>quoted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Nigerian</w:t>
      </w:r>
      <w:r>
        <w:rPr>
          <w:spacing w:val="-5"/>
        </w:rPr>
        <w:t> </w:t>
      </w:r>
      <w:r>
        <w:rPr/>
        <w:t>Stock</w:t>
      </w:r>
      <w:r>
        <w:rPr>
          <w:spacing w:val="-7"/>
        </w:rPr>
        <w:t> </w:t>
      </w:r>
      <w:r>
        <w:rPr/>
        <w:t>Exchange</w:t>
      </w:r>
      <w:r>
        <w:rPr>
          <w:spacing w:val="-6"/>
        </w:rPr>
        <w:t> </w:t>
      </w:r>
      <w:r>
        <w:rPr/>
        <w:t>from</w:t>
      </w:r>
      <w:r>
        <w:rPr>
          <w:spacing w:val="-7"/>
        </w:rPr>
        <w:t> </w:t>
      </w:r>
      <w:r>
        <w:rPr/>
        <w:t>1994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2014. The Central Bank of Nigeria bulletin also provided relevant records. The data were</w:t>
      </w:r>
      <w:r>
        <w:rPr>
          <w:spacing w:val="1"/>
        </w:rPr>
        <w:t> </w:t>
      </w:r>
      <w:r>
        <w:rPr/>
        <w:t>analyzed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help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Econometric</w:t>
      </w:r>
      <w:r>
        <w:rPr>
          <w:spacing w:val="-12"/>
        </w:rPr>
        <w:t> </w:t>
      </w:r>
      <w:r>
        <w:rPr/>
        <w:t>View</w:t>
      </w:r>
      <w:r>
        <w:rPr>
          <w:spacing w:val="-12"/>
        </w:rPr>
        <w:t> </w:t>
      </w:r>
      <w:r>
        <w:rPr/>
        <w:t>(E-view</w:t>
      </w:r>
      <w:r>
        <w:rPr>
          <w:spacing w:val="-12"/>
        </w:rPr>
        <w:t> </w:t>
      </w:r>
      <w:r>
        <w:rPr/>
        <w:t>statistical</w:t>
      </w:r>
      <w:r>
        <w:rPr>
          <w:spacing w:val="-10"/>
        </w:rPr>
        <w:t> </w:t>
      </w:r>
      <w:r>
        <w:rPr/>
        <w:t>package).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findings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study</w:t>
      </w:r>
      <w:r>
        <w:rPr>
          <w:spacing w:val="-58"/>
        </w:rPr>
        <w:t> </w:t>
      </w:r>
      <w:r>
        <w:rPr/>
        <w:t>revealed that there is no significant effect between board size and tax savings of firms in</w:t>
      </w:r>
      <w:r>
        <w:rPr>
          <w:spacing w:val="1"/>
        </w:rPr>
        <w:t> </w:t>
      </w:r>
      <w:r>
        <w:rPr/>
        <w:t>Nigeria.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6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audit</w:t>
      </w:r>
      <w:r>
        <w:rPr>
          <w:spacing w:val="-5"/>
        </w:rPr>
        <w:t> </w:t>
      </w:r>
      <w:r>
        <w:rPr/>
        <w:t>committee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firms</w:t>
      </w:r>
      <w:r>
        <w:rPr>
          <w:spacing w:val="-6"/>
        </w:rPr>
        <w:t> </w:t>
      </w:r>
      <w:r>
        <w:rPr/>
        <w:t>should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encumbered</w:t>
      </w:r>
      <w:r>
        <w:rPr>
          <w:spacing w:val="-3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obligation of appraising tax assessment and returns in order to minimize any form of strategic</w:t>
      </w:r>
      <w:r>
        <w:rPr>
          <w:spacing w:val="1"/>
        </w:rPr>
        <w:t> </w:t>
      </w:r>
      <w:r>
        <w:rPr/>
        <w:t>tax</w:t>
      </w:r>
      <w:r>
        <w:rPr>
          <w:spacing w:val="-1"/>
        </w:rPr>
        <w:t> </w:t>
      </w:r>
      <w:r>
        <w:rPr/>
        <w:t>behavior by management.</w:t>
      </w:r>
    </w:p>
    <w:p>
      <w:pPr>
        <w:pStyle w:val="Heading1"/>
        <w:numPr>
          <w:ilvl w:val="1"/>
          <w:numId w:val="24"/>
        </w:numPr>
        <w:tabs>
          <w:tab w:pos="1182" w:val="left" w:leader="none"/>
        </w:tabs>
        <w:spacing w:line="240" w:lineRule="auto" w:before="201" w:after="0"/>
        <w:ind w:left="1182" w:right="0" w:hanging="360"/>
        <w:jc w:val="both"/>
      </w:pPr>
      <w:bookmarkStart w:name="_bookmark57" w:id="98"/>
      <w:bookmarkEnd w:id="98"/>
      <w:r>
        <w:rPr>
          <w:b w:val="0"/>
        </w:rPr>
      </w:r>
      <w:bookmarkStart w:name="_bookmark57" w:id="99"/>
      <w:bookmarkEnd w:id="99"/>
      <w:r>
        <w:rPr/>
        <w:t>T</w:t>
      </w:r>
      <w:r>
        <w:rPr/>
        <w:t>heoretical</w:t>
      </w:r>
      <w:r>
        <w:rPr>
          <w:spacing w:val="-7"/>
        </w:rPr>
        <w:t> </w:t>
      </w:r>
      <w:r>
        <w:rPr/>
        <w:t>Framework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2"/>
      </w:pP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theoretical</w:t>
      </w:r>
      <w:r>
        <w:rPr>
          <w:spacing w:val="-13"/>
        </w:rPr>
        <w:t> </w:t>
      </w:r>
      <w:r>
        <w:rPr>
          <w:spacing w:val="-1"/>
        </w:rPr>
        <w:t>framework</w:t>
      </w:r>
      <w:r>
        <w:rPr>
          <w:spacing w:val="-13"/>
        </w:rPr>
        <w:t> </w:t>
      </w:r>
      <w:r>
        <w:rPr/>
        <w:t>establishes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vantage</w:t>
      </w:r>
      <w:r>
        <w:rPr>
          <w:spacing w:val="-15"/>
        </w:rPr>
        <w:t> </w:t>
      </w:r>
      <w:r>
        <w:rPr/>
        <w:t>point,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perspective,</w:t>
      </w:r>
      <w:r>
        <w:rPr>
          <w:spacing w:val="-12"/>
        </w:rPr>
        <w:t> </w:t>
      </w:r>
      <w:r>
        <w:rPr/>
        <w:t>a</w:t>
      </w:r>
      <w:r>
        <w:rPr>
          <w:spacing w:val="-15"/>
        </w:rPr>
        <w:t> </w:t>
      </w:r>
      <w:r>
        <w:rPr/>
        <w:t>set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lenses</w:t>
      </w:r>
      <w:r>
        <w:rPr>
          <w:spacing w:val="-15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which</w:t>
      </w:r>
      <w:r>
        <w:rPr>
          <w:spacing w:val="-58"/>
        </w:rPr>
        <w:t> </w:t>
      </w:r>
      <w:r>
        <w:rPr/>
        <w:t>the researcher views a research problem. It is the selection of a logical framework (Charema,</w:t>
      </w:r>
      <w:r>
        <w:rPr>
          <w:spacing w:val="1"/>
        </w:rPr>
        <w:t> </w:t>
      </w:r>
      <w:r>
        <w:rPr/>
        <w:t>2004). With this understanding in mind, some theories relating corporate attributes to tax</w:t>
      </w:r>
      <w:r>
        <w:rPr>
          <w:spacing w:val="1"/>
        </w:rPr>
        <w:t> </w:t>
      </w:r>
      <w:r>
        <w:rPr/>
        <w:t>avoidance are</w:t>
      </w:r>
      <w:r>
        <w:rPr>
          <w:spacing w:val="-2"/>
        </w:rPr>
        <w:t> </w:t>
      </w:r>
      <w:r>
        <w:rPr/>
        <w:t>discussed in the following sub-sections.</w:t>
      </w:r>
    </w:p>
    <w:p>
      <w:pPr>
        <w:pStyle w:val="Heading1"/>
        <w:numPr>
          <w:ilvl w:val="2"/>
          <w:numId w:val="24"/>
        </w:numPr>
        <w:tabs>
          <w:tab w:pos="1363" w:val="left" w:leader="none"/>
        </w:tabs>
        <w:spacing w:line="240" w:lineRule="auto" w:before="199" w:after="0"/>
        <w:ind w:left="1362" w:right="0" w:hanging="541"/>
        <w:jc w:val="both"/>
      </w:pPr>
      <w:bookmarkStart w:name="_bookmark58" w:id="100"/>
      <w:bookmarkEnd w:id="100"/>
      <w:r>
        <w:rPr>
          <w:b w:val="0"/>
        </w:rPr>
      </w:r>
      <w:bookmarkStart w:name="_bookmark58" w:id="101"/>
      <w:bookmarkEnd w:id="101"/>
      <w:r>
        <w:rPr/>
        <w:t>Ag</w:t>
      </w:r>
      <w:r>
        <w:rPr/>
        <w:t>ency</w:t>
      </w:r>
      <w:r>
        <w:rPr>
          <w:spacing w:val="-6"/>
        </w:rPr>
        <w:t> </w:t>
      </w:r>
      <w:r>
        <w:rPr/>
        <w:t>theory</w:t>
      </w:r>
    </w:p>
    <w:p>
      <w:pPr>
        <w:pStyle w:val="BodyText"/>
        <w:spacing w:before="9"/>
        <w:ind w:left="0"/>
        <w:jc w:val="left"/>
        <w:rPr>
          <w:b/>
          <w:sz w:val="28"/>
        </w:rPr>
      </w:pPr>
    </w:p>
    <w:p>
      <w:pPr>
        <w:pStyle w:val="BodyText"/>
        <w:spacing w:line="480" w:lineRule="auto"/>
        <w:ind w:right="831"/>
      </w:pPr>
      <w:r>
        <w:rPr/>
        <w:t>Slemrod (2004) was one of the first papers to highlight the agency problems inherent in the</w:t>
      </w:r>
      <w:r>
        <w:rPr>
          <w:spacing w:val="1"/>
        </w:rPr>
        <w:t> </w:t>
      </w:r>
      <w:r>
        <w:rPr/>
        <w:t>corporate</w:t>
      </w:r>
      <w:r>
        <w:rPr>
          <w:spacing w:val="-12"/>
        </w:rPr>
        <w:t> </w:t>
      </w:r>
      <w:r>
        <w:rPr/>
        <w:t>tax</w:t>
      </w:r>
      <w:r>
        <w:rPr>
          <w:spacing w:val="-9"/>
        </w:rPr>
        <w:t> </w:t>
      </w:r>
      <w:r>
        <w:rPr/>
        <w:t>avoidance</w:t>
      </w:r>
      <w:r>
        <w:rPr>
          <w:spacing w:val="-12"/>
        </w:rPr>
        <w:t> </w:t>
      </w:r>
      <w:r>
        <w:rPr/>
        <w:t>decision.</w:t>
      </w:r>
      <w:r>
        <w:rPr>
          <w:spacing w:val="-11"/>
        </w:rPr>
        <w:t> </w:t>
      </w:r>
      <w:r>
        <w:rPr/>
        <w:t>Desai,</w:t>
      </w:r>
      <w:r>
        <w:rPr>
          <w:spacing w:val="-8"/>
        </w:rPr>
        <w:t> </w:t>
      </w:r>
      <w:r>
        <w:rPr/>
        <w:t>Dyck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Zingales</w:t>
      </w:r>
      <w:r>
        <w:rPr>
          <w:spacing w:val="-11"/>
        </w:rPr>
        <w:t> </w:t>
      </w:r>
      <w:r>
        <w:rPr/>
        <w:t>(2007)</w:t>
      </w:r>
      <w:r>
        <w:rPr>
          <w:spacing w:val="-9"/>
        </w:rPr>
        <w:t> </w:t>
      </w:r>
      <w:r>
        <w:rPr/>
        <w:t>along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line</w:t>
      </w:r>
      <w:r>
        <w:rPr>
          <w:spacing w:val="-12"/>
        </w:rPr>
        <w:t> </w:t>
      </w:r>
      <w:r>
        <w:rPr/>
        <w:t>built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model</w:t>
      </w:r>
      <w:r>
        <w:rPr>
          <w:spacing w:val="-58"/>
        </w:rPr>
        <w:t> </w:t>
      </w:r>
      <w:r>
        <w:rPr/>
        <w:t>that contributed to the growing literature on the cross-sectional variation in corporate tax</w:t>
      </w:r>
      <w:r>
        <w:rPr>
          <w:spacing w:val="1"/>
        </w:rPr>
        <w:t> </w:t>
      </w:r>
      <w:r>
        <w:rPr/>
        <w:t>avoidance.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however went further to state</w:t>
      </w:r>
      <w:r>
        <w:rPr>
          <w:spacing w:val="1"/>
        </w:rPr>
        <w:t> </w:t>
      </w:r>
      <w:r>
        <w:rPr/>
        <w:t>that tax</w:t>
      </w:r>
      <w:r>
        <w:rPr>
          <w:spacing w:val="1"/>
        </w:rPr>
        <w:t> </w:t>
      </w:r>
      <w:r>
        <w:rPr/>
        <w:t>avoidance is</w:t>
      </w:r>
      <w:r>
        <w:rPr>
          <w:spacing w:val="1"/>
        </w:rPr>
        <w:t> </w:t>
      </w:r>
      <w:r>
        <w:rPr/>
        <w:t>a three-party game</w:t>
      </w:r>
      <w:r>
        <w:rPr>
          <w:spacing w:val="1"/>
        </w:rPr>
        <w:t> </w:t>
      </w:r>
      <w:r>
        <w:rPr/>
        <w:t>involving the shareholders, insiders/manager and the State, so therefore, there is bound to be</w:t>
      </w:r>
      <w:r>
        <w:rPr>
          <w:spacing w:val="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of interest between these</w:t>
      </w:r>
      <w:r>
        <w:rPr>
          <w:spacing w:val="-2"/>
        </w:rPr>
        <w:t> </w:t>
      </w:r>
      <w:r>
        <w:rPr/>
        <w:t>three</w:t>
      </w:r>
      <w:r>
        <w:rPr>
          <w:spacing w:val="-1"/>
        </w:rPr>
        <w:t> </w:t>
      </w:r>
      <w:r>
        <w:rPr/>
        <w:t>parties.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3699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17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One important aspect is the separation of ownership and control in the corporate setting</w:t>
      </w:r>
      <w:r>
        <w:rPr>
          <w:spacing w:val="1"/>
        </w:rPr>
        <w:t> </w:t>
      </w:r>
      <w:r>
        <w:rPr/>
        <w:t>(Slemrod, 2004). According to the agency-view of tax avoidance, conflicts between firms’</w:t>
      </w:r>
      <w:r>
        <w:rPr>
          <w:spacing w:val="1"/>
        </w:rPr>
        <w:t> </w:t>
      </w:r>
      <w:r>
        <w:rPr/>
        <w:t>owners and its management may arise because managers who are generally expected to make</w:t>
      </w:r>
      <w:r>
        <w:rPr>
          <w:spacing w:val="1"/>
        </w:rPr>
        <w:t> </w:t>
      </w:r>
      <w:r>
        <w:rPr/>
        <w:t>tax-effective decisions may in fact behave opportunistically and divert corporate wealth for</w:t>
      </w:r>
      <w:r>
        <w:rPr>
          <w:spacing w:val="1"/>
        </w:rPr>
        <w:t> </w:t>
      </w:r>
      <w:r>
        <w:rPr/>
        <w:t>their private benefit (Jensen and Meckling 1976; Desai and Dharmapala, 2006). However, the</w:t>
      </w:r>
      <w:r>
        <w:rPr>
          <w:spacing w:val="1"/>
        </w:rPr>
        <w:t> </w:t>
      </w:r>
      <w:r>
        <w:rPr/>
        <w:t>agency-view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undisputed</w:t>
      </w:r>
      <w:r>
        <w:rPr>
          <w:spacing w:val="1"/>
        </w:rPr>
        <w:t> </w:t>
      </w:r>
      <w:r>
        <w:rPr/>
        <w:t>(Blaylock,</w:t>
      </w:r>
      <w:r>
        <w:rPr>
          <w:spacing w:val="1"/>
        </w:rPr>
        <w:t> </w:t>
      </w:r>
      <w:r>
        <w:rPr/>
        <w:t>2012)</w:t>
      </w:r>
      <w:r>
        <w:rPr>
          <w:spacing w:val="1"/>
        </w:rPr>
        <w:t> </w:t>
      </w:r>
      <w:r>
        <w:rPr/>
        <w:t>nor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only</w:t>
      </w:r>
      <w:r>
        <w:rPr>
          <w:spacing w:val="-57"/>
        </w:rPr>
        <w:t> </w:t>
      </w:r>
      <w:r>
        <w:rPr/>
        <w:t>interesting theoretical basis for research on the corporate tax-related decision-making process.</w:t>
      </w:r>
      <w:r>
        <w:rPr>
          <w:spacing w:val="-57"/>
        </w:rPr>
        <w:t> </w:t>
      </w:r>
      <w:r>
        <w:rPr/>
        <w:t>Slemrod (2004), Chen and Chu (2005) and Crocker and Slemrod (2005) were among the first</w:t>
      </w:r>
      <w:r>
        <w:rPr>
          <w:spacing w:val="1"/>
        </w:rPr>
        <w:t> </w:t>
      </w:r>
      <w:r>
        <w:rPr/>
        <w:t>to view corporate tax avoidance within an agency framework. Tax avoidance strategies are</w:t>
      </w:r>
      <w:r>
        <w:rPr>
          <w:spacing w:val="1"/>
        </w:rPr>
        <w:t> </w:t>
      </w:r>
      <w:r>
        <w:rPr/>
        <w:t>designed by creating information asymmetry between tax authorities and the firm so as to</w:t>
      </w:r>
      <w:r>
        <w:rPr>
          <w:spacing w:val="1"/>
        </w:rPr>
        <w:t> </w:t>
      </w:r>
      <w:r>
        <w:rPr/>
        <w:t>prevent the detection from tax authorities. However, the direct impact of this activity is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asymmetry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shareholders,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consequently, the increase in information asymmetry will decrease the ability of shareholders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the firm (Wang,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line="480" w:lineRule="auto" w:before="201"/>
        <w:ind w:right="829"/>
      </w:pPr>
      <w:r>
        <w:rPr/>
        <w:t>Tax avoidance is related to agency problem that is, tax avoidance is perceived as a tool for</w:t>
      </w:r>
      <w:r>
        <w:rPr>
          <w:spacing w:val="1"/>
        </w:rPr>
        <w:t> </w:t>
      </w:r>
      <w:r>
        <w:rPr/>
        <w:t>creating a shield for managerial opportunism and diversion of rents. According to this view,</w:t>
      </w:r>
      <w:r>
        <w:rPr>
          <w:spacing w:val="1"/>
        </w:rPr>
        <w:t> </w:t>
      </w:r>
      <w:r>
        <w:rPr/>
        <w:t>theoretically corporate tax avoidance can create a shield for expedience activities of managers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diversion</w:t>
      </w:r>
      <w:r>
        <w:rPr>
          <w:spacing w:val="1"/>
        </w:rPr>
        <w:t> </w:t>
      </w:r>
      <w:r>
        <w:rPr/>
        <w:t>of rents</w:t>
      </w:r>
      <w:r>
        <w:rPr>
          <w:spacing w:val="1"/>
        </w:rPr>
        <w:t> </w:t>
      </w:r>
      <w:r>
        <w:rPr/>
        <w:t>(Desai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Dharmapala, 2006). An emerging</w:t>
      </w:r>
      <w:r>
        <w:rPr>
          <w:spacing w:val="1"/>
        </w:rPr>
        <w:t> </w:t>
      </w:r>
      <w:r>
        <w:rPr/>
        <w:t>literature in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economics, however, emphasizes agency cost implications of tax avoidance and suggests that</w:t>
      </w:r>
      <w:r>
        <w:rPr>
          <w:spacing w:val="1"/>
        </w:rPr>
        <w:t> </w:t>
      </w:r>
      <w:r>
        <w:rPr/>
        <w:t>tax avoidance may not always increase the wealth of outside shareholders (Wang, 2010). In</w:t>
      </w:r>
      <w:r>
        <w:rPr>
          <w:spacing w:val="1"/>
        </w:rPr>
        <w:t> </w:t>
      </w:r>
      <w:r>
        <w:rPr/>
        <w:t>accordance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alternative</w:t>
      </w:r>
      <w:r>
        <w:rPr>
          <w:spacing w:val="-5"/>
        </w:rPr>
        <w:t> </w:t>
      </w:r>
      <w:r>
        <w:rPr/>
        <w:t>view,</w:t>
      </w:r>
      <w:r>
        <w:rPr>
          <w:spacing w:val="-5"/>
        </w:rPr>
        <w:t> </w:t>
      </w:r>
      <w:r>
        <w:rPr/>
        <w:t>tax</w:t>
      </w:r>
      <w:r>
        <w:rPr>
          <w:spacing w:val="-4"/>
        </w:rPr>
        <w:t> </w:t>
      </w:r>
      <w:r>
        <w:rPr/>
        <w:t>avoidance</w:t>
      </w:r>
      <w:r>
        <w:rPr>
          <w:spacing w:val="-5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contribute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managerial</w:t>
      </w:r>
      <w:r>
        <w:rPr>
          <w:spacing w:val="-3"/>
        </w:rPr>
        <w:t> </w:t>
      </w:r>
      <w:r>
        <w:rPr/>
        <w:t>rent</w:t>
      </w:r>
      <w:r>
        <w:rPr>
          <w:spacing w:val="-58"/>
        </w:rPr>
        <w:t> </w:t>
      </w:r>
      <w:r>
        <w:rPr/>
        <w:t>extraction,</w:t>
      </w:r>
      <w:r>
        <w:rPr>
          <w:spacing w:val="-13"/>
        </w:rPr>
        <w:t> </w:t>
      </w:r>
      <w:r>
        <w:rPr/>
        <w:t>which</w:t>
      </w:r>
      <w:r>
        <w:rPr>
          <w:spacing w:val="-13"/>
        </w:rPr>
        <w:t> </w:t>
      </w:r>
      <w:r>
        <w:rPr/>
        <w:t>ranges</w:t>
      </w:r>
      <w:r>
        <w:rPr>
          <w:spacing w:val="-13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theft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corporate</w:t>
      </w:r>
      <w:r>
        <w:rPr>
          <w:spacing w:val="-14"/>
        </w:rPr>
        <w:t> </w:t>
      </w:r>
      <w:r>
        <w:rPr/>
        <w:t>earnings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earning</w:t>
      </w:r>
      <w:r>
        <w:rPr>
          <w:spacing w:val="-14"/>
        </w:rPr>
        <w:t> </w:t>
      </w:r>
      <w:r>
        <w:rPr/>
        <w:t>manipulation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excessive</w:t>
      </w:r>
      <w:r>
        <w:rPr>
          <w:spacing w:val="-58"/>
        </w:rPr>
        <w:t> </w:t>
      </w:r>
      <w:r>
        <w:rPr/>
        <w:t>executive compensation, in various forms. Tax avoidance may potentially reduce the after-tax</w:t>
      </w:r>
      <w:r>
        <w:rPr>
          <w:spacing w:val="1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firm,</w:t>
      </w:r>
      <w:r>
        <w:rPr>
          <w:spacing w:val="-1"/>
        </w:rPr>
        <w:t> </w:t>
      </w:r>
      <w:r>
        <w:rPr/>
        <w:t>since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combined</w:t>
      </w:r>
      <w:r>
        <w:rPr>
          <w:spacing w:val="-1"/>
        </w:rPr>
        <w:t> </w:t>
      </w:r>
      <w:r>
        <w:rPr/>
        <w:t>costs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company,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costs</w:t>
      </w:r>
      <w:r>
        <w:rPr>
          <w:spacing w:val="-1"/>
        </w:rPr>
        <w:t> </w:t>
      </w:r>
      <w:r>
        <w:rPr/>
        <w:t>directly</w:t>
      </w:r>
      <w:r>
        <w:rPr>
          <w:spacing w:val="-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to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3"/>
      </w:pPr>
      <w:r>
        <w:rPr/>
        <w:t>tax planning activities, additional compliance costs, and non-tax costs e.g. agency costs may</w:t>
      </w:r>
      <w:r>
        <w:rPr>
          <w:spacing w:val="1"/>
        </w:rPr>
        <w:t> </w:t>
      </w:r>
      <w:r>
        <w:rPr/>
        <w:t>surpass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tax benefits for shareholders (Wang, 2010).</w:t>
      </w:r>
    </w:p>
    <w:p>
      <w:pPr>
        <w:pStyle w:val="BodyText"/>
        <w:spacing w:line="480" w:lineRule="auto" w:before="202"/>
        <w:ind w:right="829"/>
      </w:pPr>
      <w:r>
        <w:rPr/>
        <w:drawing>
          <wp:anchor distT="0" distB="0" distL="0" distR="0" allowOverlap="1" layoutInCell="1" locked="0" behindDoc="1" simplePos="0" relativeHeight="454037504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17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 Desai and Dharmapala (2009a) claim that regarding corporate tax avoidance, as simply</w:t>
      </w:r>
      <w:r>
        <w:rPr>
          <w:spacing w:val="1"/>
        </w:rPr>
        <w:t> </w:t>
      </w:r>
      <w:r>
        <w:rPr/>
        <w:t>shifting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cash</w:t>
      </w:r>
      <w:r>
        <w:rPr>
          <w:spacing w:val="-3"/>
        </w:rPr>
        <w:t> </w:t>
      </w:r>
      <w:r>
        <w:rPr/>
        <w:t>outflow</w:t>
      </w:r>
      <w:r>
        <w:rPr>
          <w:spacing w:val="-1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shareholders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incomplete</w:t>
      </w:r>
      <w:r>
        <w:rPr>
          <w:spacing w:val="-5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agency</w:t>
      </w:r>
      <w:r>
        <w:rPr>
          <w:spacing w:val="-4"/>
        </w:rPr>
        <w:t> </w:t>
      </w:r>
      <w:r>
        <w:rPr/>
        <w:t>theory.</w:t>
      </w:r>
      <w:r>
        <w:rPr>
          <w:spacing w:val="-57"/>
        </w:rPr>
        <w:t> </w:t>
      </w:r>
      <w:r>
        <w:rPr/>
        <w:t>The</w:t>
      </w:r>
      <w:r>
        <w:rPr>
          <w:spacing w:val="-6"/>
        </w:rPr>
        <w:t> </w:t>
      </w:r>
      <w:r>
        <w:rPr/>
        <w:t>relation</w:t>
      </w:r>
      <w:r>
        <w:rPr>
          <w:spacing w:val="-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managers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shareholders—implying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typical</w:t>
      </w:r>
      <w:r>
        <w:rPr>
          <w:spacing w:val="-4"/>
        </w:rPr>
        <w:t> </w:t>
      </w:r>
      <w:r>
        <w:rPr/>
        <w:t>agency</w:t>
      </w:r>
      <w:r>
        <w:rPr>
          <w:spacing w:val="-4"/>
        </w:rPr>
        <w:t> </w:t>
      </w:r>
      <w:r>
        <w:rPr/>
        <w:t>problem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given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control—bears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opportunistically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abusing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asymmetry</w:t>
      </w:r>
      <w:r>
        <w:rPr>
          <w:spacing w:val="1"/>
        </w:rPr>
        <w:t> </w:t>
      </w:r>
      <w:r>
        <w:rPr/>
        <w:t>(additionally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asymmetry between them and tax authorities) for their benefit and simply distributing tax</w:t>
      </w:r>
      <w:r>
        <w:rPr>
          <w:spacing w:val="1"/>
        </w:rPr>
        <w:t> </w:t>
      </w:r>
      <w:r>
        <w:rPr/>
        <w:t>savings among them. Desai and Dharmapala (2009b) mention a shield that might arise by tax</w:t>
      </w:r>
      <w:r>
        <w:rPr>
          <w:spacing w:val="1"/>
        </w:rPr>
        <w:t> </w:t>
      </w:r>
      <w:r>
        <w:rPr/>
        <w:t>avoidance activities, protecting this opportunistic behavior. Empirical evidence shows that</w:t>
      </w:r>
      <w:r>
        <w:rPr>
          <w:spacing w:val="1"/>
        </w:rPr>
        <w:t> </w:t>
      </w:r>
      <w:r>
        <w:rPr/>
        <w:t>shareholders are aware of the agency problem and thus welcome regulatory actions that do not</w:t>
      </w:r>
      <w:r>
        <w:rPr>
          <w:spacing w:val="-58"/>
        </w:rPr>
        <w:t> </w:t>
      </w:r>
      <w:r>
        <w:rPr/>
        <w:t>only prevent managers from extracting rents, but even the occurrence of tax aggressiveness in</w:t>
      </w:r>
      <w:r>
        <w:rPr>
          <w:spacing w:val="1"/>
        </w:rPr>
        <w:t> </w:t>
      </w:r>
      <w:r>
        <w:rPr/>
        <w:t>the first place (Chen et al. 2010). Whether or not the agency problem arises seems to depend</w:t>
      </w:r>
      <w:r>
        <w:rPr>
          <w:spacing w:val="1"/>
        </w:rPr>
        <w:t> </w:t>
      </w:r>
      <w:r>
        <w:rPr/>
        <w:t>strongly</w:t>
      </w:r>
      <w:r>
        <w:rPr>
          <w:spacing w:val="-1"/>
        </w:rPr>
        <w:t> </w:t>
      </w:r>
      <w:r>
        <w:rPr/>
        <w:t>on internal controls (Beyer, 2014).</w:t>
      </w:r>
    </w:p>
    <w:p>
      <w:pPr>
        <w:pStyle w:val="BodyText"/>
        <w:spacing w:line="480" w:lineRule="auto" w:before="201"/>
        <w:ind w:right="829"/>
      </w:pPr>
      <w:r>
        <w:rPr/>
        <w:t>However, “tax avoidance is not, in and of itself, a reflection of agency problems” (Hanlon and</w:t>
      </w:r>
      <w:r>
        <w:rPr>
          <w:spacing w:val="-57"/>
        </w:rPr>
        <w:t> </w:t>
      </w:r>
      <w:r>
        <w:rPr/>
        <w:t>Heitzman 2010), as the interests of risk-neutral owners and their installed managers are to 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aligned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maximizing</w:t>
      </w:r>
      <w:r>
        <w:rPr>
          <w:spacing w:val="1"/>
        </w:rPr>
        <w:t> </w:t>
      </w:r>
      <w:r>
        <w:rPr/>
        <w:t>profits.</w:t>
      </w:r>
      <w:r>
        <w:rPr>
          <w:spacing w:val="1"/>
        </w:rPr>
        <w:t> </w:t>
      </w:r>
      <w:r>
        <w:rPr/>
        <w:t>Nonetheless,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insufficiently motivated to manage taxes to the extent favored by shareholders. Desai and</w:t>
      </w:r>
      <w:r>
        <w:rPr>
          <w:spacing w:val="1"/>
        </w:rPr>
        <w:t> </w:t>
      </w:r>
      <w:r>
        <w:rPr/>
        <w:t>Dharmapala</w:t>
      </w:r>
      <w:r>
        <w:rPr>
          <w:spacing w:val="-8"/>
        </w:rPr>
        <w:t> </w:t>
      </w:r>
      <w:r>
        <w:rPr/>
        <w:t>(2006)</w:t>
      </w:r>
      <w:r>
        <w:rPr>
          <w:spacing w:val="-7"/>
        </w:rPr>
        <w:t> </w:t>
      </w:r>
      <w:r>
        <w:rPr/>
        <w:t>suggest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agency-view</w:t>
      </w:r>
      <w:r>
        <w:rPr>
          <w:spacing w:val="-8"/>
        </w:rPr>
        <w:t> </w:t>
      </w:r>
      <w:r>
        <w:rPr/>
        <w:t>on</w:t>
      </w:r>
      <w:r>
        <w:rPr>
          <w:spacing w:val="-6"/>
        </w:rPr>
        <w:t> </w:t>
      </w:r>
      <w:r>
        <w:rPr/>
        <w:t>tax</w:t>
      </w:r>
      <w:r>
        <w:rPr>
          <w:spacing w:val="-7"/>
        </w:rPr>
        <w:t> </w:t>
      </w:r>
      <w:r>
        <w:rPr/>
        <w:t>avoidance,</w:t>
      </w:r>
      <w:r>
        <w:rPr>
          <w:spacing w:val="-6"/>
        </w:rPr>
        <w:t> </w:t>
      </w:r>
      <w:r>
        <w:rPr/>
        <w:t>stating</w:t>
      </w:r>
      <w:r>
        <w:rPr>
          <w:spacing w:val="-6"/>
        </w:rPr>
        <w:t> </w:t>
      </w:r>
      <w:r>
        <w:rPr/>
        <w:t>that</w:t>
      </w:r>
      <w:r>
        <w:rPr>
          <w:spacing w:val="-7"/>
        </w:rPr>
        <w:t> </w:t>
      </w:r>
      <w:r>
        <w:rPr/>
        <w:t>agency</w:t>
      </w:r>
      <w:r>
        <w:rPr>
          <w:spacing w:val="-6"/>
        </w:rPr>
        <w:t> </w:t>
      </w:r>
      <w:r>
        <w:rPr/>
        <w:t>costs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form</w:t>
      </w:r>
      <w:r>
        <w:rPr>
          <w:spacing w:val="-58"/>
        </w:rPr>
        <w:t> </w:t>
      </w:r>
      <w:r>
        <w:rPr/>
        <w:t>of managerial rent extraction may result from</w:t>
      </w:r>
      <w:r>
        <w:rPr>
          <w:spacing w:val="1"/>
        </w:rPr>
        <w:t> </w:t>
      </w:r>
      <w:r>
        <w:rPr/>
        <w:t>a complimentary</w:t>
      </w:r>
      <w:r>
        <w:rPr>
          <w:spacing w:val="1"/>
        </w:rPr>
        <w:t> </w:t>
      </w:r>
      <w:r>
        <w:rPr/>
        <w:t>relationship between tax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managerial</w:t>
      </w:r>
      <w:r>
        <w:rPr>
          <w:spacing w:val="1"/>
        </w:rPr>
        <w:t> </w:t>
      </w:r>
      <w:r>
        <w:rPr/>
        <w:t>diversion.</w:t>
      </w:r>
      <w:r>
        <w:rPr>
          <w:spacing w:val="1"/>
        </w:rPr>
        <w:t> </w:t>
      </w:r>
      <w:r>
        <w:rPr/>
        <w:t>Self-interested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strategies to mask the opportunistic extraction of rents (Desai, Dyck, and Zingales (2007).</w:t>
      </w:r>
      <w:r>
        <w:rPr>
          <w:spacing w:val="1"/>
        </w:rPr>
        <w:t> </w:t>
      </w:r>
      <w:r>
        <w:rPr/>
        <w:t>Hence it may proof a considerable task for shareholders and boards to identify and install</w:t>
      </w:r>
      <w:r>
        <w:rPr>
          <w:spacing w:val="1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incentives</w:t>
      </w:r>
      <w:r>
        <w:rPr>
          <w:spacing w:val="-9"/>
        </w:rPr>
        <w:t> </w:t>
      </w:r>
      <w:r>
        <w:rPr/>
        <w:t>and</w:t>
      </w:r>
      <w:r>
        <w:rPr>
          <w:spacing w:val="-11"/>
        </w:rPr>
        <w:t> </w:t>
      </w:r>
      <w:r>
        <w:rPr/>
        <w:t>controls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minimize</w:t>
      </w:r>
      <w:r>
        <w:rPr>
          <w:spacing w:val="-9"/>
        </w:rPr>
        <w:t> </w:t>
      </w:r>
      <w:r>
        <w:rPr/>
        <w:t>agency</w:t>
      </w:r>
      <w:r>
        <w:rPr>
          <w:spacing w:val="-9"/>
        </w:rPr>
        <w:t> </w:t>
      </w:r>
      <w:r>
        <w:rPr/>
        <w:t>costs.</w:t>
      </w:r>
      <w:r>
        <w:rPr>
          <w:spacing w:val="-9"/>
        </w:rPr>
        <w:t> </w:t>
      </w:r>
      <w:r>
        <w:rPr/>
        <w:t>It</w:t>
      </w:r>
      <w:r>
        <w:rPr>
          <w:spacing w:val="-11"/>
        </w:rPr>
        <w:t> </w:t>
      </w:r>
      <w:r>
        <w:rPr/>
        <w:t>should</w:t>
      </w:r>
      <w:r>
        <w:rPr>
          <w:spacing w:val="-9"/>
        </w:rPr>
        <w:t> </w:t>
      </w:r>
      <w:r>
        <w:rPr/>
        <w:t>further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noted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2"/>
      </w:pPr>
      <w:r>
        <w:rPr/>
        <w:t>agency-view of tax avoidance is not universally accepted (Blaylock 2012), and that recent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argue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rent</w:t>
      </w:r>
      <w:r>
        <w:rPr>
          <w:spacing w:val="1"/>
        </w:rPr>
        <w:t> </w:t>
      </w:r>
      <w:r>
        <w:rPr/>
        <w:t>diversion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complimentary.</w:t>
      </w:r>
    </w:p>
    <w:p>
      <w:pPr>
        <w:pStyle w:val="BodyText"/>
        <w:spacing w:line="480" w:lineRule="auto" w:before="202"/>
        <w:ind w:right="835"/>
      </w:pPr>
      <w:r>
        <w:rPr/>
        <w:drawing>
          <wp:anchor distT="0" distB="0" distL="0" distR="0" allowOverlap="1" layoutInCell="1" locked="0" behindDoc="1" simplePos="0" relativeHeight="454038016">
            <wp:simplePos x="0" y="0"/>
            <wp:positionH relativeFrom="page">
              <wp:posOffset>1261605</wp:posOffset>
            </wp:positionH>
            <wp:positionV relativeFrom="paragraph">
              <wp:posOffset>726606</wp:posOffset>
            </wp:positionV>
            <wp:extent cx="5133225" cy="5265293"/>
            <wp:effectExtent l="0" t="0" r="0" b="0"/>
            <wp:wrapNone/>
            <wp:docPr id="18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agency theory was used as the anchor for this study and because, the theory provides the</w:t>
      </w:r>
      <w:r>
        <w:rPr>
          <w:spacing w:val="1"/>
        </w:rPr>
        <w:t> </w:t>
      </w:r>
      <w:r>
        <w:rPr/>
        <w:t>logical argument for the role of corporate governance in monitoring management practices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includes tax aggressive</w:t>
      </w:r>
      <w:r>
        <w:rPr>
          <w:spacing w:val="-1"/>
        </w:rPr>
        <w:t> </w:t>
      </w:r>
      <w:r>
        <w:rPr/>
        <w:t>activities.</w:t>
      </w:r>
    </w:p>
    <w:p>
      <w:pPr>
        <w:pStyle w:val="Heading1"/>
        <w:spacing w:before="200"/>
        <w:ind w:left="822"/>
      </w:pPr>
      <w:bookmarkStart w:name="_bookmark59" w:id="102"/>
      <w:bookmarkEnd w:id="102"/>
      <w:r>
        <w:rPr>
          <w:b w:val="0"/>
        </w:rPr>
      </w:r>
      <w:r>
        <w:rPr/>
        <w:t>2.6.2.</w:t>
      </w:r>
      <w:r>
        <w:rPr>
          <w:spacing w:val="-3"/>
        </w:rPr>
        <w:t> </w:t>
      </w:r>
      <w:r>
        <w:rPr/>
        <w:t>Optimal</w:t>
      </w:r>
      <w:r>
        <w:rPr>
          <w:spacing w:val="-3"/>
        </w:rPr>
        <w:t> </w:t>
      </w:r>
      <w:r>
        <w:rPr/>
        <w:t>Tax</w:t>
      </w:r>
      <w:r>
        <w:rPr>
          <w:spacing w:val="-1"/>
        </w:rPr>
        <w:t> </w:t>
      </w:r>
      <w:r>
        <w:rPr/>
        <w:t>Theory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0"/>
      </w:pPr>
      <w:r>
        <w:rPr/>
        <w:t>This theory was the foundational work of Ramsey (1927) and Mirrles (1971). This theory is</w:t>
      </w:r>
      <w:r>
        <w:rPr>
          <w:spacing w:val="1"/>
        </w:rPr>
        <w:t> </w:t>
      </w:r>
      <w:r>
        <w:rPr/>
        <w:t>centered on eight general principles which are:- the optimal marginal tax rate schedules which</w:t>
      </w:r>
      <w:r>
        <w:rPr>
          <w:spacing w:val="-57"/>
        </w:rPr>
        <w:t> </w:t>
      </w:r>
      <w:r>
        <w:rPr/>
        <w:t>depend on the distribution of ability; the optimal marginal tax schedule which could decline at</w:t>
      </w:r>
      <w:r>
        <w:rPr>
          <w:spacing w:val="-57"/>
        </w:rPr>
        <w:t> </w:t>
      </w:r>
      <w:r>
        <w:rPr/>
        <w:t>high incomes; a flat tax, with a universal lump-sum transfer, could be close to optimal; the</w:t>
      </w:r>
      <w:r>
        <w:rPr>
          <w:spacing w:val="1"/>
        </w:rPr>
        <w:t> </w:t>
      </w:r>
      <w:r>
        <w:rPr/>
        <w:t>optimal extent of redistribution rises with wage inequality; taxes should depend on personal</w:t>
      </w:r>
      <w:r>
        <w:rPr>
          <w:spacing w:val="1"/>
        </w:rPr>
        <w:t> </w:t>
      </w:r>
      <w:r>
        <w:rPr/>
        <w:t>characteristics as well as income; only final goods ought to be taxed, and typically they ought</w:t>
      </w:r>
      <w:r>
        <w:rPr>
          <w:spacing w:val="1"/>
        </w:rPr>
        <w:t> </w:t>
      </w:r>
      <w:r>
        <w:rPr/>
        <w:t>to be taxed uniformly; capital income ought to be untaxed, at least in expectation; and in</w:t>
      </w:r>
      <w:r>
        <w:rPr>
          <w:spacing w:val="1"/>
        </w:rPr>
        <w:t> </w:t>
      </w:r>
      <w:r>
        <w:rPr/>
        <w:t>stochastic</w:t>
      </w:r>
      <w:r>
        <w:rPr>
          <w:spacing w:val="-2"/>
        </w:rPr>
        <w:t> </w:t>
      </w:r>
      <w:r>
        <w:rPr/>
        <w:t>dynamic</w:t>
      </w:r>
      <w:r>
        <w:rPr>
          <w:spacing w:val="-1"/>
        </w:rPr>
        <w:t> </w:t>
      </w:r>
      <w:r>
        <w:rPr/>
        <w:t>economies, optimal</w:t>
      </w:r>
      <w:r>
        <w:rPr>
          <w:spacing w:val="-1"/>
        </w:rPr>
        <w:t> </w:t>
      </w:r>
      <w:r>
        <w:rPr/>
        <w:t>tax policy requires increased</w:t>
      </w:r>
      <w:r>
        <w:rPr>
          <w:spacing w:val="-1"/>
        </w:rPr>
        <w:t> </w:t>
      </w:r>
      <w:r>
        <w:rPr/>
        <w:t>sophistication.</w:t>
      </w:r>
    </w:p>
    <w:p>
      <w:pPr>
        <w:pStyle w:val="BodyText"/>
        <w:spacing w:line="480" w:lineRule="auto" w:before="200"/>
        <w:ind w:right="828"/>
      </w:pPr>
      <w:r>
        <w:rPr/>
        <w:t>The standard theory of optimal taxation posits that a tax system should be chosen to maximize</w:t>
      </w:r>
      <w:r>
        <w:rPr>
          <w:spacing w:val="-57"/>
        </w:rPr>
        <w:t> </w:t>
      </w:r>
      <w:r>
        <w:rPr/>
        <w:t>a social welfare function subject to a set of constraints. The optimal taxation theory typically</w:t>
      </w:r>
      <w:r>
        <w:rPr>
          <w:spacing w:val="1"/>
        </w:rPr>
        <w:t> </w:t>
      </w:r>
      <w:r>
        <w:rPr>
          <w:spacing w:val="-1"/>
        </w:rPr>
        <w:t>treats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social</w:t>
      </w:r>
      <w:r>
        <w:rPr>
          <w:spacing w:val="-15"/>
        </w:rPr>
        <w:t> </w:t>
      </w:r>
      <w:r>
        <w:rPr>
          <w:spacing w:val="-1"/>
        </w:rPr>
        <w:t>planner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utilitarian,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is,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social</w:t>
      </w:r>
      <w:r>
        <w:rPr>
          <w:spacing w:val="-13"/>
        </w:rPr>
        <w:t> </w:t>
      </w:r>
      <w:r>
        <w:rPr/>
        <w:t>welfare</w:t>
      </w:r>
      <w:r>
        <w:rPr>
          <w:spacing w:val="-17"/>
        </w:rPr>
        <w:t> </w:t>
      </w:r>
      <w:r>
        <w:rPr/>
        <w:t>function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based</w:t>
      </w:r>
      <w:r>
        <w:rPr>
          <w:spacing w:val="-14"/>
        </w:rPr>
        <w:t> </w:t>
      </w:r>
      <w:r>
        <w:rPr/>
        <w:t>on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utilities</w:t>
      </w:r>
      <w:r>
        <w:rPr>
          <w:spacing w:val="-58"/>
        </w:rPr>
        <w:t> </w:t>
      </w:r>
      <w:r>
        <w:rPr/>
        <w:t>of individuals in the society. In its most general analysis, this theory uses a social welfare</w:t>
      </w:r>
      <w:r>
        <w:rPr>
          <w:spacing w:val="1"/>
        </w:rPr>
        <w:t> </w:t>
      </w:r>
      <w:r>
        <w:rPr/>
        <w:t>function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is,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nonlinear</w:t>
      </w:r>
      <w:r>
        <w:rPr>
          <w:spacing w:val="-10"/>
        </w:rPr>
        <w:t> </w:t>
      </w:r>
      <w:r>
        <w:rPr/>
        <w:t>function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individual</w:t>
      </w:r>
      <w:r>
        <w:rPr>
          <w:spacing w:val="-10"/>
        </w:rPr>
        <w:t> </w:t>
      </w:r>
      <w:r>
        <w:rPr/>
        <w:t>utilities</w:t>
      </w:r>
      <w:r>
        <w:rPr>
          <w:spacing w:val="-8"/>
        </w:rPr>
        <w:t> </w:t>
      </w:r>
      <w:r>
        <w:rPr/>
        <w:t>(Mankiw,</w:t>
      </w:r>
      <w:r>
        <w:rPr>
          <w:spacing w:val="-10"/>
        </w:rPr>
        <w:t> </w:t>
      </w:r>
      <w:r>
        <w:rPr/>
        <w:t>Weinzier</w:t>
      </w:r>
      <w:r>
        <w:rPr>
          <w:spacing w:val="-8"/>
        </w:rPr>
        <w:t> </w:t>
      </w:r>
      <w:r>
        <w:rPr/>
        <w:t>&amp;</w:t>
      </w:r>
      <w:r>
        <w:rPr>
          <w:spacing w:val="-9"/>
        </w:rPr>
        <w:t> </w:t>
      </w:r>
      <w:r>
        <w:rPr/>
        <w:t>Yagan,</w:t>
      </w:r>
      <w:r>
        <w:rPr>
          <w:spacing w:val="-9"/>
        </w:rPr>
        <w:t> </w:t>
      </w:r>
      <w:r>
        <w:rPr/>
        <w:t>2009).</w:t>
      </w:r>
      <w:r>
        <w:rPr>
          <w:spacing w:val="-58"/>
        </w:rPr>
        <w:t> </w:t>
      </w:r>
      <w:r>
        <w:rPr/>
        <w:t>This</w:t>
      </w:r>
      <w:r>
        <w:rPr>
          <w:spacing w:val="-2"/>
        </w:rPr>
        <w:t> </w:t>
      </w:r>
      <w:r>
        <w:rPr/>
        <w:t>theory</w:t>
      </w:r>
      <w:r>
        <w:rPr>
          <w:spacing w:val="-1"/>
        </w:rPr>
        <w:t> </w:t>
      </w:r>
      <w:r>
        <w:rPr/>
        <w:t>focuses more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welfare</w:t>
      </w:r>
      <w:r>
        <w:rPr>
          <w:spacing w:val="-3"/>
        </w:rPr>
        <w:t> </w:t>
      </w:r>
      <w:r>
        <w:rPr/>
        <w:t>utility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utilities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society</w:t>
      </w:r>
      <w:r>
        <w:rPr>
          <w:spacing w:val="-1"/>
        </w:rPr>
        <w:t> </w:t>
      </w:r>
      <w:r>
        <w:rPr/>
        <w:t>and</w:t>
      </w:r>
      <w:r>
        <w:rPr>
          <w:spacing w:val="-58"/>
        </w:rPr>
        <w:t> </w:t>
      </w:r>
      <w:r>
        <w:rPr/>
        <w:t>not on firms.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82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38528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18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60" w:id="103"/>
      <w:bookmarkEnd w:id="103"/>
      <w:r>
        <w:rPr/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-2"/>
          <w:sz w:val="24"/>
        </w:rPr>
        <w:t> </w:t>
      </w:r>
      <w:r>
        <w:rPr>
          <w:sz w:val="24"/>
        </w:rPr>
        <w:t>Summary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Literature</w:t>
      </w:r>
      <w:r>
        <w:rPr>
          <w:spacing w:val="-3"/>
          <w:sz w:val="24"/>
        </w:rPr>
        <w:t> </w:t>
      </w:r>
      <w:r>
        <w:rPr>
          <w:sz w:val="24"/>
        </w:rPr>
        <w:t>Review</w:t>
      </w: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1006"/>
        <w:gridCol w:w="1844"/>
        <w:gridCol w:w="2540"/>
        <w:gridCol w:w="3714"/>
      </w:tblGrid>
      <w:tr>
        <w:trPr>
          <w:trHeight w:val="230" w:hRule="atLeast"/>
        </w:trPr>
        <w:tc>
          <w:tcPr>
            <w:tcW w:w="1388" w:type="dxa"/>
          </w:tcPr>
          <w:p>
            <w:pPr>
              <w:pStyle w:val="TableParagraph"/>
              <w:spacing w:line="210" w:lineRule="exact" w:before="0"/>
              <w:ind w:left="87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Author/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Year</w:t>
            </w:r>
          </w:p>
        </w:tc>
        <w:tc>
          <w:tcPr>
            <w:tcW w:w="1006" w:type="dxa"/>
          </w:tcPr>
          <w:p>
            <w:pPr>
              <w:pStyle w:val="TableParagraph"/>
              <w:spacing w:line="210" w:lineRule="exact" w:before="0"/>
              <w:ind w:left="174" w:right="0"/>
              <w:jc w:val="left"/>
              <w:rPr>
                <w:sz w:val="20"/>
              </w:rPr>
            </w:pPr>
            <w:r>
              <w:rPr>
                <w:sz w:val="20"/>
              </w:rPr>
              <w:t>Country</w:t>
            </w:r>
          </w:p>
        </w:tc>
        <w:tc>
          <w:tcPr>
            <w:tcW w:w="1844" w:type="dxa"/>
          </w:tcPr>
          <w:p>
            <w:pPr>
              <w:pStyle w:val="TableParagraph"/>
              <w:spacing w:line="210" w:lineRule="exact" w:before="0"/>
              <w:ind w:left="47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Objectives</w:t>
            </w:r>
          </w:p>
        </w:tc>
        <w:tc>
          <w:tcPr>
            <w:tcW w:w="2540" w:type="dxa"/>
          </w:tcPr>
          <w:p>
            <w:pPr>
              <w:pStyle w:val="TableParagraph"/>
              <w:spacing w:line="210" w:lineRule="exact" w:before="0"/>
              <w:ind w:left="707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Methodology</w:t>
            </w:r>
          </w:p>
        </w:tc>
        <w:tc>
          <w:tcPr>
            <w:tcW w:w="3714" w:type="dxa"/>
          </w:tcPr>
          <w:p>
            <w:pPr>
              <w:pStyle w:val="TableParagraph"/>
              <w:spacing w:line="210" w:lineRule="exact" w:before="0"/>
              <w:ind w:left="1460" w:right="14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Findings</w:t>
            </w:r>
          </w:p>
        </w:tc>
      </w:tr>
      <w:tr>
        <w:trPr>
          <w:trHeight w:val="1610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173"/>
              <w:jc w:val="left"/>
              <w:rPr>
                <w:sz w:val="20"/>
              </w:rPr>
            </w:pPr>
            <w:r>
              <w:rPr>
                <w:sz w:val="20"/>
              </w:rPr>
              <w:t>Khurana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Moser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(2009)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Columbia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58" w:val="left" w:leader="none"/>
              </w:tabs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To</w:t>
              <w:tab/>
              <w:t>examined</w:t>
            </w:r>
          </w:p>
          <w:p>
            <w:pPr>
              <w:pStyle w:val="TableParagraph"/>
              <w:tabs>
                <w:tab w:pos="1157" w:val="left" w:leader="none"/>
              </w:tabs>
              <w:spacing w:line="240" w:lineRule="auto" w:before="0"/>
              <w:ind w:left="107" w:right="98"/>
              <w:jc w:val="left"/>
              <w:rPr>
                <w:sz w:val="20"/>
              </w:rPr>
            </w:pPr>
            <w:r>
              <w:rPr>
                <w:sz w:val="20"/>
              </w:rPr>
              <w:t>whether</w:t>
              <w:tab/>
            </w:r>
            <w:r>
              <w:rPr>
                <w:spacing w:val="-1"/>
                <w:sz w:val="20"/>
              </w:rPr>
              <w:t>foreign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institutional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shareholders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affects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extent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selected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quoted firms for the period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2005-2018.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ordinary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Least Square regression 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used for the study.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more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aggressiveness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held by short-term investors and less 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aggressiveness by firms held by long-term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foreign-institutional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investors.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relations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hold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inclusion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various</w:t>
            </w:r>
          </w:p>
          <w:p>
            <w:pPr>
              <w:pStyle w:val="TableParagraph"/>
              <w:spacing w:line="228" w:lineRule="exact" w:before="0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controls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identified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prior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affect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their tax aggressiveness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measures.</w:t>
            </w:r>
          </w:p>
        </w:tc>
      </w:tr>
      <w:tr>
        <w:trPr>
          <w:trHeight w:val="1610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180"/>
              <w:jc w:val="left"/>
              <w:rPr>
                <w:sz w:val="20"/>
              </w:rPr>
            </w:pPr>
            <w:r>
              <w:rPr>
                <w:sz w:val="20"/>
              </w:rPr>
              <w:t>Hasan, Kim,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Wu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(2013)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China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490" w:val="left" w:leader="none"/>
              </w:tabs>
              <w:spacing w:line="240" w:lineRule="auto" w:before="0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examines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foreign institutional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investors (FIIs) help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explain variation 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corporate</w:t>
              <w:tab/>
            </w:r>
            <w:r>
              <w:rPr>
                <w:spacing w:val="-2"/>
                <w:sz w:val="20"/>
              </w:rPr>
              <w:t>tax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avoidance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ex-post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study.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Multiple regression analysis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used 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estimation.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They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however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find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robust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evidence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FIIs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avoidance.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Moreover,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association is dominated by FIIs from high-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tax-morale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countries,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investment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horizon,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FIIs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high-</w:t>
            </w:r>
          </w:p>
          <w:p>
            <w:pPr>
              <w:pStyle w:val="TableParagraph"/>
              <w:spacing w:line="210" w:lineRule="exact" w:before="0"/>
              <w:ind w:left="106" w:right="0"/>
              <w:jc w:val="both"/>
              <w:rPr>
                <w:sz w:val="20"/>
              </w:rPr>
            </w:pPr>
            <w:r>
              <w:rPr>
                <w:sz w:val="20"/>
              </w:rPr>
              <w:t>corporate-governance-quality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countries.</w:t>
            </w:r>
          </w:p>
        </w:tc>
      </w:tr>
      <w:tr>
        <w:trPr>
          <w:trHeight w:val="2070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281"/>
              <w:jc w:val="left"/>
              <w:rPr>
                <w:sz w:val="20"/>
              </w:rPr>
            </w:pPr>
            <w:r>
              <w:rPr>
                <w:sz w:val="20"/>
              </w:rPr>
              <w:t>Salihu,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Annuar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(2011)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Malaysia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 w:before="0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The study examined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foreign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investors’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developing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economy.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sample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extracted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annual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reports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 the FTSE Bursa Malaysia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2009-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2011.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Dynamic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panel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system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GMM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used for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analysis.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relationship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foreign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investors’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interests and the measures of corporate 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large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Malaysian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companies.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suggests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possibility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multinational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exploiting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international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scales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30" w:lineRule="atLeast" w:before="0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operations to avoid taxes in both host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parent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countries.</w:t>
            </w:r>
          </w:p>
        </w:tc>
      </w:tr>
      <w:tr>
        <w:trPr>
          <w:trHeight w:val="2760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104"/>
              <w:jc w:val="left"/>
              <w:rPr>
                <w:sz w:val="20"/>
              </w:rPr>
            </w:pPr>
            <w:r>
              <w:rPr>
                <w:sz w:val="20"/>
              </w:rPr>
              <w:t>Boussaidi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Hamed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(2015)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Tunisia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71" w:val="left" w:leader="none"/>
                <w:tab w:pos="854" w:val="left" w:leader="none"/>
                <w:tab w:pos="1312" w:val="left" w:leader="none"/>
                <w:tab w:pos="1490" w:val="left" w:leader="none"/>
                <w:tab w:pos="1533" w:val="left" w:leader="none"/>
              </w:tabs>
              <w:spacing w:line="240" w:lineRule="auto" w:before="0"/>
              <w:ind w:left="107" w:right="97"/>
              <w:jc w:val="left"/>
              <w:rPr>
                <w:sz w:val="20"/>
              </w:rPr>
            </w:pPr>
            <w:r>
              <w:rPr>
                <w:sz w:val="20"/>
              </w:rPr>
              <w:t>To</w:t>
              <w:tab/>
              <w:t>examine</w:t>
              <w:tab/>
              <w:tab/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effect</w:t>
              <w:tab/>
              <w:tab/>
              <w:t>of</w:t>
              <w:tab/>
            </w:r>
            <w:r>
              <w:rPr>
                <w:spacing w:val="-1"/>
                <w:sz w:val="20"/>
              </w:rPr>
              <w:t>some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mechanisms</w:t>
              <w:tab/>
              <w:tab/>
              <w:tab/>
            </w:r>
            <w:r>
              <w:rPr>
                <w:spacing w:val="-2"/>
                <w:sz w:val="20"/>
              </w:rPr>
              <w:t>on</w:t>
            </w:r>
          </w:p>
          <w:p>
            <w:pPr>
              <w:pStyle w:val="TableParagraph"/>
              <w:tabs>
                <w:tab w:pos="1490" w:val="left" w:leader="none"/>
              </w:tabs>
              <w:spacing w:line="240" w:lineRule="auto" w:before="0"/>
              <w:ind w:left="107" w:right="97"/>
              <w:jc w:val="left"/>
              <w:rPr>
                <w:sz w:val="20"/>
              </w:rPr>
            </w:pPr>
            <w:r>
              <w:rPr>
                <w:sz w:val="20"/>
              </w:rPr>
              <w:t>corporate</w:t>
              <w:tab/>
            </w:r>
            <w:r>
              <w:rPr>
                <w:spacing w:val="-2"/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aggressiveness.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ex-post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study.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 study was based on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analysis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sample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Tunisian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listed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2006-2012 periods. Multiple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regression analysis was used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 estimation.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Their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regression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indicated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foreign,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concentration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ownership has significant effects on firms`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aggressiveness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activities.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Board`s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managerial and foreign ownership exhibit a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positive association with the effective 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increases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concentration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affect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negatively.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However,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findings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don`t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effects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corporate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size</w:t>
            </w:r>
          </w:p>
          <w:p>
            <w:pPr>
              <w:pStyle w:val="TableParagraph"/>
              <w:spacing w:line="230" w:lineRule="exact" w:before="0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external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auditor`s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profile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aggressiveness.</w:t>
            </w:r>
          </w:p>
        </w:tc>
      </w:tr>
      <w:tr>
        <w:trPr>
          <w:trHeight w:val="2990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55" w:right="92"/>
              <w:jc w:val="center"/>
              <w:rPr>
                <w:sz w:val="20"/>
              </w:rPr>
            </w:pPr>
            <w:r>
              <w:rPr>
                <w:sz w:val="20"/>
              </w:rPr>
              <w:t>Otieno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(2014)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Kenyan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 w:before="0"/>
              <w:ind w:left="107" w:right="9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To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examine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whether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variation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firms’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mechanisms,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explains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differences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their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avoidance</w:t>
            </w:r>
          </w:p>
        </w:tc>
        <w:tc>
          <w:tcPr>
            <w:tcW w:w="2540" w:type="dxa"/>
          </w:tcPr>
          <w:p>
            <w:pPr>
              <w:pStyle w:val="TableParagraph"/>
              <w:tabs>
                <w:tab w:pos="1617" w:val="left" w:leader="none"/>
              </w:tabs>
              <w:spacing w:line="240" w:lineRule="auto" w:before="0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The population comprised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61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companies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listed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NSE.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61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firms formed the sample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population.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Secondary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data collected from the NSE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Secretariat,</w:t>
              <w:tab/>
            </w:r>
            <w:r>
              <w:rPr>
                <w:spacing w:val="-1"/>
                <w:sz w:val="20"/>
              </w:rPr>
              <w:t>respective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websites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Africa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Financials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website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 used in the study. Data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then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analyzed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using</w:t>
            </w:r>
          </w:p>
          <w:p>
            <w:pPr>
              <w:pStyle w:val="TableParagraph"/>
              <w:spacing w:line="230" w:lineRule="atLeast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descriptive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analysis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regression analysis.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findings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ownership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structure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influence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effects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ownership,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foreign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institutional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insignificant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5%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level.</w:t>
            </w:r>
          </w:p>
        </w:tc>
      </w:tr>
      <w:tr>
        <w:trPr>
          <w:trHeight w:val="2070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50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Rawiwan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(2013)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Thailand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979" w:val="left" w:leader="none"/>
              </w:tabs>
              <w:spacing w:line="240" w:lineRule="auto" w:before="0"/>
              <w:ind w:left="107" w:right="97"/>
              <w:jc w:val="left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investigate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relationship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  <w:tab/>
            </w:r>
            <w:r>
              <w:rPr>
                <w:spacing w:val="-1"/>
                <w:sz w:val="20"/>
              </w:rPr>
              <w:t>corporate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aggressiveness.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ex-post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research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design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study.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Multiple regression analysis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estimation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results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showed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related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avoidance, meaning that firms with good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less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governance.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directors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audit committee play an important role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reduction.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Interestingly,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foreign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holding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company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helps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reduce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tax payment.</w:t>
            </w:r>
          </w:p>
        </w:tc>
      </w:tr>
    </w:tbl>
    <w:p>
      <w:pPr>
        <w:spacing w:after="0" w:line="240" w:lineRule="auto"/>
        <w:jc w:val="both"/>
        <w:rPr>
          <w:sz w:val="20"/>
        </w:rPr>
        <w:sectPr>
          <w:pgSz w:w="11910" w:h="16840"/>
          <w:pgMar w:header="0" w:footer="1402" w:top="1120" w:bottom="1680" w:left="880" w:right="30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1006"/>
        <w:gridCol w:w="1844"/>
        <w:gridCol w:w="2540"/>
        <w:gridCol w:w="3714"/>
      </w:tblGrid>
      <w:tr>
        <w:trPr>
          <w:trHeight w:val="1152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281"/>
              <w:jc w:val="left"/>
              <w:rPr>
                <w:sz w:val="20"/>
              </w:rPr>
            </w:pPr>
            <w:r>
              <w:rPr>
                <w:sz w:val="20"/>
              </w:rPr>
              <w:t>Annuar,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Salihu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Obid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(2014)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Malaysia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The study 2009 -2013. Both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dynamic panel data models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Generalized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Method</w:t>
            </w:r>
          </w:p>
          <w:p>
            <w:pPr>
              <w:pStyle w:val="TableParagraph"/>
              <w:spacing w:line="230" w:lineRule="atLeast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Moment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(GMM)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estimator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estimation.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Findings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conclusion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foreign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ownerships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proven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potential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determinants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30" w:lineRule="atLeast" w:before="0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corporate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avoidance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potential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interactive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board composition.</w:t>
            </w:r>
          </w:p>
        </w:tc>
      </w:tr>
      <w:tr>
        <w:trPr>
          <w:trHeight w:val="2068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247"/>
              <w:jc w:val="left"/>
              <w:rPr>
                <w:sz w:val="20"/>
              </w:rPr>
            </w:pPr>
            <w:r>
              <w:rPr>
                <w:sz w:val="20"/>
              </w:rPr>
              <w:t>Odoemela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Ironkwe 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Nwaiwu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71" w:val="left" w:leader="none"/>
                <w:tab w:pos="1490" w:val="left" w:leader="none"/>
              </w:tabs>
              <w:spacing w:line="240" w:lineRule="auto" w:before="0"/>
              <w:ind w:left="107" w:right="97"/>
              <w:jc w:val="left"/>
              <w:rPr>
                <w:sz w:val="20"/>
              </w:rPr>
            </w:pPr>
            <w:r>
              <w:rPr>
                <w:sz w:val="20"/>
              </w:rPr>
              <w:t>To</w:t>
              <w:tab/>
              <w:t>examine</w:t>
              <w:tab/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association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Mechanism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audited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statement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banks quoted in Nigerian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Stock Exchange from 1994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 2014.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The findings of study revealed that there 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 effect 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Size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 Tax savings of Firms in Nigeria.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 recommended that Audit committee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should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encumbered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obligation of appraising tax assessment 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returns in order to minimize any form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strategic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tax behavior by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management.</w:t>
            </w:r>
          </w:p>
        </w:tc>
      </w:tr>
      <w:tr>
        <w:trPr>
          <w:trHeight w:val="2301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236"/>
              <w:jc w:val="left"/>
              <w:rPr>
                <w:sz w:val="20"/>
              </w:rPr>
            </w:pPr>
            <w:r>
              <w:rPr>
                <w:sz w:val="20"/>
              </w:rPr>
              <w:t>Ogbeide 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Iyafekhe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(2018)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1491" w:val="left" w:leader="none"/>
              </w:tabs>
              <w:spacing w:line="240" w:lineRule="auto" w:before="0"/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empirically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examined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level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  <w:tab/>
            </w:r>
            <w:r>
              <w:rPr>
                <w:spacing w:val="-2"/>
                <w:sz w:val="20"/>
              </w:rPr>
              <w:t>tax</w:t>
            </w:r>
          </w:p>
          <w:p>
            <w:pPr>
              <w:pStyle w:val="TableParagraph"/>
              <w:spacing w:line="240" w:lineRule="auto" w:before="2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aggressiveness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listed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Nigeria.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The population of the study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consists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quoted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non-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31</w:t>
            </w:r>
            <w:r>
              <w:rPr>
                <w:sz w:val="20"/>
                <w:vertAlign w:val="superscript"/>
              </w:rPr>
              <w:t>st</w:t>
            </w:r>
            <w:r>
              <w:rPr>
                <w:spacing w:val="-47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December, 2016. A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sample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of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eighty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five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(85)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quoted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firms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was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selected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for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the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period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2012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to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2016.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The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data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analysis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was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done</w:t>
            </w:r>
            <w:r>
              <w:rPr>
                <w:spacing w:val="1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through</w:t>
            </w:r>
            <w:r>
              <w:rPr>
                <w:spacing w:val="35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descriptive</w:t>
            </w:r>
            <w:r>
              <w:rPr>
                <w:spacing w:val="36"/>
                <w:sz w:val="20"/>
                <w:vertAlign w:val="baseline"/>
              </w:rPr>
              <w:t> </w:t>
            </w:r>
            <w:r>
              <w:rPr>
                <w:sz w:val="20"/>
                <w:vertAlign w:val="baseline"/>
              </w:rPr>
              <w:t>analysis</w:t>
            </w:r>
          </w:p>
          <w:p>
            <w:pPr>
              <w:pStyle w:val="TableParagraph"/>
              <w:spacing w:line="210" w:lineRule="exact" w:before="2"/>
              <w:ind w:left="106" w:right="0"/>
              <w:jc w:val="left"/>
              <w:rPr>
                <w:sz w:val="20"/>
              </w:rPr>
            </w:pPr>
            <w:r>
              <w:rPr>
                <w:sz w:val="20"/>
              </w:rPr>
              <w:t>method.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97"/>
              <w:jc w:val="both"/>
              <w:rPr>
                <w:sz w:val="20"/>
              </w:rPr>
            </w:pPr>
            <w:r>
              <w:rPr>
                <w:sz w:val="20"/>
              </w:rPr>
              <w:t>The results obtained revealed that twenty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six (26) out of the eighty five (85)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companies in the non- financial sector were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highly tax aggressive. Thirteen (13)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listed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moderately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aggressive.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Sixteen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(16)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aggressive at equilibrium while thirty (30)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 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were not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aggressive.</w:t>
            </w:r>
          </w:p>
        </w:tc>
      </w:tr>
      <w:tr>
        <w:trPr>
          <w:trHeight w:val="2990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236"/>
              <w:jc w:val="left"/>
              <w:rPr>
                <w:sz w:val="20"/>
              </w:rPr>
            </w:pPr>
            <w:r>
              <w:rPr>
                <w:sz w:val="20"/>
              </w:rPr>
              <w:t>Ogbeide and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Obaretin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(2018)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48" w:val="left" w:leader="none"/>
                <w:tab w:pos="1056" w:val="left" w:leader="none"/>
                <w:tab w:pos="1564" w:val="left" w:leader="none"/>
              </w:tabs>
              <w:spacing w:line="240" w:lineRule="auto" w:before="0"/>
              <w:ind w:left="107" w:right="97"/>
              <w:jc w:val="left"/>
              <w:rPr>
                <w:sz w:val="20"/>
              </w:rPr>
            </w:pPr>
            <w:r>
              <w:rPr>
                <w:sz w:val="20"/>
              </w:rPr>
              <w:t>To</w:t>
              <w:tab/>
              <w:tab/>
            </w:r>
            <w:r>
              <w:rPr>
                <w:spacing w:val="-1"/>
                <w:sz w:val="20"/>
              </w:rPr>
              <w:t>examine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corporate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mechanisms and 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</w:t>
              <w:tab/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listed</w:t>
              <w:tab/>
              <w:t>firms</w:t>
              <w:tab/>
            </w:r>
            <w:r>
              <w:rPr>
                <w:spacing w:val="-3"/>
                <w:sz w:val="20"/>
              </w:rPr>
              <w:t>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Nigeria.</w:t>
            </w:r>
          </w:p>
        </w:tc>
        <w:tc>
          <w:tcPr>
            <w:tcW w:w="2540" w:type="dxa"/>
          </w:tcPr>
          <w:p>
            <w:pPr>
              <w:pStyle w:val="TableParagraph"/>
              <w:tabs>
                <w:tab w:pos="1742" w:val="left" w:leader="none"/>
              </w:tabs>
              <w:spacing w:line="240" w:lineRule="auto" w:before="0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Eighty-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five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(85)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quoted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non-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financial firms were selected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data were collected over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2016.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Inferential</w:t>
              <w:tab/>
            </w:r>
            <w:r>
              <w:rPr>
                <w:spacing w:val="-1"/>
                <w:sz w:val="20"/>
              </w:rPr>
              <w:t>statistics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consisting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Method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Moment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used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analysis.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This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carrying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out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unit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root test and other diagnostic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tests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respectively.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The results obtained reveal that corporate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mechanisms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exert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aggressiveness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Nigeria.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Specifically, ownership concentration 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managerial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ownership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significantly impacts tax aggressiveness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financial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Nigeria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whereas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size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negatively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significantly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aggressiveness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over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reference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period.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gender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diversity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independence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exert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negative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influence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tax</w:t>
            </w:r>
          </w:p>
          <w:p>
            <w:pPr>
              <w:pStyle w:val="TableParagraph"/>
              <w:spacing w:line="210" w:lineRule="exact" w:before="1"/>
              <w:ind w:left="106" w:right="0"/>
              <w:jc w:val="both"/>
              <w:rPr>
                <w:sz w:val="20"/>
              </w:rPr>
            </w:pPr>
            <w:r>
              <w:rPr>
                <w:sz w:val="20"/>
              </w:rPr>
              <w:t>aggressiveness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firms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Nigeria.</w:t>
            </w:r>
          </w:p>
        </w:tc>
      </w:tr>
      <w:tr>
        <w:trPr>
          <w:trHeight w:val="2069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118"/>
              <w:jc w:val="left"/>
              <w:rPr>
                <w:sz w:val="20"/>
              </w:rPr>
            </w:pPr>
            <w:r>
              <w:rPr>
                <w:sz w:val="20"/>
              </w:rPr>
              <w:t>Onyali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Okafor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(2018)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71" w:val="left" w:leader="none"/>
                <w:tab w:pos="1092" w:val="left" w:leader="none"/>
                <w:tab w:pos="1490" w:val="left" w:leader="none"/>
              </w:tabs>
              <w:spacing w:line="240" w:lineRule="auto" w:before="0"/>
              <w:ind w:left="107" w:right="96"/>
              <w:jc w:val="left"/>
              <w:rPr>
                <w:sz w:val="20"/>
              </w:rPr>
            </w:pPr>
            <w:r>
              <w:rPr>
                <w:sz w:val="20"/>
              </w:rPr>
              <w:t>To</w:t>
              <w:tab/>
              <w:t>examine</w:t>
              <w:tab/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effect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corporate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governance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mechanisms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among</w:t>
              <w:tab/>
            </w:r>
            <w:r>
              <w:rPr>
                <w:spacing w:val="-1"/>
                <w:sz w:val="20"/>
              </w:rPr>
              <w:t>selected</w:t>
            </w:r>
            <w:r>
              <w:rPr>
                <w:spacing w:val="-47"/>
                <w:sz w:val="20"/>
              </w:rPr>
              <w:t> </w:t>
            </w:r>
            <w:r>
              <w:rPr>
                <w:w w:val="95"/>
                <w:sz w:val="20"/>
              </w:rPr>
              <w:t>manufacturing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firms</w:t>
            </w:r>
            <w:r>
              <w:rPr>
                <w:spacing w:val="-45"/>
                <w:w w:val="95"/>
                <w:sz w:val="20"/>
              </w:rPr>
              <w:t> </w:t>
            </w:r>
            <w:r>
              <w:rPr>
                <w:sz w:val="20"/>
              </w:rPr>
              <w:t>in Nigeria. The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6"/>
              <w:jc w:val="both"/>
              <w:rPr>
                <w:sz w:val="20"/>
              </w:rPr>
            </w:pPr>
            <w:r>
              <w:rPr>
                <w:sz w:val="20"/>
              </w:rPr>
              <w:t>The data used for the study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were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derived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Forty-four</w:t>
            </w:r>
          </w:p>
          <w:p>
            <w:pPr>
              <w:pStyle w:val="TableParagraph"/>
              <w:spacing w:line="240" w:lineRule="auto" w:before="0"/>
              <w:ind w:left="106" w:right="95"/>
              <w:jc w:val="both"/>
              <w:rPr>
                <w:sz w:val="20"/>
              </w:rPr>
            </w:pPr>
            <w:r>
              <w:rPr>
                <w:sz w:val="20"/>
              </w:rPr>
              <w:t>(44)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Listed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Manufacturing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Firms, from 2005-2016 been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period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covered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obtained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analyzed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Ordinary     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Least     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Square</w:t>
            </w:r>
          </w:p>
          <w:p>
            <w:pPr>
              <w:pStyle w:val="TableParagraph"/>
              <w:spacing w:line="210" w:lineRule="exact" w:before="0"/>
              <w:ind w:left="106" w:right="0"/>
              <w:jc w:val="left"/>
              <w:rPr>
                <w:sz w:val="20"/>
              </w:rPr>
            </w:pPr>
            <w:r>
              <w:rPr>
                <w:sz w:val="20"/>
              </w:rPr>
              <w:t>technique</w:t>
            </w:r>
          </w:p>
        </w:tc>
        <w:tc>
          <w:tcPr>
            <w:tcW w:w="3714" w:type="dxa"/>
          </w:tcPr>
          <w:p>
            <w:pPr>
              <w:pStyle w:val="TableParagraph"/>
              <w:tabs>
                <w:tab w:pos="1902" w:val="left" w:leader="none"/>
                <w:tab w:pos="3056" w:val="left" w:leader="none"/>
              </w:tabs>
              <w:spacing w:line="240" w:lineRule="auto" w:before="0"/>
              <w:ind w:left="106" w:right="9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The outcome of the analysis of data revealed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that board size has no significant effect 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aggressiveness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diversity,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independent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director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proportion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non-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executive directors to executive directors is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having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significant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impact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</w:t>
              <w:tab/>
              <w:t>among</w:t>
              <w:tab/>
              <w:t>quoted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manufacturing firms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Nigeria.</w:t>
            </w:r>
          </w:p>
        </w:tc>
      </w:tr>
      <w:tr>
        <w:trPr>
          <w:trHeight w:val="3220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142"/>
              <w:jc w:val="left"/>
              <w:rPr>
                <w:sz w:val="20"/>
              </w:rPr>
            </w:pPr>
            <w:r>
              <w:rPr>
                <w:sz w:val="20"/>
              </w:rPr>
              <w:t>Oyeleke, Erin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and Emeni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Nigeria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571" w:val="left" w:leader="none"/>
                <w:tab w:pos="1279" w:val="left" w:leader="none"/>
                <w:tab w:pos="1490" w:val="left" w:leader="none"/>
                <w:tab w:pos="1564" w:val="left" w:leader="none"/>
              </w:tabs>
              <w:spacing w:line="240" w:lineRule="auto" w:before="0"/>
              <w:ind w:left="107" w:right="97"/>
              <w:jc w:val="left"/>
              <w:rPr>
                <w:sz w:val="20"/>
              </w:rPr>
            </w:pPr>
            <w:r>
              <w:rPr>
                <w:sz w:val="20"/>
              </w:rPr>
              <w:t>To</w:t>
              <w:tab/>
              <w:t>examine</w:t>
              <w:tab/>
              <w:tab/>
            </w:r>
            <w:r>
              <w:rPr>
                <w:spacing w:val="-2"/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relationship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directors’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gender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diversity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</w:t>
              <w:tab/>
              <w:tab/>
            </w:r>
            <w:r>
              <w:rPr>
                <w:spacing w:val="-1"/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banks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listed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3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Nigerian</w:t>
              <w:tab/>
            </w:r>
            <w:r>
              <w:rPr>
                <w:spacing w:val="-1"/>
                <w:sz w:val="20"/>
              </w:rPr>
              <w:t>Stock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Exchange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(NSE).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3714" w:type="dxa"/>
          </w:tcPr>
          <w:p>
            <w:pPr>
              <w:pStyle w:val="TableParagraph"/>
              <w:tabs>
                <w:tab w:pos="1818" w:val="left" w:leader="none"/>
                <w:tab w:pos="2679" w:val="left" w:leader="none"/>
              </w:tabs>
              <w:spacing w:line="240" w:lineRule="auto" w:before="0"/>
              <w:ind w:left="106" w:right="99" w:firstLine="720"/>
              <w:jc w:val="both"/>
              <w:rPr>
                <w:sz w:val="20"/>
              </w:rPr>
            </w:pP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provides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evidence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positive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non-significant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association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exist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between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female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directors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aggressiveness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controlling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characteristics</w:t>
              <w:tab/>
              <w:t>and</w:t>
              <w:tab/>
            </w:r>
            <w:r>
              <w:rPr>
                <w:spacing w:val="-1"/>
                <w:sz w:val="20"/>
              </w:rPr>
              <w:t>governance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mechanisms. In addition, the interaction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board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size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female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directors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is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significantly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with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reduced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level of tax aggressiveness. The results are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consistent with the ‘women risk aversion’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theory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which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stipulates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different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attitude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females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excessive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risks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can</w:t>
            </w:r>
          </w:p>
          <w:p>
            <w:pPr>
              <w:pStyle w:val="TableParagraph"/>
              <w:spacing w:line="230" w:lineRule="atLeast" w:before="0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project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upon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corporate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policies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decisions.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039040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18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8"/>
        <w:gridCol w:w="1006"/>
        <w:gridCol w:w="1844"/>
        <w:gridCol w:w="2540"/>
        <w:gridCol w:w="3714"/>
      </w:tblGrid>
      <w:tr>
        <w:trPr>
          <w:trHeight w:val="1612" w:hRule="atLeast"/>
        </w:trPr>
        <w:tc>
          <w:tcPr>
            <w:tcW w:w="1388" w:type="dxa"/>
          </w:tcPr>
          <w:p>
            <w:pPr>
              <w:pStyle w:val="TableParagraph"/>
              <w:spacing w:line="240" w:lineRule="auto" w:before="0"/>
              <w:ind w:left="105" w:right="240"/>
              <w:jc w:val="left"/>
              <w:rPr>
                <w:sz w:val="20"/>
              </w:rPr>
            </w:pPr>
            <w:r>
              <w:rPr>
                <w:sz w:val="20"/>
              </w:rPr>
              <w:t>Richardson,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Taylor and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Lanis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(2016)</w:t>
            </w:r>
          </w:p>
        </w:tc>
        <w:tc>
          <w:tcPr>
            <w:tcW w:w="1006" w:type="dxa"/>
          </w:tcPr>
          <w:p>
            <w:pPr>
              <w:pStyle w:val="TableParagraph"/>
              <w:spacing w:line="240" w:lineRule="auto" w:before="0"/>
              <w:ind w:left="107" w:right="0"/>
              <w:jc w:val="left"/>
              <w:rPr>
                <w:sz w:val="20"/>
              </w:rPr>
            </w:pPr>
            <w:r>
              <w:rPr>
                <w:sz w:val="20"/>
              </w:rPr>
              <w:t>Australia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 w:before="0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investigate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impact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women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the      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board      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tabs>
                <w:tab w:pos="1533" w:val="left" w:leader="none"/>
              </w:tabs>
              <w:spacing w:line="240" w:lineRule="auto" w:before="2"/>
              <w:ind w:left="107" w:right="0"/>
              <w:jc w:val="both"/>
              <w:rPr>
                <w:sz w:val="20"/>
              </w:rPr>
            </w:pPr>
            <w:r>
              <w:rPr>
                <w:sz w:val="20"/>
              </w:rPr>
              <w:t>directors</w:t>
              <w:tab/>
              <w:t>on</w:t>
            </w:r>
          </w:p>
          <w:p>
            <w:pPr>
              <w:pStyle w:val="TableParagraph"/>
              <w:tabs>
                <w:tab w:pos="1490" w:val="left" w:leader="none"/>
              </w:tabs>
              <w:spacing w:line="240" w:lineRule="auto" w:before="0"/>
              <w:ind w:left="107" w:right="0"/>
              <w:jc w:val="both"/>
              <w:rPr>
                <w:sz w:val="20"/>
              </w:rPr>
            </w:pPr>
            <w:r>
              <w:rPr>
                <w:sz w:val="20"/>
              </w:rPr>
              <w:t>corporate</w:t>
              <w:tab/>
              <w:t>tax</w:t>
            </w:r>
          </w:p>
          <w:p>
            <w:pPr>
              <w:pStyle w:val="TableParagraph"/>
              <w:tabs>
                <w:tab w:pos="1579" w:val="left" w:leader="none"/>
              </w:tabs>
              <w:spacing w:line="228" w:lineRule="exact" w:before="0"/>
              <w:ind w:left="107" w:right="97"/>
              <w:jc w:val="both"/>
              <w:rPr>
                <w:sz w:val="20"/>
              </w:rPr>
            </w:pPr>
            <w:r>
              <w:rPr>
                <w:sz w:val="20"/>
              </w:rPr>
              <w:t>avoidance</w:t>
              <w:tab/>
            </w:r>
            <w:r>
              <w:rPr>
                <w:spacing w:val="-3"/>
                <w:sz w:val="20"/>
              </w:rPr>
              <w:t>in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Australia.</w:t>
            </w:r>
          </w:p>
        </w:tc>
        <w:tc>
          <w:tcPr>
            <w:tcW w:w="2540" w:type="dxa"/>
          </w:tcPr>
          <w:p>
            <w:pPr>
              <w:pStyle w:val="TableParagraph"/>
              <w:spacing w:line="240" w:lineRule="auto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Multivariate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regression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analysis was used to test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association</w:t>
            </w:r>
          </w:p>
        </w:tc>
        <w:tc>
          <w:tcPr>
            <w:tcW w:w="3714" w:type="dxa"/>
          </w:tcPr>
          <w:p>
            <w:pPr>
              <w:pStyle w:val="TableParagraph"/>
              <w:spacing w:line="240" w:lineRule="auto" w:before="0"/>
              <w:ind w:left="106" w:right="98"/>
              <w:jc w:val="both"/>
              <w:rPr>
                <w:sz w:val="20"/>
              </w:rPr>
            </w:pPr>
            <w:r>
              <w:rPr>
                <w:sz w:val="20"/>
              </w:rPr>
              <w:t>Findings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from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study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revealed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female presence on the board of directors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reduces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likelihood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aggressiveness. The results are robust after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controlling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self-selection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bias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using</w:t>
            </w:r>
          </w:p>
          <w:p>
            <w:pPr>
              <w:pStyle w:val="TableParagraph"/>
              <w:spacing w:line="228" w:lineRule="exact" w:before="0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several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alternative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measures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tax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aggressiveness.</w:t>
            </w:r>
          </w:p>
        </w:tc>
      </w:tr>
    </w:tbl>
    <w:p>
      <w:pPr>
        <w:spacing w:line="252" w:lineRule="exact" w:before="0"/>
        <w:ind w:left="82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54039552">
            <wp:simplePos x="0" y="0"/>
            <wp:positionH relativeFrom="page">
              <wp:posOffset>1261605</wp:posOffset>
            </wp:positionH>
            <wp:positionV relativeFrom="paragraph">
              <wp:posOffset>740029</wp:posOffset>
            </wp:positionV>
            <wp:extent cx="5133225" cy="5265293"/>
            <wp:effectExtent l="0" t="0" r="0" b="0"/>
            <wp:wrapNone/>
            <wp:docPr id="18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Source: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Researcher’s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Compilation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(2020)</w:t>
      </w:r>
    </w:p>
    <w:p>
      <w:pPr>
        <w:spacing w:after="0" w:line="252" w:lineRule="exact"/>
        <w:jc w:val="left"/>
        <w:rPr>
          <w:sz w:val="22"/>
        </w:rPr>
        <w:sectPr>
          <w:pgSz w:w="11910" w:h="16840"/>
          <w:pgMar w:header="0" w:footer="1402" w:top="1200" w:bottom="1600" w:left="880" w:right="300"/>
        </w:sectPr>
      </w:pPr>
    </w:p>
    <w:p>
      <w:pPr>
        <w:pStyle w:val="Heading1"/>
        <w:spacing w:line="535" w:lineRule="auto"/>
        <w:ind w:left="4321" w:right="4328"/>
        <w:jc w:val="center"/>
      </w:pPr>
      <w:bookmarkStart w:name="_bookmark61" w:id="104"/>
      <w:bookmarkEnd w:id="104"/>
      <w:r>
        <w:rPr>
          <w:b w:val="0"/>
        </w:rPr>
      </w:r>
      <w:r>
        <w:rPr/>
        <w:t>CHAPTER THREE</w:t>
      </w:r>
      <w:r>
        <w:rPr>
          <w:spacing w:val="-57"/>
        </w:rPr>
        <w:t> </w:t>
      </w:r>
      <w:bookmarkStart w:name="_bookmark62" w:id="105"/>
      <w:bookmarkEnd w:id="105"/>
      <w:r>
        <w:rPr/>
        <w:t>M</w:t>
      </w:r>
      <w:r>
        <w:rPr/>
        <w:t>ETHODOLOGY</w:t>
      </w:r>
    </w:p>
    <w:p>
      <w:pPr>
        <w:pStyle w:val="Heading1"/>
        <w:numPr>
          <w:ilvl w:val="1"/>
          <w:numId w:val="25"/>
        </w:numPr>
        <w:tabs>
          <w:tab w:pos="1182" w:val="left" w:leader="none"/>
        </w:tabs>
        <w:spacing w:line="275" w:lineRule="exact" w:before="0" w:after="0"/>
        <w:ind w:left="1182" w:right="0" w:hanging="360"/>
        <w:jc w:val="both"/>
      </w:pPr>
      <w:bookmarkStart w:name="_bookmark63" w:id="106"/>
      <w:bookmarkEnd w:id="106"/>
      <w:r>
        <w:rPr>
          <w:b w:val="0"/>
        </w:rPr>
      </w:r>
      <w:bookmarkStart w:name="_bookmark63" w:id="107"/>
      <w:bookmarkEnd w:id="107"/>
      <w:r>
        <w:rPr/>
        <w:t>In</w:t>
      </w:r>
      <w:r>
        <w:rPr/>
        <w:t>troduction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1"/>
      </w:pPr>
      <w:r>
        <w:rPr/>
        <w:drawing>
          <wp:anchor distT="0" distB="0" distL="0" distR="0" allowOverlap="1" layoutInCell="1" locked="0" behindDoc="1" simplePos="0" relativeHeight="454040064">
            <wp:simplePos x="0" y="0"/>
            <wp:positionH relativeFrom="page">
              <wp:posOffset>1261605</wp:posOffset>
            </wp:positionH>
            <wp:positionV relativeFrom="paragraph">
              <wp:posOffset>608115</wp:posOffset>
            </wp:positionV>
            <wp:extent cx="5133225" cy="5265293"/>
            <wp:effectExtent l="0" t="0" r="0" b="0"/>
            <wp:wrapNone/>
            <wp:docPr id="18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discusses the method and the procedures adopted in carrying out the study. It</w:t>
      </w:r>
      <w:r>
        <w:rPr>
          <w:spacing w:val="1"/>
        </w:rPr>
        <w:t> </w:t>
      </w:r>
      <w:r>
        <w:rPr/>
        <w:t>includes the research design, the population and sample of the study, the method of data</w:t>
      </w:r>
      <w:r>
        <w:rPr>
          <w:spacing w:val="1"/>
        </w:rPr>
        <w:t> </w:t>
      </w:r>
      <w:r>
        <w:rPr/>
        <w:t>collection, the model specification, measurement of the variables and the method of data</w:t>
      </w:r>
      <w:r>
        <w:rPr>
          <w:spacing w:val="1"/>
        </w:rPr>
        <w:t> </w:t>
      </w:r>
      <w:r>
        <w:rPr/>
        <w:t>analysis.</w:t>
      </w:r>
      <w:r>
        <w:rPr>
          <w:spacing w:val="-1"/>
        </w:rPr>
        <w:t> </w:t>
      </w:r>
      <w:r>
        <w:rPr/>
        <w:t>They are</w:t>
      </w:r>
      <w:r>
        <w:rPr>
          <w:spacing w:val="-1"/>
        </w:rPr>
        <w:t> </w:t>
      </w:r>
      <w:r>
        <w:rPr/>
        <w:t>discussed below:</w:t>
      </w:r>
    </w:p>
    <w:p>
      <w:pPr>
        <w:pStyle w:val="Heading1"/>
        <w:numPr>
          <w:ilvl w:val="1"/>
          <w:numId w:val="25"/>
        </w:numPr>
        <w:tabs>
          <w:tab w:pos="1182" w:val="left" w:leader="none"/>
        </w:tabs>
        <w:spacing w:line="240" w:lineRule="auto" w:before="200" w:after="0"/>
        <w:ind w:left="1182" w:right="0" w:hanging="360"/>
        <w:jc w:val="both"/>
      </w:pPr>
      <w:bookmarkStart w:name="_bookmark64" w:id="108"/>
      <w:bookmarkEnd w:id="108"/>
      <w:r>
        <w:rPr>
          <w:b w:val="0"/>
        </w:rPr>
      </w:r>
      <w:bookmarkStart w:name="_bookmark64" w:id="109"/>
      <w:bookmarkEnd w:id="109"/>
      <w:r>
        <w:rPr/>
        <w:t>R</w:t>
      </w:r>
      <w:r>
        <w:rPr/>
        <w:t>esearch</w:t>
      </w:r>
      <w:r>
        <w:rPr>
          <w:spacing w:val="-6"/>
        </w:rPr>
        <w:t> </w:t>
      </w:r>
      <w:r>
        <w:rPr/>
        <w:t>Design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8"/>
      </w:pPr>
      <w:r>
        <w:rPr/>
        <w:t>Nachmias and Nachmias (2009) posited that research design is the logical model of proof that</w:t>
      </w:r>
      <w:r>
        <w:rPr>
          <w:spacing w:val="1"/>
        </w:rPr>
        <w:t> </w:t>
      </w:r>
      <w:r>
        <w:rPr/>
        <w:t>allows the researcher to draw inferences concerning an investigation. As against the cross-</w:t>
      </w:r>
      <w:r>
        <w:rPr>
          <w:spacing w:val="1"/>
        </w:rPr>
        <w:t> </w:t>
      </w:r>
      <w:r>
        <w:rPr/>
        <w:t>sectional or time series design often used, this study utilized the more robust longitudinal data</w:t>
      </w:r>
      <w:r>
        <w:rPr>
          <w:spacing w:val="1"/>
        </w:rPr>
        <w:t> </w:t>
      </w:r>
      <w:r>
        <w:rPr/>
        <w:t>design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seen</w:t>
      </w:r>
      <w:r>
        <w:rPr>
          <w:spacing w:val="-8"/>
        </w:rPr>
        <w:t> </w:t>
      </w:r>
      <w:r>
        <w:rPr/>
        <w:t>as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combination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both</w:t>
      </w:r>
      <w:r>
        <w:rPr>
          <w:spacing w:val="-8"/>
        </w:rPr>
        <w:t> </w:t>
      </w:r>
      <w:r>
        <w:rPr/>
        <w:t>cross-sectional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time-series</w:t>
      </w:r>
      <w:r>
        <w:rPr>
          <w:spacing w:val="-11"/>
        </w:rPr>
        <w:t> </w:t>
      </w:r>
      <w:r>
        <w:rPr/>
        <w:t>design</w:t>
      </w:r>
      <w:r>
        <w:rPr>
          <w:spacing w:val="-10"/>
        </w:rPr>
        <w:t> </w:t>
      </w:r>
      <w:r>
        <w:rPr/>
        <w:t>properties.</w:t>
      </w:r>
      <w:r>
        <w:rPr>
          <w:spacing w:val="-57"/>
        </w:rPr>
        <w:t> </w:t>
      </w:r>
      <w:r>
        <w:rPr/>
        <w:t>The longitudinal design is a method of studying sample units periodically observed over a</w:t>
      </w:r>
      <w:r>
        <w:rPr>
          <w:spacing w:val="1"/>
        </w:rPr>
        <w:t> </w:t>
      </w:r>
      <w:r>
        <w:rPr/>
        <w:t>defined time frame. Within the social and management sciences, longitudinal design approach</w:t>
      </w:r>
      <w:r>
        <w:rPr>
          <w:spacing w:val="-57"/>
        </w:rPr>
        <w:t> </w:t>
      </w:r>
      <w:r>
        <w:rPr/>
        <w:t>has enabled researchers to undertake longitudinal analyses in a large variety of fields thus</w:t>
      </w:r>
      <w:r>
        <w:rPr>
          <w:spacing w:val="1"/>
        </w:rPr>
        <w:t> </w:t>
      </w:r>
      <w:r>
        <w:rPr/>
        <w:t>enabling repeated observations of enough cross-sections. Its analysis permits the researcher to</w:t>
      </w:r>
      <w:r>
        <w:rPr>
          <w:spacing w:val="-57"/>
        </w:rPr>
        <w:t> </w:t>
      </w:r>
      <w:r>
        <w:rPr/>
        <w:t>study</w:t>
      </w:r>
      <w:r>
        <w:rPr>
          <w:spacing w:val="-1"/>
        </w:rPr>
        <w:t> </w:t>
      </w:r>
      <w:r>
        <w:rPr/>
        <w:t>the dynamics of change</w:t>
      </w:r>
      <w:r>
        <w:rPr>
          <w:spacing w:val="-1"/>
        </w:rPr>
        <w:t> </w:t>
      </w:r>
      <w:r>
        <w:rPr/>
        <w:t>within a</w:t>
      </w:r>
      <w:r>
        <w:rPr>
          <w:spacing w:val="-1"/>
        </w:rPr>
        <w:t> </w:t>
      </w:r>
      <w:r>
        <w:rPr/>
        <w:t>short time.</w:t>
      </w:r>
    </w:p>
    <w:p>
      <w:pPr>
        <w:pStyle w:val="Heading1"/>
        <w:numPr>
          <w:ilvl w:val="1"/>
          <w:numId w:val="25"/>
        </w:numPr>
        <w:tabs>
          <w:tab w:pos="1182" w:val="left" w:leader="none"/>
        </w:tabs>
        <w:spacing w:line="240" w:lineRule="auto" w:before="200" w:after="0"/>
        <w:ind w:left="1182" w:right="0" w:hanging="360"/>
        <w:jc w:val="both"/>
      </w:pPr>
      <w:bookmarkStart w:name="_bookmark65" w:id="110"/>
      <w:bookmarkEnd w:id="110"/>
      <w:r>
        <w:rPr>
          <w:b w:val="0"/>
        </w:rPr>
      </w:r>
      <w:bookmarkStart w:name="_bookmark65" w:id="111"/>
      <w:bookmarkEnd w:id="111"/>
      <w:r>
        <w:rPr/>
        <w:t>Pop</w:t>
      </w:r>
      <w:r>
        <w:rPr/>
        <w:t>ulation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0"/>
      </w:pPr>
      <w:r>
        <w:rPr/>
        <w:t>The population consisted of all non-financial companies quoted on the Nigerian Exchange</w:t>
      </w:r>
      <w:r>
        <w:rPr>
          <w:spacing w:val="1"/>
        </w:rPr>
        <w:t> </w:t>
      </w:r>
      <w:r>
        <w:rPr/>
        <w:t>Group (NEX) as at December 31, 2020. As at the study period, there were 115 quoted non-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companies in the Nigerian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Group (NEX, 2020).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ind w:left="822"/>
      </w:pPr>
      <w:bookmarkStart w:name="_bookmark66" w:id="112"/>
      <w:bookmarkEnd w:id="112"/>
      <w:r>
        <w:rPr>
          <w:b w:val="0"/>
        </w:rPr>
      </w:r>
      <w:r>
        <w:rPr/>
        <w:t>3.4.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r>
        <w:rPr/>
        <w:t>Technique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5"/>
      </w:pPr>
      <w:r>
        <w:rPr/>
        <w:drawing>
          <wp:anchor distT="0" distB="0" distL="0" distR="0" allowOverlap="1" layoutInCell="1" locked="0" behindDoc="1" simplePos="0" relativeHeight="454040576">
            <wp:simplePos x="0" y="0"/>
            <wp:positionH relativeFrom="page">
              <wp:posOffset>1261605</wp:posOffset>
            </wp:positionH>
            <wp:positionV relativeFrom="paragraph">
              <wp:posOffset>1388403</wp:posOffset>
            </wp:positionV>
            <wp:extent cx="5133225" cy="5265293"/>
            <wp:effectExtent l="0" t="0" r="0" b="0"/>
            <wp:wrapNone/>
            <wp:docPr id="19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For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heterogeneous</w:t>
      </w:r>
      <w:r>
        <w:rPr>
          <w:spacing w:val="-4"/>
        </w:rPr>
        <w:t> </w:t>
      </w:r>
      <w:r>
        <w:rPr/>
        <w:t>population,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sta</w:t>
      </w:r>
      <w:r>
        <w:rPr>
          <w:spacing w:val="-5"/>
        </w:rPr>
        <w:t> </w:t>
      </w:r>
      <w:r>
        <w:rPr/>
        <w:t>tistical</w:t>
      </w:r>
      <w:r>
        <w:rPr>
          <w:spacing w:val="-2"/>
        </w:rPr>
        <w:t> </w:t>
      </w:r>
      <w:r>
        <w:rPr/>
        <w:t>formula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determining</w:t>
      </w:r>
      <w:r>
        <w:rPr>
          <w:spacing w:val="-5"/>
        </w:rPr>
        <w:t> </w:t>
      </w:r>
      <w:r>
        <w:rPr/>
        <w:t>sample</w:t>
      </w:r>
      <w:r>
        <w:rPr>
          <w:spacing w:val="-6"/>
        </w:rPr>
        <w:t> </w:t>
      </w:r>
      <w:r>
        <w:rPr/>
        <w:t>size</w:t>
      </w:r>
      <w:r>
        <w:rPr>
          <w:spacing w:val="-4"/>
        </w:rPr>
        <w:t> </w:t>
      </w:r>
      <w:r>
        <w:rPr/>
        <w:t>was</w:t>
      </w:r>
      <w:r>
        <w:rPr>
          <w:spacing w:val="-6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 the sample size with 5% being used as the limit of tolerable error. The sample size</w:t>
      </w:r>
      <w:r>
        <w:rPr>
          <w:spacing w:val="1"/>
        </w:rPr>
        <w:t> </w:t>
      </w:r>
      <w:r>
        <w:rPr/>
        <w:t>according to Okeke (1995) can be determined by using Yaro Yamani formular which states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before="201"/>
        <w:ind w:left="1542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 / 1 +</w:t>
      </w:r>
      <w:r>
        <w:rPr>
          <w:spacing w:val="-1"/>
        </w:rPr>
        <w:t> </w:t>
      </w:r>
      <w:r>
        <w:rPr/>
        <w:t>N (e)</w:t>
      </w:r>
      <w:r>
        <w:rPr>
          <w:vertAlign w:val="superscript"/>
        </w:rPr>
        <w:t>2</w:t>
      </w:r>
    </w:p>
    <w:p>
      <w:pPr>
        <w:pStyle w:val="BodyText"/>
        <w:spacing w:before="5"/>
        <w:ind w:left="0"/>
        <w:jc w:val="left"/>
        <w:rPr>
          <w:sz w:val="41"/>
        </w:rPr>
      </w:pPr>
    </w:p>
    <w:p>
      <w:pPr>
        <w:pStyle w:val="BodyText"/>
        <w:ind w:left="1542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76"/>
        <w:ind w:left="1542"/>
        <w:jc w:val="left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Population 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655" w:lineRule="auto" w:before="176"/>
        <w:ind w:left="1542" w:right="4488"/>
        <w:jc w:val="left"/>
      </w:pPr>
      <w:r>
        <w:rPr/>
        <w:t>e = Co-efficient of confidence or margin of error</w:t>
      </w:r>
      <w:r>
        <w:rPr>
          <w:spacing w:val="-57"/>
        </w:rPr>
        <w:t> </w:t>
      </w:r>
      <w:r>
        <w:rPr/>
        <w:t>Therefore,</w:t>
      </w:r>
      <w:r>
        <w:rPr>
          <w:spacing w:val="-1"/>
        </w:rPr>
        <w:t> </w:t>
      </w:r>
      <w:r>
        <w:rPr/>
        <w:t>using n =</w:t>
      </w:r>
      <w:r>
        <w:rPr>
          <w:spacing w:val="1"/>
        </w:rPr>
        <w:t> </w:t>
      </w:r>
      <w:r>
        <w:rPr/>
        <w:t>N / 1 +</w:t>
      </w:r>
      <w:r>
        <w:rPr>
          <w:spacing w:val="-2"/>
        </w:rPr>
        <w:t> </w:t>
      </w:r>
      <w:r>
        <w:rPr/>
        <w:t>N (e)</w:t>
      </w:r>
      <w:r>
        <w:rPr>
          <w:vertAlign w:val="superscript"/>
        </w:rPr>
        <w:t>2</w:t>
      </w:r>
    </w:p>
    <w:p>
      <w:pPr>
        <w:pStyle w:val="BodyText"/>
        <w:spacing w:line="655" w:lineRule="auto"/>
        <w:ind w:left="1542" w:right="6990"/>
        <w:jc w:val="left"/>
      </w:pPr>
      <w:r>
        <w:rPr/>
        <w:t>n= 115/1+115(0.05)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n= 115/1+115(0.0025)</w:t>
      </w:r>
      <w:r>
        <w:rPr>
          <w:spacing w:val="-57"/>
          <w:vertAlign w:val="baseline"/>
        </w:rPr>
        <w:t> </w:t>
      </w:r>
      <w:r>
        <w:rPr>
          <w:vertAlign w:val="baseline"/>
        </w:rPr>
        <w:t>n=</w:t>
      </w:r>
      <w:r>
        <w:rPr>
          <w:spacing w:val="-1"/>
          <w:vertAlign w:val="baseline"/>
        </w:rPr>
        <w:t> </w:t>
      </w:r>
      <w:r>
        <w:rPr>
          <w:vertAlign w:val="baseline"/>
        </w:rPr>
        <w:t>115/1+0.2875</w:t>
      </w:r>
    </w:p>
    <w:p>
      <w:pPr>
        <w:pStyle w:val="BodyText"/>
        <w:spacing w:line="272" w:lineRule="exact"/>
        <w:ind w:left="1542"/>
        <w:jc w:val="left"/>
      </w:pPr>
      <w:r>
        <w:rPr/>
        <w:t>n=</w:t>
      </w:r>
      <w:r>
        <w:rPr>
          <w:spacing w:val="-1"/>
        </w:rPr>
        <w:t> </w:t>
      </w:r>
      <w:r>
        <w:rPr/>
        <w:t>115/1.2875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174"/>
        <w:ind w:left="1542"/>
        <w:jc w:val="left"/>
      </w:pPr>
      <w:r>
        <w:rPr/>
        <w:t>Therefore,</w:t>
      </w:r>
      <w:r>
        <w:rPr>
          <w:spacing w:val="-1"/>
        </w:rPr>
        <w:t> </w:t>
      </w: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89</w:t>
      </w:r>
      <w:r>
        <w:rPr>
          <w:spacing w:val="-1"/>
        </w:rPr>
        <w:t> </w:t>
      </w:r>
      <w:r>
        <w:rPr/>
        <w:t>companies.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480" w:lineRule="auto" w:before="180"/>
        <w:ind w:right="835"/>
      </w:pPr>
      <w:r>
        <w:rPr/>
        <w:t>However, after filtering the firms with incomplete records for the period and those delisted</w:t>
      </w:r>
      <w:r>
        <w:rPr>
          <w:spacing w:val="1"/>
        </w:rPr>
        <w:t> </w:t>
      </w:r>
      <w:r>
        <w:rPr/>
        <w:t>along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line, a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of 80 firms was then</w:t>
      </w:r>
      <w:r>
        <w:rPr>
          <w:spacing w:val="-1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the analysis.</w:t>
      </w:r>
    </w:p>
    <w:p>
      <w:pPr>
        <w:pStyle w:val="Heading1"/>
        <w:spacing w:before="199"/>
        <w:ind w:left="822"/>
      </w:pPr>
      <w:bookmarkStart w:name="_bookmark67" w:id="113"/>
      <w:bookmarkEnd w:id="113"/>
      <w:r>
        <w:rPr>
          <w:b w:val="0"/>
        </w:rPr>
      </w:r>
      <w:r>
        <w:rPr/>
        <w:t>3.5</w:t>
      </w:r>
      <w:r>
        <w:rPr>
          <w:spacing w:val="-3"/>
        </w:rPr>
        <w:t> </w:t>
      </w:r>
      <w:r>
        <w:rPr/>
        <w:t>Method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Collection</w:t>
      </w:r>
    </w:p>
    <w:p>
      <w:pPr>
        <w:pStyle w:val="BodyText"/>
        <w:spacing w:line="550" w:lineRule="atLeast" w:before="64"/>
        <w:ind w:right="829"/>
      </w:pPr>
      <w:r>
        <w:rPr/>
        <w:t>In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study,</w:t>
      </w:r>
      <w:r>
        <w:rPr>
          <w:spacing w:val="-3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data,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way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annual</w:t>
      </w:r>
      <w:r>
        <w:rPr>
          <w:spacing w:val="-2"/>
        </w:rPr>
        <w:t> </w:t>
      </w:r>
      <w:r>
        <w:rPr/>
        <w:t>reports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accounts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sampled</w:t>
      </w:r>
      <w:r>
        <w:rPr>
          <w:spacing w:val="-3"/>
        </w:rPr>
        <w:t> </w:t>
      </w:r>
      <w:r>
        <w:rPr/>
        <w:t>companies</w:t>
      </w:r>
      <w:r>
        <w:rPr>
          <w:spacing w:val="-58"/>
        </w:rPr>
        <w:t> </w:t>
      </w:r>
      <w:r>
        <w:rPr/>
        <w:t>in Nigeria and some relevant NSE fact books were used to collect data for 2005-2019. Annual</w:t>
      </w:r>
      <w:r>
        <w:rPr>
          <w:spacing w:val="-57"/>
        </w:rPr>
        <w:t> </w:t>
      </w:r>
      <w:r>
        <w:rPr/>
        <w:t>report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accounts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9"/>
        </w:rPr>
        <w:t> </w:t>
      </w:r>
      <w:r>
        <w:rPr/>
        <w:t>company</w:t>
      </w:r>
      <w:r>
        <w:rPr>
          <w:spacing w:val="17"/>
        </w:rPr>
        <w:t> </w:t>
      </w:r>
      <w:r>
        <w:rPr/>
        <w:t>remain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regularly</w:t>
      </w:r>
      <w:r>
        <w:rPr>
          <w:spacing w:val="18"/>
        </w:rPr>
        <w:t> </w:t>
      </w:r>
      <w:r>
        <w:rPr/>
        <w:t>produced</w:t>
      </w:r>
      <w:r>
        <w:rPr>
          <w:spacing w:val="17"/>
        </w:rPr>
        <w:t> </w:t>
      </w:r>
      <w:r>
        <w:rPr/>
        <w:t>statutory</w:t>
      </w:r>
      <w:r>
        <w:rPr>
          <w:spacing w:val="20"/>
        </w:rPr>
        <w:t> </w:t>
      </w:r>
      <w:r>
        <w:rPr/>
        <w:t>document</w:t>
      </w:r>
      <w:r>
        <w:rPr>
          <w:spacing w:val="17"/>
        </w:rPr>
        <w:t> </w:t>
      </w:r>
      <w:r>
        <w:rPr/>
        <w:t>(CAMA,</w:t>
      </w:r>
    </w:p>
    <w:p>
      <w:pPr>
        <w:spacing w:after="0" w:line="550" w:lineRule="atLeas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t>2019)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evokes</w:t>
      </w:r>
      <w:r>
        <w:rPr>
          <w:spacing w:val="-1"/>
        </w:rPr>
        <w:t> </w:t>
      </w:r>
      <w:r>
        <w:rPr/>
        <w:t>an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valid</w:t>
      </w:r>
      <w:r>
        <w:rPr>
          <w:spacing w:val="-4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company</w:t>
      </w:r>
      <w:r>
        <w:rPr>
          <w:spacing w:val="-3"/>
        </w:rPr>
        <w:t> </w:t>
      </w:r>
      <w:r>
        <w:rPr/>
        <w:t>social</w:t>
      </w:r>
      <w:r>
        <w:rPr>
          <w:spacing w:val="-4"/>
        </w:rPr>
        <w:t> </w:t>
      </w:r>
      <w:r>
        <w:rPr/>
        <w:t>imagery.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usually</w:t>
      </w:r>
      <w:r>
        <w:rPr>
          <w:spacing w:val="-58"/>
        </w:rPr>
        <w:t> </w:t>
      </w:r>
      <w:r>
        <w:rPr/>
        <w:t>regarded as a statutory document, produced regularly. It is also said to be credible and reliable</w:t>
      </w:r>
      <w:r>
        <w:rPr>
          <w:spacing w:val="-57"/>
        </w:rPr>
        <w:t> </w:t>
      </w:r>
      <w:r>
        <w:rPr/>
        <w:t>because</w:t>
      </w:r>
      <w:r>
        <w:rPr>
          <w:spacing w:val="-2"/>
        </w:rPr>
        <w:t> </w:t>
      </w:r>
      <w:r>
        <w:rPr/>
        <w:t>it is usually audited</w:t>
      </w:r>
      <w:r>
        <w:rPr>
          <w:spacing w:val="-1"/>
        </w:rPr>
        <w:t> </w:t>
      </w:r>
      <w:r>
        <w:rPr/>
        <w:t>in line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“Section 360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CAMA</w:t>
      </w:r>
      <w:r>
        <w:rPr>
          <w:spacing w:val="-1"/>
        </w:rPr>
        <w:t> </w:t>
      </w:r>
      <w:r>
        <w:rPr/>
        <w:t>(2019)”.</w:t>
      </w:r>
    </w:p>
    <w:p>
      <w:pPr>
        <w:pStyle w:val="Heading1"/>
        <w:numPr>
          <w:ilvl w:val="1"/>
          <w:numId w:val="26"/>
        </w:numPr>
        <w:tabs>
          <w:tab w:pos="1242" w:val="left" w:leader="none"/>
        </w:tabs>
        <w:spacing w:line="240" w:lineRule="auto" w:before="202" w:after="0"/>
        <w:ind w:left="1242" w:right="0" w:hanging="420"/>
        <w:jc w:val="both"/>
      </w:pPr>
      <w:bookmarkStart w:name="_bookmark68" w:id="114"/>
      <w:bookmarkEnd w:id="114"/>
      <w:r>
        <w:rPr>
          <w:b w:val="0"/>
        </w:rPr>
      </w:r>
      <w:bookmarkStart w:name="_bookmark68" w:id="115"/>
      <w:bookmarkEnd w:id="115"/>
      <w:r>
        <w:rPr/>
        <w:t>M</w:t>
      </w:r>
      <w:r>
        <w:rPr/>
        <w:t>ethod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0"/>
      </w:pPr>
      <w:r>
        <w:rPr/>
        <w:drawing>
          <wp:anchor distT="0" distB="0" distL="0" distR="0" allowOverlap="1" layoutInCell="1" locked="0" behindDoc="1" simplePos="0" relativeHeight="454041088">
            <wp:simplePos x="0" y="0"/>
            <wp:positionH relativeFrom="page">
              <wp:posOffset>1261605</wp:posOffset>
            </wp:positionH>
            <wp:positionV relativeFrom="paragraph">
              <wp:posOffset>208192</wp:posOffset>
            </wp:positionV>
            <wp:extent cx="5133225" cy="5265293"/>
            <wp:effectExtent l="0" t="0" r="0" b="0"/>
            <wp:wrapNone/>
            <wp:docPr id="19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effect of corporate governance structure on tax aggressiveness was analyzed using panel</w:t>
      </w:r>
      <w:r>
        <w:rPr>
          <w:spacing w:val="1"/>
        </w:rPr>
        <w:t> </w:t>
      </w:r>
      <w:r>
        <w:rPr/>
        <w:t>regression and the threshold regression analysis. Panel data regression was chosen because of</w:t>
      </w:r>
      <w:r>
        <w:rPr>
          <w:spacing w:val="1"/>
        </w:rPr>
        <w:t> </w:t>
      </w:r>
      <w:r>
        <w:rPr/>
        <w:t>the multidimensional nature of the data which had both time or periodic dimension and cross-</w:t>
      </w:r>
      <w:r>
        <w:rPr>
          <w:spacing w:val="1"/>
        </w:rPr>
        <w:t> </w:t>
      </w:r>
      <w:r>
        <w:rPr/>
        <w:t>sectional dimension. In addition, the technique has other advantages and strengths such as its</w:t>
      </w:r>
      <w:r>
        <w:rPr>
          <w:spacing w:val="1"/>
        </w:rPr>
        <w:t> </w:t>
      </w:r>
      <w:r>
        <w:rPr/>
        <w:t>ability to incorporate and account for individual-specific heterogeneity, provide more data</w:t>
      </w:r>
      <w:r>
        <w:rPr>
          <w:spacing w:val="1"/>
        </w:rPr>
        <w:t> </w:t>
      </w:r>
      <w:r>
        <w:rPr/>
        <w:t>variation and degrees of freedom, and also ensure the presence of minimal less collinearity.</w:t>
      </w:r>
      <w:r>
        <w:rPr>
          <w:spacing w:val="1"/>
        </w:rPr>
        <w:t> </w:t>
      </w:r>
      <w:r>
        <w:rPr/>
        <w:t>Furthermore,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panel</w:t>
      </w:r>
      <w:r>
        <w:rPr>
          <w:spacing w:val="-6"/>
        </w:rPr>
        <w:t> </w:t>
      </w:r>
      <w:r>
        <w:rPr/>
        <w:t>regression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also</w:t>
      </w:r>
      <w:r>
        <w:rPr>
          <w:spacing w:val="-8"/>
        </w:rPr>
        <w:t> </w:t>
      </w:r>
      <w:r>
        <w:rPr/>
        <w:t>able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detect</w:t>
      </w:r>
      <w:r>
        <w:rPr>
          <w:spacing w:val="-8"/>
        </w:rPr>
        <w:t> </w:t>
      </w:r>
      <w:r>
        <w:rPr/>
        <w:t>those</w:t>
      </w:r>
      <w:r>
        <w:rPr>
          <w:spacing w:val="-9"/>
        </w:rPr>
        <w:t> </w:t>
      </w:r>
      <w:r>
        <w:rPr/>
        <w:t>unobserved</w:t>
      </w:r>
      <w:r>
        <w:rPr>
          <w:spacing w:val="-6"/>
        </w:rPr>
        <w:t> </w:t>
      </w:r>
      <w:r>
        <w:rPr/>
        <w:t>effects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either</w:t>
      </w:r>
      <w:r>
        <w:rPr>
          <w:spacing w:val="-7"/>
        </w:rPr>
        <w:t> </w:t>
      </w:r>
      <w:r>
        <w:rPr/>
        <w:t>cross-</w:t>
      </w:r>
      <w:r>
        <w:rPr>
          <w:spacing w:val="-58"/>
        </w:rPr>
        <w:t> </w:t>
      </w:r>
      <w:r>
        <w:rPr/>
        <w:t>section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time-series</w:t>
      </w:r>
      <w:r>
        <w:rPr>
          <w:spacing w:val="-4"/>
        </w:rPr>
        <w:t> </w:t>
      </w:r>
      <w:r>
        <w:rPr/>
        <w:t>data.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post-estimation</w:t>
      </w:r>
      <w:r>
        <w:rPr>
          <w:spacing w:val="-3"/>
        </w:rPr>
        <w:t> </w:t>
      </w:r>
      <w:r>
        <w:rPr/>
        <w:t>diagnostics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also</w:t>
      </w:r>
      <w:r>
        <w:rPr>
          <w:spacing w:val="-3"/>
        </w:rPr>
        <w:t> </w:t>
      </w:r>
      <w:r>
        <w:rPr/>
        <w:t>examined.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threshold</w:t>
      </w:r>
      <w:r>
        <w:rPr>
          <w:spacing w:val="-58"/>
        </w:rPr>
        <w:t> </w:t>
      </w:r>
      <w:r>
        <w:rPr/>
        <w:t>theory was proposed by Hansen (1999) and the assumption that corporate governance had</w:t>
      </w:r>
      <w:r>
        <w:rPr>
          <w:spacing w:val="1"/>
        </w:rPr>
        <w:t> </w:t>
      </w:r>
      <w:r>
        <w:rPr/>
        <w:t>asymmetric</w:t>
      </w:r>
      <w:r>
        <w:rPr>
          <w:spacing w:val="16"/>
        </w:rPr>
        <w:t> </w:t>
      </w:r>
      <w:r>
        <w:rPr/>
        <w:t>nonlinear</w:t>
      </w:r>
      <w:r>
        <w:rPr>
          <w:spacing w:val="17"/>
        </w:rPr>
        <w:t> </w:t>
      </w:r>
      <w:r>
        <w:rPr/>
        <w:t>relationship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made.</w:t>
      </w:r>
      <w:r>
        <w:rPr>
          <w:spacing w:val="20"/>
        </w:rPr>
        <w:t> </w:t>
      </w:r>
      <w:r>
        <w:rPr/>
        <w:t>The</w:t>
      </w:r>
      <w:r>
        <w:rPr>
          <w:spacing w:val="16"/>
        </w:rPr>
        <w:t> </w:t>
      </w:r>
      <w:r>
        <w:rPr/>
        <w:t>observations</w:t>
      </w:r>
      <w:r>
        <w:rPr>
          <w:spacing w:val="17"/>
        </w:rPr>
        <w:t> </w:t>
      </w:r>
      <w:r>
        <w:rPr/>
        <w:t>are</w:t>
      </w:r>
      <w:r>
        <w:rPr>
          <w:spacing w:val="16"/>
        </w:rPr>
        <w:t> </w:t>
      </w:r>
      <w:r>
        <w:rPr/>
        <w:t>divided</w:t>
      </w:r>
      <w:r>
        <w:rPr>
          <w:spacing w:val="17"/>
        </w:rPr>
        <w:t> </w:t>
      </w:r>
      <w:r>
        <w:rPr/>
        <w:t>into</w:t>
      </w:r>
      <w:r>
        <w:rPr>
          <w:spacing w:val="17"/>
        </w:rPr>
        <w:t> </w:t>
      </w:r>
      <w:r>
        <w:rPr/>
        <w:t>two</w:t>
      </w:r>
      <w:r>
        <w:rPr>
          <w:spacing w:val="18"/>
        </w:rPr>
        <w:t> </w:t>
      </w:r>
      <w:r>
        <w:rPr/>
        <w:t>“regimes”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16"/>
        <w:jc w:val="left"/>
        <w:rPr>
          <w:i/>
          <w:sz w:val="14"/>
        </w:rPr>
      </w:pPr>
      <w:r>
        <w:rPr/>
        <w:t>depending on whether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threshold variable</w:t>
      </w:r>
      <w:r>
        <w:rPr>
          <w:spacing w:val="40"/>
        </w:rPr>
        <w:t> </w:t>
      </w:r>
      <w:r>
        <w:rPr>
          <w:i/>
          <w:position w:val="12"/>
        </w:rPr>
        <w:t>d</w:t>
      </w:r>
      <w:r>
        <w:rPr>
          <w:i/>
          <w:position w:val="6"/>
          <w:sz w:val="14"/>
        </w:rPr>
        <w:t>it</w:t>
      </w:r>
    </w:p>
    <w:p>
      <w:pPr>
        <w:pStyle w:val="BodyText"/>
        <w:spacing w:before="136"/>
        <w:ind w:left="64"/>
        <w:jc w:val="left"/>
      </w:pPr>
      <w:r>
        <w:rPr/>
        <w:br w:type="column"/>
      </w:r>
      <w:r>
        <w:rPr/>
        <w:t>was</w:t>
      </w:r>
      <w:r>
        <w:rPr>
          <w:spacing w:val="-2"/>
        </w:rPr>
        <w:t> </w:t>
      </w:r>
      <w:r>
        <w:rPr/>
        <w:t>smaller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larger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the threshold</w:t>
      </w:r>
      <w:r>
        <w:rPr>
          <w:spacing w:val="-2"/>
        </w:rPr>
        <w:t> </w:t>
      </w:r>
      <w:r>
        <w:rPr/>
        <w:t>value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  <w:cols w:num="2" w:equalWidth="0">
            <w:col w:w="5413" w:space="40"/>
            <w:col w:w="5277"/>
          </w:cols>
        </w:sectPr>
      </w:pPr>
    </w:p>
    <w:p>
      <w:pPr>
        <w:pStyle w:val="BodyText"/>
        <w:spacing w:before="1"/>
        <w:ind w:left="0"/>
        <w:jc w:val="left"/>
        <w:rPr>
          <w:sz w:val="14"/>
        </w:rPr>
      </w:pPr>
    </w:p>
    <w:p>
      <w:pPr>
        <w:pStyle w:val="BodyText"/>
        <w:spacing w:before="105"/>
        <w:jc w:val="left"/>
      </w:pPr>
      <w:r>
        <w:rPr>
          <w:spacing w:val="-1"/>
        </w:rPr>
        <w:t>(</w:t>
      </w:r>
      <w:r>
        <w:rPr>
          <w:spacing w:val="-39"/>
        </w:rPr>
        <w:t> </w:t>
      </w:r>
      <w:r>
        <w:rPr>
          <w:rFonts w:ascii="Symbol" w:hAnsi="Symbol"/>
          <w:spacing w:val="-1"/>
          <w:position w:val="10"/>
          <w:sz w:val="25"/>
        </w:rPr>
        <w:t></w:t>
      </w:r>
      <w:r>
        <w:rPr>
          <w:spacing w:val="16"/>
          <w:position w:val="10"/>
          <w:sz w:val="25"/>
        </w:rPr>
        <w:t> </w:t>
      </w:r>
      <w:r>
        <w:rPr/>
        <w:t>).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regimes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distinguished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differing</w:t>
      </w:r>
      <w:r>
        <w:rPr>
          <w:spacing w:val="13"/>
        </w:rPr>
        <w:t> </w:t>
      </w:r>
      <w:r>
        <w:rPr/>
        <w:t>regression</w:t>
      </w:r>
      <w:r>
        <w:rPr>
          <w:spacing w:val="14"/>
        </w:rPr>
        <w:t> </w:t>
      </w:r>
      <w:r>
        <w:rPr/>
        <w:t>slopes,</w:t>
      </w:r>
      <w:r>
        <w:rPr>
          <w:spacing w:val="36"/>
        </w:rPr>
        <w:t> </w:t>
      </w:r>
      <w:r>
        <w:rPr>
          <w:rFonts w:ascii="Symbol" w:hAnsi="Symbol"/>
          <w:position w:val="10"/>
          <w:sz w:val="25"/>
        </w:rPr>
        <w:t></w:t>
      </w:r>
      <w:r>
        <w:rPr>
          <w:position w:val="4"/>
          <w:sz w:val="14"/>
        </w:rPr>
        <w:t>1</w:t>
      </w:r>
      <w:r>
        <w:rPr>
          <w:spacing w:val="2"/>
          <w:position w:val="4"/>
          <w:sz w:val="14"/>
        </w:rPr>
        <w:t> </w:t>
      </w:r>
      <w:r>
        <w:rPr/>
        <w:t>and</w:t>
      </w:r>
      <w:r>
        <w:rPr>
          <w:rFonts w:ascii="Symbol" w:hAnsi="Symbol"/>
          <w:position w:val="10"/>
          <w:sz w:val="25"/>
        </w:rPr>
        <w:t></w:t>
      </w:r>
      <w:r>
        <w:rPr>
          <w:spacing w:val="-41"/>
          <w:position w:val="10"/>
          <w:sz w:val="25"/>
        </w:rPr>
        <w:t> </w:t>
      </w:r>
      <w:r>
        <w:rPr>
          <w:position w:val="4"/>
          <w:sz w:val="14"/>
        </w:rPr>
        <w:t>2</w:t>
      </w:r>
      <w:r>
        <w:rPr>
          <w:spacing w:val="6"/>
          <w:position w:val="4"/>
          <w:sz w:val="14"/>
        </w:rPr>
        <w:t> </w:t>
      </w:r>
      <w:r>
        <w:rPr/>
        <w:t>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5"/>
        </w:rPr>
        <w:t> </w:t>
      </w:r>
      <w:r>
        <w:rPr/>
        <w:t>used</w:t>
      </w:r>
    </w:p>
    <w:p>
      <w:pPr>
        <w:pStyle w:val="BodyText"/>
        <w:spacing w:before="7"/>
        <w:ind w:left="0"/>
        <w:jc w:val="left"/>
        <w:rPr>
          <w:sz w:val="15"/>
        </w:rPr>
      </w:pPr>
    </w:p>
    <w:p>
      <w:pPr>
        <w:spacing w:after="0"/>
        <w:jc w:val="left"/>
        <w:rPr>
          <w:sz w:val="15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spacing w:before="110"/>
        <w:ind w:left="822" w:right="0" w:firstLine="0"/>
        <w:jc w:val="left"/>
        <w:rPr>
          <w:i/>
          <w:sz w:val="14"/>
        </w:rPr>
      </w:pPr>
      <w:r>
        <w:rPr>
          <w:sz w:val="24"/>
        </w:rPr>
        <w:t>known</w:t>
      </w:r>
      <w:r>
        <w:rPr>
          <w:spacing w:val="22"/>
          <w:sz w:val="24"/>
        </w:rPr>
        <w:t> </w:t>
      </w:r>
      <w:r>
        <w:rPr>
          <w:i/>
          <w:position w:val="12"/>
          <w:sz w:val="24"/>
        </w:rPr>
        <w:t>v</w:t>
      </w:r>
      <w:r>
        <w:rPr>
          <w:i/>
          <w:position w:val="6"/>
          <w:sz w:val="14"/>
        </w:rPr>
        <w:t>it</w:t>
      </w:r>
    </w:p>
    <w:p>
      <w:pPr>
        <w:spacing w:before="110"/>
        <w:ind w:left="73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i/>
          <w:position w:val="12"/>
          <w:sz w:val="24"/>
        </w:rPr>
        <w:t>d</w:t>
      </w:r>
      <w:r>
        <w:rPr>
          <w:i/>
          <w:position w:val="6"/>
          <w:sz w:val="14"/>
        </w:rPr>
        <w:t>it</w:t>
      </w:r>
    </w:p>
    <w:p>
      <w:pPr>
        <w:spacing w:before="103"/>
        <w:ind w:left="64" w:right="0" w:firstLine="0"/>
        <w:jc w:val="left"/>
        <w:rPr>
          <w:sz w:val="24"/>
        </w:rPr>
      </w:pPr>
      <w:r>
        <w:rPr/>
        <w:br w:type="column"/>
      </w:r>
      <w:r>
        <w:rPr>
          <w:w w:val="95"/>
          <w:sz w:val="24"/>
        </w:rPr>
        <w:t>to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estimate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the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parameters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spacing w:val="-31"/>
          <w:w w:val="95"/>
          <w:sz w:val="24"/>
        </w:rPr>
        <w:t> </w:t>
      </w:r>
      <w:r>
        <w:rPr>
          <w:rFonts w:ascii="Symbol" w:hAnsi="Symbol"/>
          <w:w w:val="95"/>
          <w:position w:val="10"/>
          <w:sz w:val="25"/>
        </w:rPr>
        <w:t></w:t>
      </w:r>
      <w:r>
        <w:rPr>
          <w:spacing w:val="35"/>
          <w:w w:val="95"/>
          <w:position w:val="10"/>
          <w:sz w:val="25"/>
        </w:rPr>
        <w:t> </w:t>
      </w:r>
      <w:r>
        <w:rPr>
          <w:w w:val="95"/>
          <w:sz w:val="24"/>
        </w:rPr>
        <w:t>,</w:t>
      </w:r>
      <w:r>
        <w:rPr>
          <w:spacing w:val="31"/>
          <w:w w:val="95"/>
          <w:sz w:val="24"/>
        </w:rPr>
        <w:t> </w:t>
      </w:r>
      <w:r>
        <w:rPr>
          <w:rFonts w:ascii="Symbol" w:hAnsi="Symbol"/>
          <w:w w:val="95"/>
          <w:position w:val="6"/>
          <w:sz w:val="25"/>
        </w:rPr>
        <w:t></w:t>
      </w:r>
      <w:r>
        <w:rPr>
          <w:spacing w:val="7"/>
          <w:w w:val="95"/>
          <w:position w:val="6"/>
          <w:sz w:val="25"/>
        </w:rPr>
        <w:t> </w:t>
      </w:r>
      <w:r>
        <w:rPr>
          <w:w w:val="95"/>
          <w:sz w:val="24"/>
        </w:rPr>
        <w:t>,</w:t>
      </w:r>
      <w:r>
        <w:rPr>
          <w:spacing w:val="29"/>
          <w:w w:val="95"/>
          <w:sz w:val="24"/>
        </w:rPr>
        <w:t> </w:t>
      </w:r>
      <w:r>
        <w:rPr>
          <w:rFonts w:ascii="Symbol" w:hAnsi="Symbol"/>
          <w:w w:val="95"/>
          <w:position w:val="6"/>
          <w:sz w:val="25"/>
        </w:rPr>
        <w:t></w:t>
      </w:r>
      <w:r>
        <w:rPr>
          <w:spacing w:val="37"/>
          <w:w w:val="95"/>
          <w:position w:val="6"/>
          <w:sz w:val="25"/>
        </w:rPr>
        <w:t> </w:t>
      </w:r>
      <w:r>
        <w:rPr>
          <w:w w:val="95"/>
          <w:sz w:val="24"/>
        </w:rPr>
        <w:t>,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37"/>
          <w:w w:val="95"/>
          <w:sz w:val="24"/>
        </w:rPr>
        <w:t> </w:t>
      </w:r>
      <w:r>
        <w:rPr>
          <w:rFonts w:ascii="Symbol" w:hAnsi="Symbol"/>
          <w:w w:val="95"/>
          <w:position w:val="6"/>
          <w:sz w:val="25"/>
        </w:rPr>
        <w:t></w:t>
      </w:r>
      <w:r>
        <w:rPr>
          <w:spacing w:val="2"/>
          <w:w w:val="95"/>
          <w:position w:val="6"/>
          <w:sz w:val="25"/>
        </w:rPr>
        <w:t> </w:t>
      </w:r>
      <w:r>
        <w:rPr>
          <w:w w:val="95"/>
          <w:position w:val="17"/>
          <w:sz w:val="14"/>
        </w:rPr>
        <w:t>2</w:t>
      </w:r>
      <w:r>
        <w:rPr>
          <w:spacing w:val="6"/>
          <w:w w:val="95"/>
          <w:position w:val="17"/>
          <w:sz w:val="14"/>
        </w:rPr>
        <w:t> </w:t>
      </w:r>
      <w:r>
        <w:rPr>
          <w:w w:val="95"/>
          <w:sz w:val="24"/>
        </w:rPr>
        <w:t>).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00" w:bottom="280" w:left="880" w:right="300"/>
          <w:cols w:num="3" w:equalWidth="0">
            <w:col w:w="1760" w:space="40"/>
            <w:col w:w="738" w:space="39"/>
            <w:col w:w="8153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4"/>
        <w:ind w:left="0"/>
        <w:jc w:val="left"/>
        <w:rPr>
          <w:sz w:val="21"/>
        </w:rPr>
      </w:pPr>
    </w:p>
    <w:p>
      <w:pPr>
        <w:pStyle w:val="Heading1"/>
        <w:numPr>
          <w:ilvl w:val="1"/>
          <w:numId w:val="26"/>
        </w:numPr>
        <w:tabs>
          <w:tab w:pos="1242" w:val="left" w:leader="none"/>
        </w:tabs>
        <w:spacing w:line="240" w:lineRule="auto" w:before="0" w:after="0"/>
        <w:ind w:left="1242" w:right="0" w:hanging="420"/>
        <w:jc w:val="left"/>
      </w:pPr>
      <w:bookmarkStart w:name="_bookmark69" w:id="116"/>
      <w:bookmarkEnd w:id="116"/>
      <w:r>
        <w:rPr>
          <w:b w:val="0"/>
        </w:rPr>
      </w:r>
      <w:bookmarkStart w:name="_bookmark69" w:id="117"/>
      <w:bookmarkEnd w:id="117"/>
      <w:r>
        <w:rPr/>
        <w:t>M</w:t>
      </w:r>
      <w:r>
        <w:rPr/>
        <w:t>odel</w:t>
      </w:r>
      <w:r>
        <w:rPr>
          <w:spacing w:val="-5"/>
        </w:rPr>
        <w:t> </w:t>
      </w:r>
      <w:r>
        <w:rPr/>
        <w:t>Specification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1"/>
        <w:jc w:val="left"/>
      </w:pPr>
      <w:r>
        <w:rPr/>
        <w:t>This</w:t>
      </w:r>
      <w:r>
        <w:rPr>
          <w:spacing w:val="28"/>
        </w:rPr>
        <w:t> </w:t>
      </w:r>
      <w:r>
        <w:rPr/>
        <w:t>model</w:t>
      </w:r>
      <w:r>
        <w:rPr>
          <w:spacing w:val="28"/>
        </w:rPr>
        <w:t> </w:t>
      </w:r>
      <w:r>
        <w:rPr/>
        <w:t>examined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effect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corporate</w:t>
      </w:r>
      <w:r>
        <w:rPr>
          <w:spacing w:val="27"/>
        </w:rPr>
        <w:t> </w:t>
      </w:r>
      <w:r>
        <w:rPr/>
        <w:t>governance</w:t>
      </w:r>
      <w:r>
        <w:rPr>
          <w:spacing w:val="29"/>
        </w:rPr>
        <w:t> </w:t>
      </w:r>
      <w:r>
        <w:rPr/>
        <w:t>on</w:t>
      </w:r>
      <w:r>
        <w:rPr>
          <w:spacing w:val="27"/>
        </w:rPr>
        <w:t> </w:t>
      </w:r>
      <w:r>
        <w:rPr/>
        <w:t>tax</w:t>
      </w:r>
      <w:r>
        <w:rPr>
          <w:spacing w:val="28"/>
        </w:rPr>
        <w:t> </w:t>
      </w:r>
      <w:r>
        <w:rPr/>
        <w:t>aggressiveness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quoted</w:t>
      </w:r>
      <w:r>
        <w:rPr>
          <w:spacing w:val="-1"/>
        </w:rPr>
        <w:t> </w:t>
      </w:r>
      <w:r>
        <w:rPr/>
        <w:t>companies.</w:t>
      </w:r>
      <w:r>
        <w:rPr>
          <w:spacing w:val="1"/>
        </w:rPr>
        <w:t> </w:t>
      </w:r>
      <w:r>
        <w:rPr/>
        <w:t>The model is presented below;</w:t>
      </w:r>
    </w:p>
    <w:p>
      <w:pPr>
        <w:spacing w:before="198"/>
        <w:ind w:left="822" w:right="0" w:firstLine="0"/>
        <w:jc w:val="left"/>
        <w:rPr>
          <w:i/>
          <w:sz w:val="16"/>
        </w:rPr>
      </w:pPr>
      <w:r>
        <w:rPr>
          <w:i/>
          <w:position w:val="2"/>
          <w:sz w:val="24"/>
        </w:rPr>
        <w:t>TAG</w:t>
      </w:r>
      <w:r>
        <w:rPr>
          <w:i/>
          <w:sz w:val="16"/>
        </w:rPr>
        <w:t>it</w:t>
      </w:r>
      <w:r>
        <w:rPr>
          <w:i/>
          <w:position w:val="2"/>
          <w:sz w:val="24"/>
        </w:rPr>
        <w:t>=</w:t>
      </w:r>
      <w:r>
        <w:rPr>
          <w:i/>
          <w:spacing w:val="-9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0</w:t>
      </w:r>
      <w:r>
        <w:rPr>
          <w:i/>
          <w:spacing w:val="-7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8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1</w:t>
      </w:r>
      <w:r>
        <w:rPr>
          <w:i/>
          <w:spacing w:val="-7"/>
          <w:sz w:val="16"/>
        </w:rPr>
        <w:t> </w:t>
      </w:r>
      <w:r>
        <w:rPr>
          <w:i/>
          <w:position w:val="2"/>
          <w:sz w:val="24"/>
        </w:rPr>
        <w:t>BDIND</w:t>
      </w:r>
      <w:r>
        <w:rPr>
          <w:i/>
          <w:sz w:val="16"/>
        </w:rPr>
        <w:t>t</w:t>
      </w:r>
      <w:r>
        <w:rPr>
          <w:i/>
          <w:spacing w:val="11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10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2</w:t>
      </w:r>
      <w:r>
        <w:rPr>
          <w:i/>
          <w:spacing w:val="-4"/>
          <w:sz w:val="16"/>
        </w:rPr>
        <w:t> </w:t>
      </w:r>
      <w:r>
        <w:rPr>
          <w:i/>
          <w:position w:val="2"/>
          <w:sz w:val="24"/>
        </w:rPr>
        <w:t>BDS</w:t>
      </w:r>
      <w:r>
        <w:rPr>
          <w:i/>
          <w:sz w:val="16"/>
        </w:rPr>
        <w:t>it</w:t>
      </w:r>
      <w:r>
        <w:rPr>
          <w:i/>
          <w:spacing w:val="10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9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3</w:t>
      </w:r>
      <w:r>
        <w:rPr>
          <w:i/>
          <w:spacing w:val="-7"/>
          <w:sz w:val="16"/>
        </w:rPr>
        <w:t> </w:t>
      </w:r>
      <w:r>
        <w:rPr>
          <w:i/>
          <w:position w:val="2"/>
          <w:sz w:val="24"/>
        </w:rPr>
        <w:t>BDGD</w:t>
      </w:r>
      <w:r>
        <w:rPr>
          <w:i/>
          <w:sz w:val="16"/>
        </w:rPr>
        <w:t>it</w:t>
      </w:r>
      <w:r>
        <w:rPr>
          <w:i/>
          <w:spacing w:val="10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11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4</w:t>
      </w:r>
      <w:r>
        <w:rPr>
          <w:i/>
          <w:position w:val="2"/>
          <w:sz w:val="24"/>
        </w:rPr>
        <w:t>BDOWN</w:t>
      </w:r>
      <w:r>
        <w:rPr>
          <w:i/>
          <w:sz w:val="16"/>
        </w:rPr>
        <w:t>it</w:t>
      </w:r>
      <w:r>
        <w:rPr>
          <w:i/>
          <w:spacing w:val="12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8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5</w:t>
      </w:r>
      <w:r>
        <w:rPr>
          <w:i/>
          <w:spacing w:val="-4"/>
          <w:sz w:val="16"/>
        </w:rPr>
        <w:t> </w:t>
      </w:r>
      <w:r>
        <w:rPr>
          <w:i/>
          <w:position w:val="2"/>
          <w:sz w:val="24"/>
        </w:rPr>
        <w:t>CEO-AGE</w:t>
      </w:r>
      <w:r>
        <w:rPr>
          <w:i/>
          <w:sz w:val="16"/>
        </w:rPr>
        <w:t>t</w:t>
      </w:r>
      <w:r>
        <w:rPr>
          <w:i/>
          <w:spacing w:val="12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8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6</w:t>
      </w:r>
      <w:r>
        <w:rPr>
          <w:i/>
          <w:spacing w:val="-7"/>
          <w:sz w:val="16"/>
        </w:rPr>
        <w:t> </w:t>
      </w:r>
      <w:r>
        <w:rPr>
          <w:i/>
          <w:position w:val="2"/>
          <w:sz w:val="24"/>
        </w:rPr>
        <w:t>CEO-TEN</w:t>
      </w:r>
      <w:r>
        <w:rPr>
          <w:i/>
          <w:sz w:val="16"/>
        </w:rPr>
        <w:t>it</w:t>
      </w:r>
    </w:p>
    <w:p>
      <w:pPr>
        <w:pStyle w:val="BodyText"/>
        <w:spacing w:before="9"/>
        <w:ind w:left="0"/>
        <w:jc w:val="left"/>
        <w:rPr>
          <w:i/>
          <w:sz w:val="23"/>
        </w:rPr>
      </w:pPr>
    </w:p>
    <w:p>
      <w:pPr>
        <w:tabs>
          <w:tab w:pos="3992" w:val="left" w:leader="hyphen"/>
        </w:tabs>
        <w:spacing w:before="0"/>
        <w:ind w:left="822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+ ∂</w:t>
      </w:r>
      <w:r>
        <w:rPr>
          <w:i/>
          <w:sz w:val="16"/>
        </w:rPr>
        <w:t>7</w:t>
      </w:r>
      <w:r>
        <w:rPr>
          <w:i/>
          <w:position w:val="2"/>
          <w:sz w:val="24"/>
        </w:rPr>
        <w:t>CEO-OWN</w:t>
      </w:r>
      <w:r>
        <w:rPr>
          <w:i/>
          <w:sz w:val="16"/>
        </w:rPr>
        <w:t>it</w:t>
      </w:r>
      <w:r>
        <w:rPr>
          <w:i/>
          <w:spacing w:val="-2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µ</w:t>
      </w:r>
      <w:r>
        <w:rPr>
          <w:i/>
          <w:sz w:val="16"/>
        </w:rPr>
        <w:t>it</w:t>
        <w:tab/>
      </w:r>
      <w:r>
        <w:rPr>
          <w:i/>
          <w:position w:val="2"/>
          <w:sz w:val="24"/>
        </w:rPr>
        <w:t>(i)</w:t>
      </w:r>
    </w:p>
    <w:p>
      <w:pPr>
        <w:pStyle w:val="BodyText"/>
        <w:spacing w:before="9"/>
        <w:ind w:left="0"/>
        <w:jc w:val="left"/>
        <w:rPr>
          <w:i/>
          <w:sz w:val="23"/>
        </w:rPr>
      </w:pPr>
    </w:p>
    <w:p>
      <w:pPr>
        <w:spacing w:before="1"/>
        <w:ind w:left="822" w:right="0" w:firstLine="0"/>
        <w:jc w:val="left"/>
        <w:rPr>
          <w:i/>
          <w:sz w:val="24"/>
        </w:rPr>
      </w:pPr>
      <w:r>
        <w:rPr>
          <w:i/>
          <w:sz w:val="24"/>
        </w:rPr>
        <w:t>Introducing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control variables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spacing w:before="76"/>
        <w:ind w:left="822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TAG</w:t>
      </w:r>
      <w:r>
        <w:rPr>
          <w:i/>
          <w:sz w:val="16"/>
        </w:rPr>
        <w:t>it</w:t>
      </w:r>
      <w:r>
        <w:rPr>
          <w:i/>
          <w:position w:val="2"/>
          <w:sz w:val="24"/>
        </w:rPr>
        <w:t>=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0</w:t>
      </w:r>
      <w:r>
        <w:rPr>
          <w:i/>
          <w:spacing w:val="5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1</w:t>
      </w:r>
      <w:r>
        <w:rPr>
          <w:i/>
          <w:spacing w:val="5"/>
          <w:sz w:val="16"/>
        </w:rPr>
        <w:t> </w:t>
      </w:r>
      <w:r>
        <w:rPr>
          <w:i/>
          <w:position w:val="2"/>
          <w:sz w:val="24"/>
        </w:rPr>
        <w:t>BDIND</w:t>
      </w:r>
      <w:r>
        <w:rPr>
          <w:i/>
          <w:sz w:val="16"/>
        </w:rPr>
        <w:t>t</w:t>
      </w:r>
      <w:r>
        <w:rPr>
          <w:i/>
          <w:spacing w:val="27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2</w:t>
      </w:r>
      <w:r>
        <w:rPr>
          <w:i/>
          <w:spacing w:val="6"/>
          <w:sz w:val="16"/>
        </w:rPr>
        <w:t> </w:t>
      </w:r>
      <w:r>
        <w:rPr>
          <w:i/>
          <w:position w:val="2"/>
          <w:sz w:val="24"/>
        </w:rPr>
        <w:t>BDS</w:t>
      </w:r>
      <w:r>
        <w:rPr>
          <w:i/>
          <w:sz w:val="16"/>
        </w:rPr>
        <w:t>it</w:t>
      </w:r>
      <w:r>
        <w:rPr>
          <w:i/>
          <w:spacing w:val="27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3</w:t>
      </w:r>
      <w:r>
        <w:rPr>
          <w:i/>
          <w:spacing w:val="5"/>
          <w:sz w:val="16"/>
        </w:rPr>
        <w:t> </w:t>
      </w:r>
      <w:r>
        <w:rPr>
          <w:i/>
          <w:position w:val="2"/>
          <w:sz w:val="24"/>
        </w:rPr>
        <w:t>BGD</w:t>
      </w:r>
      <w:r>
        <w:rPr>
          <w:i/>
          <w:sz w:val="16"/>
        </w:rPr>
        <w:t>it</w:t>
      </w:r>
      <w:r>
        <w:rPr>
          <w:i/>
          <w:spacing w:val="24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4</w:t>
      </w:r>
      <w:r>
        <w:rPr>
          <w:i/>
          <w:position w:val="2"/>
          <w:sz w:val="24"/>
        </w:rPr>
        <w:t>BDOWN</w:t>
      </w:r>
      <w:r>
        <w:rPr>
          <w:i/>
          <w:sz w:val="16"/>
        </w:rPr>
        <w:t>it</w:t>
      </w:r>
      <w:r>
        <w:rPr>
          <w:i/>
          <w:spacing w:val="28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7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5</w:t>
      </w:r>
      <w:r>
        <w:rPr>
          <w:i/>
          <w:spacing w:val="5"/>
          <w:sz w:val="16"/>
        </w:rPr>
        <w:t> </w:t>
      </w:r>
      <w:r>
        <w:rPr>
          <w:i/>
          <w:position w:val="2"/>
          <w:sz w:val="24"/>
        </w:rPr>
        <w:t>CEO-AGE</w:t>
      </w:r>
      <w:r>
        <w:rPr>
          <w:i/>
          <w:sz w:val="16"/>
        </w:rPr>
        <w:t>t</w:t>
      </w:r>
      <w:r>
        <w:rPr>
          <w:i/>
          <w:spacing w:val="27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6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6</w:t>
      </w:r>
      <w:r>
        <w:rPr>
          <w:i/>
          <w:spacing w:val="5"/>
          <w:sz w:val="16"/>
        </w:rPr>
        <w:t> </w:t>
      </w:r>
      <w:r>
        <w:rPr>
          <w:i/>
          <w:position w:val="2"/>
          <w:sz w:val="24"/>
        </w:rPr>
        <w:t>CEO-T</w:t>
      </w:r>
      <w:r>
        <w:rPr>
          <w:i/>
          <w:sz w:val="16"/>
        </w:rPr>
        <w:t>it</w:t>
      </w:r>
      <w:r>
        <w:rPr>
          <w:i/>
          <w:spacing w:val="25"/>
          <w:sz w:val="16"/>
        </w:rPr>
        <w:t> </w:t>
      </w:r>
      <w:r>
        <w:rPr>
          <w:i/>
          <w:position w:val="2"/>
          <w:sz w:val="24"/>
        </w:rPr>
        <w:t>+</w:t>
      </w:r>
    </w:p>
    <w:p>
      <w:pPr>
        <w:pStyle w:val="BodyText"/>
        <w:spacing w:before="9"/>
        <w:ind w:left="0"/>
        <w:jc w:val="left"/>
        <w:rPr>
          <w:i/>
          <w:sz w:val="23"/>
        </w:rPr>
      </w:pPr>
    </w:p>
    <w:p>
      <w:pPr>
        <w:tabs>
          <w:tab w:pos="7324" w:val="left" w:leader="hyphen"/>
        </w:tabs>
        <w:spacing w:before="1"/>
        <w:ind w:left="822" w:right="0" w:firstLine="0"/>
        <w:jc w:val="left"/>
        <w:rPr>
          <w:i/>
          <w:sz w:val="24"/>
        </w:rPr>
      </w:pPr>
      <w:r>
        <w:rPr>
          <w:i/>
          <w:position w:val="2"/>
          <w:sz w:val="24"/>
        </w:rPr>
        <w:t>∂</w:t>
      </w:r>
      <w:r>
        <w:rPr>
          <w:i/>
          <w:sz w:val="16"/>
        </w:rPr>
        <w:t>7</w:t>
      </w:r>
      <w:r>
        <w:rPr>
          <w:i/>
          <w:position w:val="2"/>
          <w:sz w:val="24"/>
        </w:rPr>
        <w:t>CEO-OWN</w:t>
      </w:r>
      <w:r>
        <w:rPr>
          <w:i/>
          <w:sz w:val="16"/>
        </w:rPr>
        <w:t>it </w:t>
      </w:r>
      <w:r>
        <w:rPr>
          <w:i/>
          <w:position w:val="2"/>
          <w:sz w:val="24"/>
        </w:rPr>
        <w:t>+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8</w:t>
      </w:r>
      <w:r>
        <w:rPr>
          <w:i/>
          <w:position w:val="2"/>
          <w:sz w:val="24"/>
        </w:rPr>
        <w:t>LEV</w:t>
      </w:r>
      <w:r>
        <w:rPr>
          <w:i/>
          <w:sz w:val="16"/>
        </w:rPr>
        <w:t>it</w:t>
      </w:r>
      <w:r>
        <w:rPr>
          <w:i/>
          <w:spacing w:val="17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9</w:t>
      </w:r>
      <w:r>
        <w:rPr>
          <w:i/>
          <w:position w:val="2"/>
          <w:sz w:val="24"/>
        </w:rPr>
        <w:t>PROF</w:t>
      </w:r>
      <w:r>
        <w:rPr>
          <w:i/>
          <w:sz w:val="16"/>
        </w:rPr>
        <w:t>it</w:t>
      </w:r>
      <w:r>
        <w:rPr>
          <w:i/>
          <w:spacing w:val="17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∂</w:t>
      </w:r>
      <w:r>
        <w:rPr>
          <w:i/>
          <w:sz w:val="16"/>
        </w:rPr>
        <w:t>10 </w:t>
      </w:r>
      <w:r>
        <w:rPr>
          <w:i/>
          <w:position w:val="2"/>
          <w:sz w:val="24"/>
        </w:rPr>
        <w:t>FSIZE</w:t>
      </w:r>
      <w:r>
        <w:rPr>
          <w:i/>
          <w:sz w:val="16"/>
        </w:rPr>
        <w:t>it</w:t>
      </w:r>
      <w:r>
        <w:rPr>
          <w:i/>
          <w:spacing w:val="75"/>
          <w:sz w:val="16"/>
        </w:rPr>
        <w:t> </w:t>
      </w:r>
      <w:r>
        <w:rPr>
          <w:i/>
          <w:position w:val="2"/>
          <w:sz w:val="24"/>
        </w:rPr>
        <w:t>+</w:t>
      </w:r>
      <w:r>
        <w:rPr>
          <w:i/>
          <w:spacing w:val="-1"/>
          <w:position w:val="2"/>
          <w:sz w:val="24"/>
        </w:rPr>
        <w:t> </w:t>
      </w:r>
      <w:r>
        <w:rPr>
          <w:i/>
          <w:position w:val="2"/>
          <w:sz w:val="24"/>
        </w:rPr>
        <w:t>µ</w:t>
      </w:r>
      <w:r>
        <w:rPr>
          <w:i/>
          <w:sz w:val="16"/>
        </w:rPr>
        <w:t>it</w:t>
        <w:tab/>
      </w:r>
      <w:r>
        <w:rPr>
          <w:i/>
          <w:position w:val="2"/>
          <w:sz w:val="24"/>
        </w:rPr>
        <w:t>(ii)</w:t>
      </w:r>
    </w:p>
    <w:p>
      <w:pPr>
        <w:pStyle w:val="BodyText"/>
        <w:spacing w:before="9"/>
        <w:ind w:left="0"/>
        <w:jc w:val="left"/>
        <w:rPr>
          <w:i/>
          <w:sz w:val="23"/>
        </w:rPr>
      </w:pPr>
    </w:p>
    <w:p>
      <w:pPr>
        <w:pStyle w:val="Heading1"/>
        <w:spacing w:before="0"/>
        <w:ind w:left="822"/>
        <w:jc w:val="left"/>
        <w:rPr>
          <w:b w:val="0"/>
        </w:rPr>
      </w:pPr>
      <w:r>
        <w:rPr/>
        <w:t>Where</w:t>
      </w:r>
      <w:r>
        <w:rPr>
          <w:b w:val="0"/>
        </w:rPr>
        <w:t>:</w:t>
      </w:r>
    </w:p>
    <w:p>
      <w:pPr>
        <w:pStyle w:val="BodyText"/>
        <w:spacing w:before="5"/>
        <w:ind w:left="0"/>
        <w:jc w:val="left"/>
        <w:rPr>
          <w:sz w:val="29"/>
        </w:rPr>
      </w:pPr>
    </w:p>
    <w:p>
      <w:pPr>
        <w:spacing w:line="535" w:lineRule="auto" w:before="0"/>
        <w:ind w:left="822" w:right="7326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54041600">
            <wp:simplePos x="0" y="0"/>
            <wp:positionH relativeFrom="page">
              <wp:posOffset>1261605</wp:posOffset>
            </wp:positionH>
            <wp:positionV relativeFrom="paragraph">
              <wp:posOffset>686728</wp:posOffset>
            </wp:positionV>
            <wp:extent cx="5133225" cy="5265293"/>
            <wp:effectExtent l="0" t="0" r="0" b="0"/>
            <wp:wrapNone/>
            <wp:docPr id="1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TAG= Tax Aggressiveness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BS=Board size</w:t>
      </w:r>
    </w:p>
    <w:p>
      <w:pPr>
        <w:spacing w:line="535" w:lineRule="auto" w:before="0"/>
        <w:ind w:left="822" w:right="6511" w:firstLine="0"/>
        <w:jc w:val="left"/>
        <w:rPr>
          <w:i/>
          <w:sz w:val="24"/>
        </w:rPr>
      </w:pPr>
      <w:r>
        <w:rPr>
          <w:i/>
          <w:sz w:val="24"/>
        </w:rPr>
        <w:t>BIND= Board independence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BGD=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Board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gender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diversity</w:t>
      </w:r>
    </w:p>
    <w:p>
      <w:pPr>
        <w:pStyle w:val="BodyText"/>
        <w:spacing w:line="535" w:lineRule="auto"/>
        <w:ind w:right="6261"/>
        <w:jc w:val="left"/>
      </w:pPr>
      <w:r>
        <w:rPr/>
        <w:t>BDOWN=Board Ownership structure</w:t>
      </w:r>
      <w:r>
        <w:rPr>
          <w:spacing w:val="-57"/>
        </w:rPr>
        <w:t> </w:t>
      </w:r>
      <w:r>
        <w:rPr/>
        <w:t>CEO-AGE=</w:t>
      </w:r>
      <w:r>
        <w:rPr>
          <w:spacing w:val="-3"/>
        </w:rPr>
        <w:t> </w:t>
      </w:r>
      <w:r>
        <w:rPr/>
        <w:t>CEO</w:t>
      </w:r>
      <w:r>
        <w:rPr>
          <w:spacing w:val="1"/>
        </w:rPr>
        <w:t> </w:t>
      </w:r>
      <w:r>
        <w:rPr/>
        <w:t>age</w:t>
      </w:r>
    </w:p>
    <w:p>
      <w:pPr>
        <w:pStyle w:val="BodyText"/>
        <w:spacing w:line="274" w:lineRule="exact"/>
        <w:jc w:val="left"/>
      </w:pPr>
      <w:r>
        <w:rPr/>
        <w:t>CEO-T=</w:t>
      </w:r>
      <w:r>
        <w:rPr>
          <w:spacing w:val="-3"/>
        </w:rPr>
        <w:t> </w:t>
      </w:r>
      <w:r>
        <w:rPr/>
        <w:t>CEO</w:t>
      </w:r>
      <w:r>
        <w:rPr>
          <w:spacing w:val="-2"/>
        </w:rPr>
        <w:t> </w:t>
      </w:r>
      <w:r>
        <w:rPr/>
        <w:t>tenure</w:t>
      </w:r>
    </w:p>
    <w:p>
      <w:pPr>
        <w:pStyle w:val="BodyText"/>
        <w:spacing w:before="11"/>
        <w:ind w:left="0"/>
        <w:jc w:val="left"/>
        <w:rPr>
          <w:sz w:val="28"/>
        </w:rPr>
      </w:pPr>
    </w:p>
    <w:p>
      <w:pPr>
        <w:spacing w:line="535" w:lineRule="auto" w:before="0"/>
        <w:ind w:left="822" w:right="6468" w:firstLine="0"/>
        <w:jc w:val="left"/>
        <w:rPr>
          <w:i/>
          <w:sz w:val="24"/>
        </w:rPr>
      </w:pPr>
      <w:r>
        <w:rPr>
          <w:sz w:val="24"/>
        </w:rPr>
        <w:t>CEO-OWN= CEO Ownership</w:t>
      </w:r>
      <w:r>
        <w:rPr>
          <w:spacing w:val="1"/>
          <w:sz w:val="24"/>
        </w:rPr>
        <w:t> </w:t>
      </w:r>
      <w:r>
        <w:rPr>
          <w:i/>
          <w:sz w:val="24"/>
        </w:rPr>
        <w:t>Control variables for the study are;</w:t>
      </w:r>
      <w:r>
        <w:rPr>
          <w:i/>
          <w:spacing w:val="-57"/>
          <w:sz w:val="24"/>
        </w:rPr>
        <w:t> </w:t>
      </w:r>
      <w:r>
        <w:rPr>
          <w:i/>
          <w:spacing w:val="-1"/>
          <w:sz w:val="24"/>
        </w:rPr>
        <w:t>LEV</w:t>
      </w:r>
      <w:r>
        <w:rPr>
          <w:i/>
          <w:spacing w:val="-20"/>
          <w:sz w:val="24"/>
        </w:rPr>
        <w:t> </w:t>
      </w:r>
      <w:r>
        <w:rPr>
          <w:i/>
          <w:spacing w:val="-1"/>
          <w:sz w:val="24"/>
        </w:rPr>
        <w:t>=</w:t>
      </w:r>
      <w:r>
        <w:rPr>
          <w:i/>
          <w:sz w:val="24"/>
        </w:rPr>
        <w:t> Leverage</w:t>
      </w:r>
    </w:p>
    <w:p>
      <w:pPr>
        <w:spacing w:line="535" w:lineRule="auto" w:before="0"/>
        <w:ind w:left="822" w:right="7779" w:firstLine="60"/>
        <w:jc w:val="left"/>
        <w:rPr>
          <w:i/>
          <w:sz w:val="24"/>
        </w:rPr>
      </w:pPr>
      <w:r>
        <w:rPr>
          <w:i/>
          <w:spacing w:val="-1"/>
          <w:sz w:val="24"/>
        </w:rPr>
        <w:t>PROF = Profitability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FSIZE=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Firm size</w:t>
      </w:r>
    </w:p>
    <w:p>
      <w:pPr>
        <w:pStyle w:val="BodyText"/>
        <w:spacing w:line="274" w:lineRule="exact"/>
        <w:ind w:left="862"/>
        <w:jc w:val="left"/>
      </w:pPr>
      <w:r>
        <w:rPr/>
        <w:t>i =ith firm</w:t>
      </w:r>
    </w:p>
    <w:p>
      <w:pPr>
        <w:pStyle w:val="BodyText"/>
        <w:spacing w:before="11"/>
        <w:ind w:left="0"/>
        <w:jc w:val="left"/>
        <w:rPr>
          <w:sz w:val="28"/>
        </w:rPr>
      </w:pPr>
    </w:p>
    <w:p>
      <w:pPr>
        <w:pStyle w:val="BodyText"/>
        <w:jc w:val="left"/>
      </w:pPr>
      <w:r>
        <w:rPr/>
        <w:t>t</w:t>
      </w:r>
      <w:r>
        <w:rPr>
          <w:spacing w:val="-1"/>
        </w:rPr>
        <w:t> </w:t>
      </w:r>
      <w:r>
        <w:rPr/>
        <w:t>= time</w:t>
      </w:r>
      <w:r>
        <w:rPr>
          <w:spacing w:val="-1"/>
        </w:rPr>
        <w:t> </w:t>
      </w:r>
      <w:r>
        <w:rPr/>
        <w:t>period</w:t>
      </w:r>
    </w:p>
    <w:p>
      <w:pPr>
        <w:pStyle w:val="BodyText"/>
        <w:spacing w:before="7"/>
        <w:ind w:left="0"/>
        <w:jc w:val="left"/>
        <w:rPr>
          <w:sz w:val="29"/>
        </w:rPr>
      </w:pPr>
    </w:p>
    <w:p>
      <w:pPr>
        <w:spacing w:before="0"/>
        <w:ind w:left="822" w:right="0" w:firstLine="0"/>
        <w:jc w:val="left"/>
        <w:rPr>
          <w:sz w:val="22"/>
        </w:rPr>
      </w:pPr>
      <w:r>
        <w:rPr>
          <w:position w:val="2"/>
          <w:sz w:val="22"/>
        </w:rPr>
        <w:t>ɛ</w:t>
      </w:r>
      <w:r>
        <w:rPr>
          <w:sz w:val="14"/>
        </w:rPr>
        <w:t>t</w:t>
      </w:r>
      <w:r>
        <w:rPr>
          <w:spacing w:val="-1"/>
          <w:sz w:val="14"/>
        </w:rPr>
        <w:t> </w:t>
      </w:r>
      <w:r>
        <w:rPr>
          <w:position w:val="2"/>
          <w:sz w:val="22"/>
        </w:rPr>
        <w:t>=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Stochastic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term.</w:t>
      </w:r>
    </w:p>
    <w:p>
      <w:pPr>
        <w:pStyle w:val="BodyText"/>
        <w:spacing w:before="6"/>
        <w:ind w:left="0"/>
        <w:jc w:val="left"/>
        <w:rPr>
          <w:sz w:val="21"/>
        </w:rPr>
      </w:pPr>
    </w:p>
    <w:p>
      <w:pPr>
        <w:spacing w:before="1"/>
        <w:ind w:left="822" w:right="0" w:firstLine="0"/>
        <w:jc w:val="left"/>
        <w:rPr>
          <w:sz w:val="22"/>
        </w:rPr>
      </w:pPr>
      <w:r>
        <w:rPr>
          <w:position w:val="2"/>
          <w:sz w:val="22"/>
        </w:rPr>
        <w:t>The apriori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signs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are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1 &lt;</w:t>
      </w:r>
      <w:r>
        <w:rPr>
          <w:spacing w:val="21"/>
          <w:sz w:val="14"/>
        </w:rPr>
        <w:t> </w:t>
      </w:r>
      <w:r>
        <w:rPr>
          <w:position w:val="2"/>
          <w:sz w:val="22"/>
        </w:rPr>
        <w:t>0,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2</w:t>
      </w:r>
      <w:r>
        <w:rPr>
          <w:spacing w:val="21"/>
          <w:sz w:val="14"/>
        </w:rPr>
        <w:t> </w:t>
      </w:r>
      <w:r>
        <w:rPr>
          <w:position w:val="2"/>
          <w:sz w:val="22"/>
        </w:rPr>
        <w:t>&lt;0,</w:t>
      </w:r>
      <w:r>
        <w:rPr>
          <w:spacing w:val="34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3</w:t>
      </w:r>
      <w:r>
        <w:rPr>
          <w:position w:val="2"/>
          <w:sz w:val="22"/>
        </w:rPr>
        <w:t>&lt;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0,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4</w:t>
      </w:r>
      <w:r>
        <w:rPr>
          <w:position w:val="2"/>
          <w:sz w:val="22"/>
        </w:rPr>
        <w:t>&lt;0</w:t>
      </w:r>
      <w:r>
        <w:rPr>
          <w:spacing w:val="54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5</w:t>
      </w:r>
      <w:r>
        <w:rPr>
          <w:position w:val="2"/>
          <w:sz w:val="22"/>
        </w:rPr>
        <w:t>&gt; 0,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6</w:t>
      </w:r>
      <w:r>
        <w:rPr>
          <w:spacing w:val="20"/>
          <w:sz w:val="14"/>
        </w:rPr>
        <w:t> </w:t>
      </w:r>
      <w:r>
        <w:rPr>
          <w:position w:val="2"/>
          <w:sz w:val="22"/>
        </w:rPr>
        <w:t>&lt;0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,</w:t>
      </w:r>
      <w:r>
        <w:rPr>
          <w:spacing w:val="34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7&lt;</w:t>
      </w:r>
      <w:r>
        <w:rPr>
          <w:spacing w:val="21"/>
          <w:sz w:val="14"/>
        </w:rPr>
        <w:t> </w:t>
      </w:r>
      <w:r>
        <w:rPr>
          <w:position w:val="2"/>
          <w:sz w:val="22"/>
        </w:rPr>
        <w:t>0,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8</w:t>
      </w:r>
      <w:r>
        <w:rPr>
          <w:position w:val="2"/>
          <w:sz w:val="22"/>
        </w:rPr>
        <w:t>&lt;0,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9</w:t>
      </w:r>
      <w:r>
        <w:rPr>
          <w:spacing w:val="2"/>
          <w:sz w:val="14"/>
        </w:rPr>
        <w:t> </w:t>
      </w:r>
      <w:r>
        <w:rPr>
          <w:position w:val="2"/>
          <w:sz w:val="22"/>
        </w:rPr>
        <w:t>&lt;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0,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∂</w:t>
      </w:r>
      <w:r>
        <w:rPr>
          <w:sz w:val="14"/>
        </w:rPr>
        <w:t>10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&gt;0</w:t>
      </w:r>
    </w:p>
    <w:p>
      <w:pPr>
        <w:pStyle w:val="BodyText"/>
        <w:ind w:left="0"/>
        <w:jc w:val="left"/>
      </w:pPr>
    </w:p>
    <w:p>
      <w:pPr>
        <w:pStyle w:val="BodyText"/>
        <w:spacing w:line="480" w:lineRule="auto" w:before="175"/>
        <w:ind w:right="826" w:firstLine="359"/>
        <w:jc w:val="left"/>
      </w:pPr>
      <w:r>
        <w:rPr/>
        <w:t>In</w:t>
      </w:r>
      <w:r>
        <w:rPr>
          <w:spacing w:val="25"/>
        </w:rPr>
        <w:t> </w:t>
      </w:r>
      <w:r>
        <w:rPr/>
        <w:t>addition,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3"/>
        </w:rPr>
        <w:t> </w:t>
      </w:r>
      <w:r>
        <w:rPr/>
        <w:t>further</w:t>
      </w:r>
      <w:r>
        <w:rPr>
          <w:spacing w:val="22"/>
        </w:rPr>
        <w:t> </w:t>
      </w:r>
      <w:r>
        <w:rPr/>
        <w:t>robustness</w:t>
      </w:r>
      <w:r>
        <w:rPr>
          <w:spacing w:val="23"/>
        </w:rPr>
        <w:t> </w:t>
      </w:r>
      <w:r>
        <w:rPr/>
        <w:t>test,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study</w:t>
      </w:r>
      <w:r>
        <w:rPr>
          <w:spacing w:val="24"/>
        </w:rPr>
        <w:t> </w:t>
      </w:r>
      <w:r>
        <w:rPr/>
        <w:t>sets</w:t>
      </w:r>
      <w:r>
        <w:rPr>
          <w:spacing w:val="23"/>
        </w:rPr>
        <w:t> </w:t>
      </w:r>
      <w:r>
        <w:rPr/>
        <w:t>up</w:t>
      </w:r>
      <w:r>
        <w:rPr>
          <w:spacing w:val="23"/>
        </w:rPr>
        <w:t> </w:t>
      </w:r>
      <w:r>
        <w:rPr/>
        <w:t>single</w:t>
      </w:r>
      <w:r>
        <w:rPr>
          <w:spacing w:val="21"/>
        </w:rPr>
        <w:t> </w:t>
      </w:r>
      <w:r>
        <w:rPr/>
        <w:t>threshold</w:t>
      </w:r>
      <w:r>
        <w:rPr>
          <w:spacing w:val="23"/>
        </w:rPr>
        <w:t> </w:t>
      </w:r>
      <w:r>
        <w:rPr/>
        <w:t>model</w:t>
      </w:r>
      <w:r>
        <w:rPr>
          <w:spacing w:val="22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pStyle w:val="BodyText"/>
        <w:spacing w:before="2"/>
        <w:ind w:left="0"/>
        <w:jc w:val="left"/>
        <w:rPr>
          <w:sz w:val="10"/>
        </w:rPr>
      </w:pPr>
    </w:p>
    <w:p>
      <w:pPr>
        <w:spacing w:after="0"/>
        <w:jc w:val="left"/>
        <w:rPr>
          <w:sz w:val="10"/>
        </w:rPr>
        <w:sectPr>
          <w:pgSz w:w="11910" w:h="16840"/>
          <w:pgMar w:header="0" w:footer="1402" w:top="1120" w:bottom="1680" w:left="880" w:right="300"/>
        </w:sectPr>
      </w:pPr>
    </w:p>
    <w:p>
      <w:pPr>
        <w:spacing w:line="217" w:lineRule="exact" w:before="104"/>
        <w:ind w:left="1215" w:right="0" w:firstLine="0"/>
        <w:jc w:val="left"/>
        <w:rPr>
          <w:i/>
          <w:sz w:val="25"/>
        </w:rPr>
      </w:pPr>
      <w:r>
        <w:rPr>
          <w:i/>
          <w:w w:val="95"/>
          <w:position w:val="-16"/>
          <w:sz w:val="24"/>
        </w:rPr>
        <w:t>v</w:t>
      </w:r>
      <w:r>
        <w:rPr>
          <w:i/>
          <w:spacing w:val="124"/>
          <w:position w:val="-16"/>
          <w:sz w:val="24"/>
        </w:rPr>
        <w:t> </w:t>
      </w:r>
      <w:r>
        <w:rPr>
          <w:rFonts w:ascii="Symbol" w:hAnsi="Symbol"/>
          <w:w w:val="95"/>
          <w:position w:val="-16"/>
          <w:sz w:val="24"/>
        </w:rPr>
        <w:t></w:t>
      </w:r>
      <w:r>
        <w:rPr>
          <w:spacing w:val="7"/>
          <w:w w:val="95"/>
          <w:position w:val="-16"/>
          <w:sz w:val="24"/>
        </w:rPr>
        <w:t> </w:t>
      </w:r>
      <w:r>
        <w:rPr>
          <w:rFonts w:ascii="Symbol" w:hAnsi="Symbol"/>
          <w:w w:val="95"/>
          <w:position w:val="1"/>
          <w:sz w:val="24"/>
        </w:rPr>
        <w:t></w:t>
      </w:r>
      <w:r>
        <w:rPr>
          <w:rFonts w:ascii="Symbol" w:hAnsi="Symbol"/>
          <w:w w:val="95"/>
          <w:sz w:val="25"/>
        </w:rPr>
        <w:t></w:t>
      </w:r>
      <w:r>
        <w:rPr>
          <w:i/>
          <w:w w:val="95"/>
          <w:sz w:val="25"/>
          <w:vertAlign w:val="subscript"/>
        </w:rPr>
        <w:t>i</w:t>
      </w:r>
      <w:r>
        <w:rPr>
          <w:i/>
          <w:spacing w:val="20"/>
          <w:w w:val="9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Symbol" w:hAnsi="Symbol"/>
          <w:w w:val="95"/>
          <w:sz w:val="25"/>
          <w:vertAlign w:val="baseline"/>
        </w:rPr>
        <w:t></w:t>
      </w:r>
      <w:r>
        <w:rPr>
          <w:spacing w:val="-22"/>
          <w:w w:val="95"/>
          <w:sz w:val="25"/>
          <w:vertAlign w:val="baseline"/>
        </w:rPr>
        <w:t> </w:t>
      </w:r>
      <w:r>
        <w:rPr>
          <w:rFonts w:ascii="Symbol" w:hAnsi="Symbol"/>
          <w:w w:val="95"/>
          <w:position w:val="1"/>
          <w:sz w:val="24"/>
          <w:vertAlign w:val="baseline"/>
        </w:rPr>
        <w:t></w:t>
      </w:r>
      <w:r>
        <w:rPr>
          <w:i/>
          <w:w w:val="95"/>
          <w:sz w:val="24"/>
          <w:vertAlign w:val="baseline"/>
        </w:rPr>
        <w:t>h</w:t>
      </w:r>
      <w:r>
        <w:rPr>
          <w:i/>
          <w:w w:val="95"/>
          <w:position w:val="-5"/>
          <w:sz w:val="14"/>
          <w:vertAlign w:val="baseline"/>
        </w:rPr>
        <w:t>it</w:t>
      </w:r>
      <w:r>
        <w:rPr>
          <w:i/>
          <w:spacing w:val="50"/>
          <w:position w:val="-5"/>
          <w:sz w:val="1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Symbol" w:hAnsi="Symbol"/>
          <w:w w:val="95"/>
          <w:sz w:val="25"/>
          <w:vertAlign w:val="baseline"/>
        </w:rPr>
        <w:t></w:t>
      </w:r>
      <w:r>
        <w:rPr>
          <w:w w:val="95"/>
          <w:sz w:val="25"/>
          <w:vertAlign w:val="subscript"/>
        </w:rPr>
        <w:t>1</w:t>
      </w:r>
      <w:r>
        <w:rPr>
          <w:spacing w:val="-18"/>
          <w:w w:val="95"/>
          <w:sz w:val="25"/>
          <w:vertAlign w:val="baseline"/>
        </w:rPr>
        <w:t> </w:t>
      </w:r>
      <w:r>
        <w:rPr>
          <w:i/>
          <w:w w:val="95"/>
          <w:sz w:val="24"/>
          <w:vertAlign w:val="baseline"/>
        </w:rPr>
        <w:t>d</w:t>
      </w:r>
      <w:r>
        <w:rPr>
          <w:i/>
          <w:w w:val="95"/>
          <w:position w:val="-5"/>
          <w:sz w:val="14"/>
          <w:vertAlign w:val="baseline"/>
        </w:rPr>
        <w:t>it</w:t>
      </w:r>
      <w:r>
        <w:rPr>
          <w:i/>
          <w:spacing w:val="50"/>
          <w:position w:val="-5"/>
          <w:sz w:val="1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spacing w:val="-2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5"/>
          <w:vertAlign w:val="baseline"/>
        </w:rPr>
        <w:t></w:t>
      </w:r>
      <w:r>
        <w:rPr>
          <w:i/>
          <w:w w:val="95"/>
          <w:sz w:val="25"/>
          <w:vertAlign w:val="subscript"/>
        </w:rPr>
        <w:t>it</w:t>
      </w:r>
    </w:p>
    <w:p>
      <w:pPr>
        <w:tabs>
          <w:tab w:pos="843" w:val="left" w:leader="none"/>
        </w:tabs>
        <w:spacing w:line="217" w:lineRule="exact" w:before="104"/>
        <w:ind w:left="485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24"/>
        </w:rPr>
        <w:t>if</w:t>
        <w:tab/>
      </w:r>
      <w:r>
        <w:rPr>
          <w:i/>
          <w:w w:val="95"/>
          <w:sz w:val="24"/>
        </w:rPr>
        <w:t>d</w:t>
      </w:r>
      <w:r>
        <w:rPr>
          <w:i/>
          <w:w w:val="95"/>
          <w:position w:val="-5"/>
          <w:sz w:val="14"/>
        </w:rPr>
        <w:t>it</w:t>
      </w:r>
      <w:r>
        <w:rPr>
          <w:i/>
          <w:spacing w:val="65"/>
          <w:position w:val="-5"/>
          <w:sz w:val="14"/>
        </w:rPr>
        <w:t> </w:t>
      </w:r>
      <w:r>
        <w:rPr>
          <w:rFonts w:ascii="Symbol" w:hAnsi="Symbol"/>
          <w:w w:val="95"/>
          <w:sz w:val="24"/>
        </w:rPr>
        <w:t></w:t>
      </w:r>
      <w:r>
        <w:rPr>
          <w:spacing w:val="-11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</w:t>
      </w:r>
    </w:p>
    <w:p>
      <w:pPr>
        <w:pStyle w:val="BodyText"/>
        <w:spacing w:before="4"/>
        <w:ind w:left="0"/>
        <w:jc w:val="left"/>
        <w:rPr>
          <w:rFonts w:ascii="Symbol" w:hAnsi="Symbol"/>
        </w:rPr>
      </w:pPr>
      <w:r>
        <w:rPr/>
        <w:br w:type="column"/>
      </w:r>
      <w:r>
        <w:rPr>
          <w:rFonts w:ascii="Symbol" w:hAnsi="Symbol"/>
        </w:rPr>
      </w:r>
    </w:p>
    <w:p>
      <w:pPr>
        <w:pStyle w:val="BodyText"/>
        <w:spacing w:line="22" w:lineRule="exact"/>
        <w:ind w:left="1215"/>
        <w:jc w:val="left"/>
      </w:pPr>
      <w:r>
        <w:rPr/>
        <w:t>(iii)</w:t>
      </w:r>
    </w:p>
    <w:p>
      <w:pPr>
        <w:spacing w:after="0" w:line="22" w:lineRule="exact"/>
        <w:jc w:val="left"/>
        <w:sectPr>
          <w:type w:val="continuous"/>
          <w:pgSz w:w="11910" w:h="16840"/>
          <w:pgMar w:top="1500" w:bottom="280" w:left="880" w:right="300"/>
          <w:cols w:num="3" w:equalWidth="0">
            <w:col w:w="3715" w:space="40"/>
            <w:col w:w="1443" w:space="1489"/>
            <w:col w:w="4043"/>
          </w:cols>
        </w:sectPr>
      </w:pPr>
    </w:p>
    <w:p>
      <w:pPr>
        <w:tabs>
          <w:tab w:pos="353" w:val="left" w:leader="none"/>
        </w:tabs>
        <w:spacing w:line="217" w:lineRule="exact" w:before="0"/>
        <w:ind w:left="0" w:right="0" w:firstLine="0"/>
        <w:jc w:val="right"/>
        <w:rPr>
          <w:rFonts w:ascii="Symbol" w:hAnsi="Symbol"/>
          <w:sz w:val="25"/>
        </w:rPr>
      </w:pPr>
      <w:r>
        <w:rPr>
          <w:i/>
          <w:sz w:val="14"/>
        </w:rPr>
        <w:t>it</w:t>
        <w:tab/>
      </w:r>
      <w:r>
        <w:rPr>
          <w:rFonts w:ascii="Symbol" w:hAnsi="Symbol"/>
          <w:position w:val="2"/>
          <w:sz w:val="24"/>
        </w:rPr>
        <w:t></w:t>
      </w:r>
      <w:r>
        <w:rPr>
          <w:rFonts w:ascii="Symbol" w:hAnsi="Symbol"/>
          <w:position w:val="-12"/>
          <w:sz w:val="25"/>
        </w:rPr>
        <w:t></w:t>
      </w:r>
    </w:p>
    <w:p>
      <w:pPr>
        <w:spacing w:line="74" w:lineRule="exact" w:before="143"/>
        <w:ind w:left="72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spacing w:val="-3"/>
          <w:sz w:val="24"/>
        </w:rPr>
        <w:t></w:t>
      </w:r>
      <w:r>
        <w:rPr>
          <w:rFonts w:ascii="Symbol" w:hAnsi="Symbol"/>
          <w:spacing w:val="-3"/>
          <w:sz w:val="25"/>
        </w:rPr>
        <w:t></w:t>
      </w:r>
      <w:r>
        <w:rPr>
          <w:spacing w:val="-31"/>
          <w:sz w:val="25"/>
        </w:rPr>
        <w:t> </w:t>
      </w:r>
      <w:r>
        <w:rPr>
          <w:rFonts w:ascii="Symbol" w:hAnsi="Symbol"/>
          <w:spacing w:val="-3"/>
          <w:position w:val="1"/>
          <w:sz w:val="24"/>
        </w:rPr>
        <w:t></w:t>
      </w:r>
      <w:r>
        <w:rPr>
          <w:i/>
          <w:spacing w:val="-3"/>
          <w:sz w:val="24"/>
        </w:rPr>
        <w:t>h</w:t>
      </w:r>
    </w:p>
    <w:p>
      <w:pPr>
        <w:spacing w:line="74" w:lineRule="exact" w:before="143"/>
        <w:ind w:left="93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sz w:val="24"/>
        </w:rPr>
        <w:t></w:t>
      </w:r>
      <w:r>
        <w:rPr>
          <w:spacing w:val="-37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</w:t>
      </w:r>
      <w:r>
        <w:rPr>
          <w:spacing w:val="50"/>
          <w:w w:val="95"/>
          <w:sz w:val="25"/>
        </w:rPr>
        <w:t> </w:t>
      </w:r>
      <w:r>
        <w:rPr>
          <w:i/>
          <w:w w:val="95"/>
          <w:sz w:val="24"/>
        </w:rPr>
        <w:t>d</w:t>
      </w:r>
      <w:r>
        <w:rPr>
          <w:i/>
          <w:spacing w:val="100"/>
          <w:sz w:val="24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spacing w:val="-25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</w:t>
      </w:r>
    </w:p>
    <w:p>
      <w:pPr>
        <w:tabs>
          <w:tab w:pos="933" w:val="left" w:leader="none"/>
        </w:tabs>
        <w:spacing w:line="74" w:lineRule="exact" w:before="143"/>
        <w:ind w:left="575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sz w:val="24"/>
        </w:rPr>
        <w:t>if</w:t>
        <w:tab/>
      </w:r>
      <w:r>
        <w:rPr>
          <w:i/>
          <w:w w:val="95"/>
          <w:sz w:val="24"/>
        </w:rPr>
        <w:t>d</w:t>
      </w:r>
      <w:r>
        <w:rPr>
          <w:i/>
          <w:spacing w:val="124"/>
          <w:sz w:val="24"/>
        </w:rPr>
        <w:t> </w:t>
      </w:r>
      <w:r>
        <w:rPr>
          <w:rFonts w:ascii="Symbol" w:hAnsi="Symbol"/>
          <w:w w:val="95"/>
          <w:sz w:val="24"/>
        </w:rPr>
        <w:t></w:t>
      </w:r>
      <w:r>
        <w:rPr>
          <w:spacing w:val="-15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</w:t>
      </w:r>
    </w:p>
    <w:p>
      <w:pPr>
        <w:spacing w:after="0" w:line="74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500" w:bottom="280" w:left="880" w:right="300"/>
          <w:cols w:num="4" w:equalWidth="0">
            <w:col w:w="1937" w:space="40"/>
            <w:col w:w="554" w:space="39"/>
            <w:col w:w="1054" w:space="40"/>
            <w:col w:w="7066"/>
          </w:cols>
        </w:sectPr>
      </w:pPr>
    </w:p>
    <w:p>
      <w:pPr>
        <w:tabs>
          <w:tab w:pos="2512" w:val="left" w:leader="none"/>
        </w:tabs>
        <w:spacing w:before="0"/>
        <w:ind w:left="1668" w:right="0" w:firstLine="0"/>
        <w:jc w:val="left"/>
        <w:rPr>
          <w:i/>
          <w:sz w:val="14"/>
        </w:rPr>
      </w:pPr>
      <w:r>
        <w:rPr>
          <w:rFonts w:ascii="Symbol" w:hAnsi="Symbol"/>
          <w:sz w:val="24"/>
        </w:rPr>
        <w:t></w:t>
      </w:r>
      <w:r>
        <w:rPr>
          <w:spacing w:val="93"/>
          <w:sz w:val="24"/>
        </w:rPr>
        <w:t> </w:t>
      </w:r>
      <w:r>
        <w:rPr>
          <w:i/>
          <w:sz w:val="14"/>
        </w:rPr>
        <w:t>i</w:t>
        <w:tab/>
      </w:r>
      <w:r>
        <w:rPr>
          <w:i/>
          <w:spacing w:val="-3"/>
          <w:sz w:val="14"/>
        </w:rPr>
        <w:t>it</w:t>
      </w:r>
    </w:p>
    <w:p>
      <w:pPr>
        <w:tabs>
          <w:tab w:pos="1004" w:val="left" w:leader="none"/>
          <w:tab w:pos="2093" w:val="left" w:leader="none"/>
        </w:tabs>
        <w:spacing w:before="109"/>
        <w:ind w:left="354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14"/>
        </w:rPr>
        <w:t>2   </w:t>
      </w:r>
      <w:r>
        <w:rPr>
          <w:spacing w:val="6"/>
          <w:sz w:val="14"/>
        </w:rPr>
        <w:t> </w:t>
      </w:r>
      <w:r>
        <w:rPr>
          <w:i/>
          <w:sz w:val="14"/>
        </w:rPr>
        <w:t>it</w:t>
        <w:tab/>
        <w:t>it</w:t>
        <w:tab/>
        <w:t>it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00" w:bottom="280" w:left="880" w:right="300"/>
          <w:cols w:num="2" w:equalWidth="0">
            <w:col w:w="2591" w:space="40"/>
            <w:col w:w="8099"/>
          </w:cols>
        </w:sectPr>
      </w:pPr>
    </w:p>
    <w:p>
      <w:pPr>
        <w:spacing w:before="91"/>
        <w:ind w:left="1192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sz w:val="25"/>
        </w:rPr>
        <w:t></w:t>
      </w:r>
      <w:r>
        <w:rPr>
          <w:spacing w:val="26"/>
          <w:sz w:val="25"/>
        </w:rPr>
        <w:t> </w:t>
      </w:r>
      <w:r>
        <w:rPr>
          <w:rFonts w:ascii="Symbol" w:hAnsi="Symbol"/>
          <w:sz w:val="24"/>
        </w:rPr>
        <w:t></w:t>
      </w:r>
      <w:r>
        <w:rPr>
          <w:spacing w:val="-10"/>
          <w:sz w:val="24"/>
        </w:rPr>
        <w:t> </w:t>
      </w:r>
      <w:r>
        <w:rPr>
          <w:sz w:val="24"/>
        </w:rPr>
        <w:t>(</w:t>
      </w:r>
      <w:r>
        <w:rPr>
          <w:rFonts w:ascii="Symbol" w:hAnsi="Symbol"/>
          <w:sz w:val="25"/>
        </w:rPr>
        <w:t></w:t>
      </w:r>
      <w:r>
        <w:rPr>
          <w:sz w:val="25"/>
          <w:vertAlign w:val="subscript"/>
        </w:rPr>
        <w:t>1</w:t>
      </w:r>
      <w:r>
        <w:rPr>
          <w:sz w:val="24"/>
          <w:vertAlign w:val="baseline"/>
        </w:rPr>
        <w:t>,</w:t>
      </w:r>
      <w:r>
        <w:rPr>
          <w:rFonts w:ascii="Symbol" w:hAnsi="Symbol"/>
          <w:sz w:val="25"/>
          <w:vertAlign w:val="baseline"/>
        </w:rPr>
        <w:t></w:t>
      </w:r>
      <w:r>
        <w:rPr>
          <w:sz w:val="25"/>
          <w:vertAlign w:val="subscript"/>
        </w:rPr>
        <w:t>2</w:t>
      </w:r>
      <w:r>
        <w:rPr>
          <w:sz w:val="24"/>
          <w:vertAlign w:val="baseline"/>
        </w:rPr>
        <w:t>,</w:t>
      </w:r>
      <w:r>
        <w:rPr>
          <w:rFonts w:ascii="Symbol" w:hAnsi="Symbol"/>
          <w:sz w:val="25"/>
          <w:vertAlign w:val="baseline"/>
        </w:rPr>
        <w:t></w:t>
      </w:r>
      <w:r>
        <w:rPr>
          <w:sz w:val="25"/>
          <w:vertAlign w:val="subscript"/>
        </w:rPr>
        <w:t>3</w:t>
      </w:r>
      <w:r>
        <w:rPr>
          <w:sz w:val="24"/>
          <w:vertAlign w:val="baseline"/>
        </w:rPr>
        <w:t>,</w:t>
      </w:r>
      <w:r>
        <w:rPr>
          <w:rFonts w:ascii="Symbol" w:hAnsi="Symbol"/>
          <w:sz w:val="25"/>
          <w:vertAlign w:val="baseline"/>
        </w:rPr>
        <w:t></w:t>
      </w:r>
      <w:r>
        <w:rPr>
          <w:sz w:val="25"/>
          <w:vertAlign w:val="subscript"/>
        </w:rPr>
        <w:t>4</w:t>
      </w:r>
      <w:r>
        <w:rPr>
          <w:spacing w:val="-39"/>
          <w:sz w:val="25"/>
          <w:vertAlign w:val="baseline"/>
        </w:rPr>
        <w:t> </w:t>
      </w:r>
      <w:r>
        <w:rPr>
          <w:sz w:val="24"/>
          <w:vertAlign w:val="baseline"/>
        </w:rPr>
        <w:t>)</w:t>
      </w:r>
      <w:r>
        <w:rPr>
          <w:rFonts w:ascii="Symbol" w:hAnsi="Symbol"/>
          <w:position w:val="1"/>
          <w:sz w:val="24"/>
          <w:vertAlign w:val="baseline"/>
        </w:rPr>
        <w:t></w:t>
      </w:r>
      <w:r>
        <w:rPr>
          <w:sz w:val="24"/>
          <w:vertAlign w:val="baseline"/>
        </w:rPr>
        <w:t>,</w:t>
      </w:r>
      <w:r>
        <w:rPr>
          <w:spacing w:val="42"/>
          <w:sz w:val="24"/>
          <w:vertAlign w:val="baseline"/>
        </w:rPr>
        <w:t> </w:t>
      </w:r>
      <w:r>
        <w:rPr>
          <w:i/>
          <w:sz w:val="24"/>
          <w:vertAlign w:val="baseline"/>
        </w:rPr>
        <w:t>h</w:t>
      </w:r>
      <w:r>
        <w:rPr>
          <w:i/>
          <w:position w:val="-5"/>
          <w:sz w:val="14"/>
          <w:vertAlign w:val="baseline"/>
        </w:rPr>
        <w:t>it</w:t>
      </w:r>
      <w:r>
        <w:rPr>
          <w:i/>
          <w:spacing w:val="24"/>
          <w:position w:val="-5"/>
          <w:sz w:val="1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</w:t>
      </w:r>
      <w:r>
        <w:rPr>
          <w:spacing w:val="-11"/>
          <w:sz w:val="24"/>
          <w:vertAlign w:val="baseline"/>
        </w:rPr>
        <w:t> </w:t>
      </w:r>
      <w:r>
        <w:rPr>
          <w:sz w:val="24"/>
          <w:vertAlign w:val="baseline"/>
        </w:rPr>
        <w:t>(</w:t>
      </w:r>
      <w:r>
        <w:rPr>
          <w:i/>
          <w:sz w:val="24"/>
          <w:vertAlign w:val="baseline"/>
        </w:rPr>
        <w:t>s</w:t>
      </w:r>
      <w:r>
        <w:rPr>
          <w:i/>
          <w:position w:val="-5"/>
          <w:sz w:val="14"/>
          <w:vertAlign w:val="baseline"/>
        </w:rPr>
        <w:t>it</w:t>
      </w:r>
      <w:r>
        <w:rPr>
          <w:i/>
          <w:spacing w:val="-3"/>
          <w:position w:val="-5"/>
          <w:sz w:val="1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-31"/>
          <w:sz w:val="24"/>
          <w:vertAlign w:val="baseline"/>
        </w:rPr>
        <w:t> </w:t>
      </w:r>
      <w:r>
        <w:rPr>
          <w:i/>
          <w:sz w:val="24"/>
          <w:vertAlign w:val="baseline"/>
        </w:rPr>
        <w:t>m</w:t>
      </w:r>
      <w:r>
        <w:rPr>
          <w:i/>
          <w:position w:val="-5"/>
          <w:sz w:val="14"/>
          <w:vertAlign w:val="baseline"/>
        </w:rPr>
        <w:t>it</w:t>
      </w:r>
      <w:r>
        <w:rPr>
          <w:i/>
          <w:spacing w:val="-4"/>
          <w:position w:val="-5"/>
          <w:sz w:val="1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-19"/>
          <w:sz w:val="24"/>
          <w:vertAlign w:val="baseline"/>
        </w:rPr>
        <w:t> </w:t>
      </w:r>
      <w:r>
        <w:rPr>
          <w:i/>
          <w:sz w:val="24"/>
          <w:vertAlign w:val="baseline"/>
        </w:rPr>
        <w:t>g</w:t>
      </w:r>
      <w:r>
        <w:rPr>
          <w:i/>
          <w:position w:val="-5"/>
          <w:sz w:val="14"/>
          <w:vertAlign w:val="baseline"/>
        </w:rPr>
        <w:t>it</w:t>
      </w:r>
      <w:r>
        <w:rPr>
          <w:i/>
          <w:spacing w:val="-3"/>
          <w:position w:val="-5"/>
          <w:sz w:val="14"/>
          <w:vertAlign w:val="baseline"/>
        </w:rPr>
        <w:t> </w:t>
      </w:r>
      <w:r>
        <w:rPr>
          <w:sz w:val="24"/>
          <w:vertAlign w:val="baseline"/>
        </w:rPr>
        <w:t>,</w:t>
      </w:r>
      <w:r>
        <w:rPr>
          <w:spacing w:val="-36"/>
          <w:sz w:val="24"/>
          <w:vertAlign w:val="baseline"/>
        </w:rPr>
        <w:t> </w:t>
      </w:r>
      <w:r>
        <w:rPr>
          <w:i/>
          <w:sz w:val="24"/>
          <w:vertAlign w:val="baseline"/>
        </w:rPr>
        <w:t>c</w:t>
      </w:r>
      <w:r>
        <w:rPr>
          <w:i/>
          <w:position w:val="-5"/>
          <w:sz w:val="14"/>
          <w:vertAlign w:val="baseline"/>
        </w:rPr>
        <w:t>it </w:t>
      </w:r>
      <w:r>
        <w:rPr>
          <w:sz w:val="24"/>
          <w:vertAlign w:val="baseline"/>
        </w:rPr>
        <w:t>)</w:t>
      </w:r>
      <w:r>
        <w:rPr>
          <w:rFonts w:ascii="Symbol" w:hAnsi="Symbol"/>
          <w:position w:val="1"/>
          <w:sz w:val="24"/>
          <w:vertAlign w:val="baseline"/>
        </w:rPr>
        <w:t></w:t>
      </w:r>
    </w:p>
    <w:p>
      <w:pPr>
        <w:pStyle w:val="BodyText"/>
        <w:ind w:left="0"/>
        <w:jc w:val="left"/>
        <w:rPr>
          <w:rFonts w:ascii="Symbol" w:hAnsi="Symbol"/>
          <w:sz w:val="20"/>
        </w:rPr>
      </w:pPr>
    </w:p>
    <w:p>
      <w:pPr>
        <w:pStyle w:val="BodyText"/>
        <w:spacing w:before="1"/>
        <w:ind w:left="0"/>
        <w:jc w:val="left"/>
        <w:rPr>
          <w:rFonts w:ascii="Symbol" w:hAnsi="Symbol"/>
          <w:sz w:val="15"/>
        </w:rPr>
      </w:pPr>
    </w:p>
    <w:p>
      <w:pPr>
        <w:spacing w:after="0"/>
        <w:jc w:val="left"/>
        <w:rPr>
          <w:rFonts w:ascii="Symbol" w:hAnsi="Symbol"/>
          <w:sz w:val="15"/>
        </w:rPr>
        <w:sectPr>
          <w:pgSz w:w="11910" w:h="16840"/>
          <w:pgMar w:header="0" w:footer="1402" w:top="1100" w:bottom="1680" w:left="880" w:right="300"/>
        </w:sectPr>
      </w:pPr>
    </w:p>
    <w:p>
      <w:pPr>
        <w:pStyle w:val="BodyText"/>
        <w:spacing w:before="90"/>
        <w:jc w:val="left"/>
      </w:pPr>
      <w:r>
        <w:rPr>
          <w:spacing w:val="-1"/>
        </w:rPr>
        <w:t>Where</w:t>
      </w:r>
    </w:p>
    <w:p>
      <w:pPr>
        <w:spacing w:before="94"/>
        <w:ind w:left="65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position w:val="6"/>
          <w:sz w:val="24"/>
        </w:rPr>
        <w:t>v</w:t>
      </w:r>
      <w:r>
        <w:rPr>
          <w:i/>
          <w:sz w:val="14"/>
        </w:rPr>
        <w:t>it</w:t>
      </w:r>
    </w:p>
    <w:p>
      <w:pPr>
        <w:pStyle w:val="BodyText"/>
        <w:spacing w:before="90"/>
        <w:ind w:left="83"/>
        <w:jc w:val="left"/>
      </w:pPr>
      <w:r>
        <w:rPr/>
        <w:br w:type="column"/>
      </w:r>
      <w:r>
        <w:rPr/>
        <w:t>represents</w:t>
      </w:r>
      <w:r>
        <w:rPr>
          <w:spacing w:val="8"/>
        </w:rPr>
        <w:t> </w:t>
      </w:r>
      <w:r>
        <w:rPr/>
        <w:t>proxy</w:t>
      </w:r>
      <w:r>
        <w:rPr>
          <w:spacing w:val="8"/>
        </w:rPr>
        <w:t> </w:t>
      </w:r>
      <w:r>
        <w:rPr/>
        <w:t>variables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tax</w:t>
      </w:r>
      <w:r>
        <w:rPr>
          <w:spacing w:val="8"/>
        </w:rPr>
        <w:t> </w:t>
      </w:r>
      <w:r>
        <w:rPr/>
        <w:t>aggressiveness,</w:t>
      </w:r>
      <w:r>
        <w:rPr>
          <w:spacing w:val="6"/>
        </w:rPr>
        <w:t> </w:t>
      </w:r>
      <w:r>
        <w:rPr/>
        <w:t>which</w:t>
      </w:r>
      <w:r>
        <w:rPr>
          <w:spacing w:val="9"/>
        </w:rPr>
        <w:t> </w:t>
      </w:r>
      <w:r>
        <w:rPr/>
        <w:t>are;</w:t>
      </w:r>
    </w:p>
    <w:p>
      <w:pPr>
        <w:spacing w:before="92"/>
        <w:ind w:left="67" w:right="0" w:firstLine="0"/>
        <w:jc w:val="left"/>
        <w:rPr>
          <w:sz w:val="24"/>
        </w:rPr>
      </w:pPr>
      <w:r>
        <w:rPr/>
        <w:br w:type="column"/>
      </w:r>
      <w:r>
        <w:rPr>
          <w:i/>
          <w:sz w:val="24"/>
        </w:rPr>
        <w:t>d</w:t>
      </w:r>
      <w:r>
        <w:rPr>
          <w:i/>
          <w:position w:val="-5"/>
          <w:sz w:val="14"/>
        </w:rPr>
        <w:t>it</w:t>
      </w:r>
      <w:r>
        <w:rPr>
          <w:i/>
          <w:spacing w:val="16"/>
          <w:position w:val="-5"/>
          <w:sz w:val="14"/>
        </w:rPr>
        <w:t> </w:t>
      </w:r>
      <w:r>
        <w:rPr>
          <w:sz w:val="24"/>
        </w:rPr>
        <w:t>,</w:t>
      </w:r>
      <w:r>
        <w:rPr>
          <w:spacing w:val="14"/>
          <w:sz w:val="24"/>
        </w:rPr>
        <w:t> </w:t>
      </w:r>
      <w:r>
        <w:rPr>
          <w:sz w:val="24"/>
        </w:rPr>
        <w:t>represents</w:t>
      </w:r>
      <w:r>
        <w:rPr>
          <w:spacing w:val="16"/>
          <w:sz w:val="24"/>
        </w:rPr>
        <w:t> </w:t>
      </w:r>
      <w:r>
        <w:rPr>
          <w:sz w:val="24"/>
        </w:rPr>
        <w:t>the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00" w:bottom="280" w:left="880" w:right="300"/>
          <w:cols w:num="4" w:equalWidth="0">
            <w:col w:w="1460" w:space="40"/>
            <w:col w:w="258" w:space="39"/>
            <w:col w:w="6260" w:space="39"/>
            <w:col w:w="2634"/>
          </w:cols>
        </w:sectPr>
      </w:pPr>
    </w:p>
    <w:p>
      <w:pPr>
        <w:pStyle w:val="BodyText"/>
        <w:ind w:left="0"/>
        <w:jc w:val="left"/>
        <w:rPr>
          <w:sz w:val="15"/>
        </w:rPr>
      </w:pPr>
    </w:p>
    <w:p>
      <w:pPr>
        <w:pStyle w:val="BodyText"/>
        <w:spacing w:before="103"/>
        <w:jc w:val="left"/>
      </w:pPr>
      <w:r>
        <w:rPr/>
        <w:t>threshold</w:t>
      </w:r>
      <w:r>
        <w:rPr>
          <w:spacing w:val="9"/>
        </w:rPr>
        <w:t> </w:t>
      </w:r>
      <w:r>
        <w:rPr/>
        <w:t>variables,;</w:t>
      </w:r>
      <w:r>
        <w:rPr>
          <w:spacing w:val="34"/>
        </w:rPr>
        <w:t> </w:t>
      </w:r>
      <w:r>
        <w:rPr>
          <w:rFonts w:ascii="Symbol" w:hAnsi="Symbol"/>
          <w:sz w:val="25"/>
        </w:rPr>
        <w:t></w:t>
      </w:r>
      <w:r>
        <w:rPr>
          <w:spacing w:val="15"/>
          <w:sz w:val="25"/>
        </w:rPr>
        <w:t> </w:t>
      </w:r>
      <w:r>
        <w:rPr/>
        <w:t>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specific</w:t>
      </w:r>
      <w:r>
        <w:rPr>
          <w:spacing w:val="9"/>
        </w:rPr>
        <w:t> </w:t>
      </w:r>
      <w:r>
        <w:rPr/>
        <w:t>estimated</w:t>
      </w:r>
      <w:r>
        <w:rPr>
          <w:spacing w:val="15"/>
        </w:rPr>
        <w:t> </w:t>
      </w:r>
      <w:r>
        <w:rPr/>
        <w:t>threshold</w:t>
      </w:r>
      <w:r>
        <w:rPr>
          <w:spacing w:val="10"/>
        </w:rPr>
        <w:t> </w:t>
      </w:r>
      <w:r>
        <w:rPr/>
        <w:t>value.</w:t>
      </w:r>
      <w:r>
        <w:rPr>
          <w:spacing w:val="10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“control</w:t>
      </w:r>
      <w:r>
        <w:rPr>
          <w:spacing w:val="11"/>
        </w:rPr>
        <w:t> </w:t>
      </w:r>
      <w:r>
        <w:rPr/>
        <w:t>variables”(</w:t>
      </w:r>
    </w:p>
    <w:p>
      <w:pPr>
        <w:pStyle w:val="BodyText"/>
        <w:spacing w:before="1"/>
        <w:ind w:left="0"/>
        <w:jc w:val="left"/>
        <w:rPr>
          <w:sz w:val="27"/>
        </w:rPr>
      </w:pPr>
    </w:p>
    <w:p>
      <w:pPr>
        <w:pStyle w:val="BodyText"/>
        <w:ind w:left="859"/>
        <w:jc w:val="left"/>
      </w:pPr>
      <w:r>
        <w:rPr>
          <w:i/>
          <w:spacing w:val="-1"/>
        </w:rPr>
        <w:t>h</w:t>
      </w:r>
      <w:r>
        <w:rPr>
          <w:i/>
          <w:spacing w:val="-1"/>
          <w:position w:val="-5"/>
          <w:sz w:val="14"/>
        </w:rPr>
        <w:t>it</w:t>
      </w:r>
      <w:r>
        <w:rPr>
          <w:i/>
          <w:spacing w:val="11"/>
          <w:position w:val="-5"/>
          <w:sz w:val="14"/>
        </w:rPr>
        <w:t> </w:t>
      </w:r>
      <w:r>
        <w:rPr>
          <w:spacing w:val="-1"/>
        </w:rPr>
        <w:t>)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10"/>
        </w:rPr>
        <w:t> </w:t>
      </w:r>
      <w:r>
        <w:rPr>
          <w:spacing w:val="-1"/>
        </w:rPr>
        <w:t>may</w:t>
      </w:r>
      <w:r>
        <w:rPr>
          <w:spacing w:val="-10"/>
        </w:rPr>
        <w:t> </w:t>
      </w:r>
      <w:r>
        <w:rPr>
          <w:spacing w:val="-1"/>
        </w:rPr>
        <w:t>have</w:t>
      </w:r>
      <w:r>
        <w:rPr>
          <w:spacing w:val="-10"/>
        </w:rPr>
        <w:t> </w:t>
      </w:r>
      <w:r>
        <w:rPr>
          <w:spacing w:val="-1"/>
        </w:rPr>
        <w:t>influences</w:t>
      </w:r>
      <w:r>
        <w:rPr>
          <w:spacing w:val="-10"/>
        </w:rPr>
        <w:t> </w:t>
      </w:r>
      <w:r>
        <w:rPr/>
        <w:t>on.</w:t>
      </w:r>
      <w:r>
        <w:rPr>
          <w:spacing w:val="-8"/>
        </w:rPr>
        <w:t> </w:t>
      </w:r>
      <w:r>
        <w:rPr/>
        <w:t>tax</w:t>
      </w:r>
      <w:r>
        <w:rPr>
          <w:spacing w:val="-11"/>
        </w:rPr>
        <w:t> </w:t>
      </w:r>
      <w:r>
        <w:rPr/>
        <w:t>aggressiveness,</w:t>
      </w:r>
      <w:r>
        <w:rPr>
          <w:spacing w:val="-7"/>
        </w:rPr>
        <w:t> </w:t>
      </w:r>
      <w:r>
        <w:rPr/>
        <w:t>besides,</w:t>
      </w:r>
      <w:r>
        <w:rPr>
          <w:spacing w:val="-20"/>
        </w:rPr>
        <w:t> </w:t>
      </w:r>
      <w:r>
        <w:rPr>
          <w:rFonts w:ascii="Symbol" w:hAnsi="Symbol"/>
          <w:sz w:val="25"/>
        </w:rPr>
        <w:t></w:t>
      </w:r>
      <w:r>
        <w:rPr>
          <w:i/>
          <w:sz w:val="25"/>
          <w:vertAlign w:val="subscript"/>
        </w:rPr>
        <w:t>i</w:t>
      </w:r>
      <w:r>
        <w:rPr>
          <w:i/>
          <w:spacing w:val="-14"/>
          <w:sz w:val="25"/>
          <w:vertAlign w:val="baseline"/>
        </w:rPr>
        <w:t> </w:t>
      </w:r>
      <w:r>
        <w:rPr>
          <w:vertAlign w:val="baseline"/>
        </w:rPr>
        <w:t>,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fixed</w:t>
      </w:r>
      <w:r>
        <w:rPr>
          <w:spacing w:val="-7"/>
          <w:vertAlign w:val="baseline"/>
        </w:rPr>
        <w:t> </w:t>
      </w:r>
      <w:r>
        <w:rPr>
          <w:vertAlign w:val="baseline"/>
        </w:rPr>
        <w:t>effect,</w:t>
      </w:r>
      <w:r>
        <w:rPr>
          <w:spacing w:val="-6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before="5"/>
        <w:ind w:left="0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pStyle w:val="BodyText"/>
        <w:spacing w:before="105"/>
        <w:jc w:val="left"/>
        <w:rPr>
          <w:i/>
          <w:sz w:val="25"/>
        </w:rPr>
      </w:pPr>
      <w:r>
        <w:rPr/>
        <w:drawing>
          <wp:anchor distT="0" distB="0" distL="0" distR="0" allowOverlap="1" layoutInCell="1" locked="0" behindDoc="1" simplePos="0" relativeHeight="454042112">
            <wp:simplePos x="0" y="0"/>
            <wp:positionH relativeFrom="page">
              <wp:posOffset>1261605</wp:posOffset>
            </wp:positionH>
            <wp:positionV relativeFrom="paragraph">
              <wp:posOffset>128578</wp:posOffset>
            </wp:positionV>
            <wp:extent cx="5133225" cy="5265293"/>
            <wp:effectExtent l="0" t="0" r="0" b="0"/>
            <wp:wrapNone/>
            <wp:docPr id="19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heterogeneity</w:t>
      </w:r>
      <w:r>
        <w:rPr>
          <w:spacing w:val="6"/>
        </w:rPr>
        <w:t> </w:t>
      </w:r>
      <w:r>
        <w:rPr>
          <w:spacing w:val="-1"/>
        </w:rPr>
        <w:t>of</w:t>
      </w:r>
      <w:r>
        <w:rPr>
          <w:spacing w:val="6"/>
        </w:rPr>
        <w:t> </w:t>
      </w:r>
      <w:r>
        <w:rPr>
          <w:spacing w:val="-1"/>
        </w:rPr>
        <w:t>companies</w:t>
      </w:r>
      <w:r>
        <w:rPr>
          <w:spacing w:val="7"/>
        </w:rPr>
        <w:t> </w:t>
      </w:r>
      <w:r>
        <w:rPr/>
        <w:t>under</w:t>
      </w:r>
      <w:r>
        <w:rPr>
          <w:spacing w:val="6"/>
        </w:rPr>
        <w:t> </w:t>
      </w:r>
      <w:r>
        <w:rPr/>
        <w:t>different</w:t>
      </w:r>
      <w:r>
        <w:rPr>
          <w:spacing w:val="8"/>
        </w:rPr>
        <w:t> </w:t>
      </w:r>
      <w:r>
        <w:rPr/>
        <w:t>operating</w:t>
      </w:r>
      <w:r>
        <w:rPr>
          <w:spacing w:val="7"/>
        </w:rPr>
        <w:t> </w:t>
      </w:r>
      <w:r>
        <w:rPr/>
        <w:t>conditions;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errors</w:t>
      </w:r>
      <w:r>
        <w:rPr>
          <w:spacing w:val="39"/>
        </w:rPr>
        <w:t> </w:t>
      </w:r>
      <w:r>
        <w:rPr>
          <w:rFonts w:ascii="Symbol" w:hAnsi="Symbol"/>
          <w:sz w:val="25"/>
        </w:rPr>
        <w:t></w:t>
      </w:r>
      <w:r>
        <w:rPr>
          <w:spacing w:val="-39"/>
          <w:sz w:val="25"/>
        </w:rPr>
        <w:t> </w:t>
      </w:r>
      <w:r>
        <w:rPr>
          <w:i/>
          <w:sz w:val="25"/>
          <w:vertAlign w:val="subscript"/>
        </w:rPr>
        <w:t>it</w:t>
      </w:r>
    </w:p>
    <w:p>
      <w:pPr>
        <w:pStyle w:val="BodyText"/>
        <w:spacing w:before="129"/>
        <w:ind w:left="68"/>
        <w:jc w:val="left"/>
      </w:pPr>
      <w:r>
        <w:rPr/>
        <w:br w:type="column"/>
      </w:r>
      <w:r>
        <w:rPr/>
        <w:t>is</w:t>
      </w:r>
      <w:r>
        <w:rPr>
          <w:spacing w:val="5"/>
        </w:rPr>
        <w:t> </w:t>
      </w:r>
      <w:r>
        <w:rPr/>
        <w:t>assumed</w:t>
      </w:r>
      <w:r>
        <w:rPr>
          <w:spacing w:val="5"/>
        </w:rPr>
        <w:t> </w:t>
      </w:r>
      <w:r>
        <w:rPr/>
        <w:t>to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  <w:cols w:num="2" w:equalWidth="0">
            <w:col w:w="8477" w:space="40"/>
            <w:col w:w="2213"/>
          </w:cols>
        </w:sectPr>
      </w:pPr>
    </w:p>
    <w:p>
      <w:pPr>
        <w:pStyle w:val="BodyText"/>
        <w:spacing w:before="3"/>
        <w:ind w:left="0"/>
        <w:jc w:val="left"/>
        <w:rPr>
          <w:sz w:val="21"/>
        </w:rPr>
      </w:pPr>
    </w:p>
    <w:p>
      <w:pPr>
        <w:pStyle w:val="BodyText"/>
        <w:spacing w:before="105"/>
        <w:jc w:val="left"/>
      </w:pPr>
      <w:r>
        <w:rPr>
          <w:spacing w:val="-1"/>
        </w:rPr>
        <w:t>be</w:t>
      </w:r>
      <w:r>
        <w:rPr>
          <w:spacing w:val="68"/>
        </w:rPr>
        <w:t> </w:t>
      </w:r>
      <w:r>
        <w:rPr>
          <w:spacing w:val="-1"/>
        </w:rPr>
        <w:t>independent</w:t>
      </w:r>
      <w:r>
        <w:rPr>
          <w:spacing w:val="127"/>
        </w:rPr>
        <w:t> </w:t>
      </w:r>
      <w:r>
        <w:rPr>
          <w:spacing w:val="-1"/>
        </w:rPr>
        <w:t>and</w:t>
      </w:r>
      <w:r>
        <w:rPr>
          <w:spacing w:val="127"/>
        </w:rPr>
        <w:t> </w:t>
      </w:r>
      <w:r>
        <w:rPr>
          <w:spacing w:val="-1"/>
        </w:rPr>
        <w:t>identically</w:t>
      </w:r>
      <w:r>
        <w:rPr>
          <w:spacing w:val="127"/>
        </w:rPr>
        <w:t> </w:t>
      </w:r>
      <w:r>
        <w:rPr>
          <w:spacing w:val="-1"/>
        </w:rPr>
        <w:t>distributed</w:t>
      </w:r>
      <w:r>
        <w:rPr>
          <w:spacing w:val="124"/>
        </w:rPr>
        <w:t> </w:t>
      </w:r>
      <w:r>
        <w:rPr/>
        <w:t>with  </w:t>
      </w:r>
      <w:r>
        <w:rPr>
          <w:spacing w:val="8"/>
        </w:rPr>
        <w:t> </w:t>
      </w:r>
      <w:r>
        <w:rPr/>
        <w:t>mean  </w:t>
      </w:r>
      <w:r>
        <w:rPr>
          <w:spacing w:val="7"/>
        </w:rPr>
        <w:t> </w:t>
      </w:r>
      <w:r>
        <w:rPr/>
        <w:t>zero  </w:t>
      </w:r>
      <w:r>
        <w:rPr>
          <w:spacing w:val="7"/>
        </w:rPr>
        <w:t> </w:t>
      </w:r>
      <w:r>
        <w:rPr/>
        <w:t>and  </w:t>
      </w:r>
      <w:r>
        <w:rPr>
          <w:spacing w:val="6"/>
        </w:rPr>
        <w:t> </w:t>
      </w:r>
      <w:r>
        <w:rPr/>
        <w:t>finite  </w:t>
      </w:r>
      <w:r>
        <w:rPr>
          <w:spacing w:val="7"/>
        </w:rPr>
        <w:t> </w:t>
      </w:r>
      <w:r>
        <w:rPr/>
        <w:t>variance</w:t>
      </w:r>
      <w:r>
        <w:rPr>
          <w:spacing w:val="-37"/>
        </w:rPr>
        <w:t> </w:t>
      </w:r>
      <w:r>
        <w:rPr>
          <w:rFonts w:ascii="Symbol" w:hAnsi="Symbol"/>
          <w:sz w:val="25"/>
        </w:rPr>
        <w:t></w:t>
      </w:r>
      <w:r>
        <w:rPr>
          <w:spacing w:val="-10"/>
          <w:sz w:val="25"/>
        </w:rPr>
        <w:t> </w:t>
      </w:r>
      <w:r>
        <w:rPr>
          <w:sz w:val="25"/>
          <w:vertAlign w:val="superscript"/>
        </w:rPr>
        <w:t>2</w:t>
      </w:r>
      <w:r>
        <w:rPr>
          <w:spacing w:val="-28"/>
          <w:sz w:val="25"/>
          <w:vertAlign w:val="baseline"/>
        </w:rPr>
        <w:t> </w:t>
      </w:r>
      <w:r>
        <w:rPr>
          <w:vertAlign w:val="baseline"/>
        </w:rPr>
        <w:t>(</w:t>
      </w:r>
    </w:p>
    <w:p>
      <w:pPr>
        <w:pStyle w:val="BodyText"/>
        <w:spacing w:before="2"/>
        <w:ind w:left="0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spacing w:before="106"/>
        <w:ind w:left="848" w:right="0" w:firstLine="0"/>
        <w:jc w:val="left"/>
        <w:rPr>
          <w:sz w:val="24"/>
        </w:rPr>
      </w:pPr>
      <w:r>
        <w:rPr>
          <w:rFonts w:ascii="Symbol" w:hAnsi="Symbol"/>
          <w:sz w:val="25"/>
        </w:rPr>
        <w:t></w:t>
      </w:r>
      <w:r>
        <w:rPr>
          <w:i/>
          <w:sz w:val="25"/>
          <w:vertAlign w:val="subscript"/>
        </w:rPr>
        <w:t>it</w:t>
      </w:r>
      <w:r>
        <w:rPr>
          <w:i/>
          <w:spacing w:val="30"/>
          <w:sz w:val="25"/>
          <w:vertAlign w:val="baseline"/>
        </w:rPr>
        <w:t> </w:t>
      </w:r>
      <w:r>
        <w:rPr>
          <w:sz w:val="24"/>
          <w:vertAlign w:val="baseline"/>
        </w:rPr>
        <w:t>~</w:t>
      </w:r>
      <w:r>
        <w:rPr>
          <w:spacing w:val="-8"/>
          <w:sz w:val="24"/>
          <w:vertAlign w:val="baseline"/>
        </w:rPr>
        <w:t> </w:t>
      </w:r>
      <w:r>
        <w:rPr>
          <w:i/>
          <w:sz w:val="24"/>
          <w:vertAlign w:val="baseline"/>
        </w:rPr>
        <w:t>iid</w:t>
      </w:r>
      <w:r>
        <w:rPr>
          <w:sz w:val="24"/>
          <w:vertAlign w:val="baseline"/>
        </w:rPr>
        <w:t>(0,</w:t>
      </w:r>
    </w:p>
    <w:p>
      <w:pPr>
        <w:pStyle w:val="BodyText"/>
        <w:spacing w:before="106"/>
        <w:ind w:left="106"/>
        <w:jc w:val="left"/>
      </w:pPr>
      <w:r>
        <w:rPr/>
        <w:br w:type="column"/>
      </w:r>
      <w:r>
        <w:rPr>
          <w:rFonts w:ascii="Symbol" w:hAnsi="Symbol"/>
          <w:spacing w:val="-1"/>
          <w:sz w:val="25"/>
        </w:rPr>
        <w:t></w:t>
      </w:r>
      <w:r>
        <w:rPr>
          <w:spacing w:val="-21"/>
          <w:sz w:val="25"/>
        </w:rPr>
        <w:t> </w:t>
      </w:r>
      <w:r>
        <w:rPr>
          <w:spacing w:val="-1"/>
          <w:sz w:val="25"/>
          <w:vertAlign w:val="superscript"/>
        </w:rPr>
        <w:t>2</w:t>
      </w:r>
      <w:r>
        <w:rPr>
          <w:spacing w:val="-41"/>
          <w:sz w:val="25"/>
          <w:vertAlign w:val="baseline"/>
        </w:rPr>
        <w:t> </w:t>
      </w:r>
      <w:r>
        <w:rPr>
          <w:spacing w:val="-1"/>
          <w:vertAlign w:val="baseline"/>
        </w:rPr>
        <w:t>)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);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i</w:t>
      </w:r>
      <w:r>
        <w:rPr>
          <w:vertAlign w:val="baseline"/>
        </w:rPr>
        <w:t> </w:t>
      </w:r>
      <w:r>
        <w:rPr>
          <w:spacing w:val="-1"/>
          <w:vertAlign w:val="baseline"/>
        </w:rPr>
        <w:t>represents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companies;</w:t>
      </w:r>
      <w:r>
        <w:rPr>
          <w:spacing w:val="4"/>
          <w:vertAlign w:val="baseline"/>
        </w:rPr>
        <w:t> </w:t>
      </w:r>
      <w:r>
        <w:rPr>
          <w:vertAlign w:val="baseline"/>
        </w:rPr>
        <w:t>t represents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periods.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  <w:cols w:num="2" w:equalWidth="0">
            <w:col w:w="1857" w:space="40"/>
            <w:col w:w="8833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8"/>
        </w:rPr>
      </w:pPr>
    </w:p>
    <w:p>
      <w:pPr>
        <w:pStyle w:val="BodyText"/>
        <w:spacing w:before="90"/>
        <w:ind w:left="1422"/>
        <w:jc w:val="left"/>
      </w:pPr>
      <w:r>
        <w:rPr/>
        <w:t>Another</w:t>
      </w:r>
      <w:r>
        <w:rPr>
          <w:spacing w:val="-1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model of</w:t>
      </w:r>
      <w:r>
        <w:rPr>
          <w:spacing w:val="-1"/>
        </w:rPr>
        <w:t> </w:t>
      </w:r>
      <w:r>
        <w:rPr/>
        <w:t>(1)</w:t>
      </w:r>
      <w:r>
        <w:rPr>
          <w:spacing w:val="-1"/>
        </w:rPr>
        <w:t> </w:t>
      </w:r>
      <w:r>
        <w:rPr/>
        <w:t>is to</w:t>
      </w:r>
      <w:r>
        <w:rPr>
          <w:spacing w:val="-1"/>
        </w:rPr>
        <w:t> </w:t>
      </w:r>
      <w:r>
        <w:rPr/>
        <w:t>set:</w:t>
      </w:r>
    </w:p>
    <w:p>
      <w:pPr>
        <w:pStyle w:val="BodyText"/>
        <w:spacing w:before="2"/>
        <w:ind w:left="0"/>
        <w:jc w:val="left"/>
        <w:rPr>
          <w:sz w:val="29"/>
        </w:rPr>
      </w:pPr>
    </w:p>
    <w:p>
      <w:pPr>
        <w:spacing w:after="0"/>
        <w:jc w:val="left"/>
        <w:rPr>
          <w:sz w:val="29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spacing w:line="190" w:lineRule="exact" w:before="144"/>
        <w:ind w:left="855" w:right="0" w:firstLine="0"/>
        <w:jc w:val="left"/>
        <w:rPr>
          <w:i/>
          <w:sz w:val="23"/>
        </w:rPr>
      </w:pPr>
      <w:r>
        <w:rPr>
          <w:i/>
          <w:sz w:val="23"/>
        </w:rPr>
        <w:t>v</w:t>
      </w:r>
      <w:r>
        <w:rPr>
          <w:i/>
          <w:spacing w:val="108"/>
          <w:sz w:val="23"/>
        </w:rPr>
        <w:t> </w:t>
      </w:r>
      <w:r>
        <w:rPr>
          <w:rFonts w:ascii="Symbol" w:hAnsi="Symbol"/>
          <w:sz w:val="23"/>
        </w:rPr>
        <w:t></w:t>
      </w:r>
      <w:r>
        <w:rPr>
          <w:spacing w:val="5"/>
          <w:sz w:val="23"/>
        </w:rPr>
        <w:t> </w:t>
      </w:r>
      <w:r>
        <w:rPr>
          <w:rFonts w:ascii="Symbol" w:hAnsi="Symbol"/>
          <w:sz w:val="25"/>
        </w:rPr>
        <w:t></w:t>
      </w:r>
      <w:r>
        <w:rPr>
          <w:spacing w:val="57"/>
          <w:sz w:val="25"/>
        </w:rPr>
        <w:t> </w:t>
      </w:r>
      <w:r>
        <w:rPr>
          <w:rFonts w:ascii="Symbol" w:hAnsi="Symbol"/>
          <w:sz w:val="23"/>
        </w:rPr>
        <w:t></w:t>
      </w:r>
      <w:r>
        <w:rPr>
          <w:rFonts w:ascii="Symbol" w:hAnsi="Symbol"/>
          <w:sz w:val="25"/>
        </w:rPr>
        <w:t></w:t>
      </w:r>
      <w:r>
        <w:rPr>
          <w:spacing w:val="-20"/>
          <w:sz w:val="25"/>
        </w:rPr>
        <w:t> </w:t>
      </w:r>
      <w:r>
        <w:rPr>
          <w:position w:val="11"/>
          <w:sz w:val="13"/>
        </w:rPr>
        <w:t>'</w:t>
      </w:r>
      <w:r>
        <w:rPr>
          <w:i/>
          <w:sz w:val="23"/>
        </w:rPr>
        <w:t>h</w:t>
      </w:r>
    </w:p>
    <w:p>
      <w:pPr>
        <w:spacing w:line="233" w:lineRule="exact" w:before="101"/>
        <w:ind w:left="94" w:right="0" w:firstLine="0"/>
        <w:jc w:val="left"/>
        <w:rPr>
          <w:i/>
          <w:sz w:val="23"/>
        </w:rPr>
      </w:pPr>
      <w:r>
        <w:rPr/>
        <w:br w:type="column"/>
      </w:r>
      <w:r>
        <w:rPr>
          <w:rFonts w:ascii="Symbol" w:hAnsi="Symbol"/>
          <w:w w:val="95"/>
          <w:position w:val="2"/>
          <w:sz w:val="23"/>
        </w:rPr>
        <w:t></w:t>
      </w:r>
      <w:r>
        <w:rPr>
          <w:spacing w:val="-31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</w:t>
      </w:r>
      <w:r>
        <w:rPr>
          <w:spacing w:val="56"/>
          <w:w w:val="95"/>
          <w:position w:val="2"/>
          <w:sz w:val="25"/>
        </w:rPr>
        <w:t> </w:t>
      </w:r>
      <w:r>
        <w:rPr>
          <w:i/>
          <w:w w:val="95"/>
          <w:position w:val="2"/>
          <w:sz w:val="23"/>
        </w:rPr>
        <w:t>d</w:t>
      </w:r>
      <w:r>
        <w:rPr>
          <w:i/>
          <w:spacing w:val="64"/>
          <w:position w:val="2"/>
          <w:sz w:val="23"/>
        </w:rPr>
        <w:t> </w:t>
      </w:r>
      <w:r>
        <w:rPr>
          <w:i/>
          <w:w w:val="95"/>
          <w:position w:val="2"/>
          <w:sz w:val="23"/>
        </w:rPr>
        <w:t>I</w:t>
      </w:r>
      <w:r>
        <w:rPr>
          <w:i/>
          <w:spacing w:val="1"/>
          <w:w w:val="95"/>
          <w:position w:val="2"/>
          <w:sz w:val="23"/>
        </w:rPr>
        <w:t> </w:t>
      </w:r>
      <w:r>
        <w:rPr>
          <w:rFonts w:ascii="Symbol" w:hAnsi="Symbol"/>
          <w:w w:val="95"/>
          <w:sz w:val="31"/>
        </w:rPr>
        <w:t></w:t>
      </w:r>
      <w:r>
        <w:rPr>
          <w:i/>
          <w:w w:val="95"/>
          <w:position w:val="2"/>
          <w:sz w:val="23"/>
        </w:rPr>
        <w:t>d</w:t>
      </w:r>
    </w:p>
    <w:p>
      <w:pPr>
        <w:spacing w:line="233" w:lineRule="exact" w:before="101"/>
        <w:ind w:left="128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pacing w:val="-3"/>
          <w:w w:val="95"/>
          <w:position w:val="2"/>
          <w:sz w:val="23"/>
        </w:rPr>
        <w:t></w:t>
      </w:r>
      <w:r>
        <w:rPr>
          <w:spacing w:val="-14"/>
          <w:w w:val="95"/>
          <w:position w:val="2"/>
          <w:sz w:val="23"/>
        </w:rPr>
        <w:t> </w:t>
      </w:r>
      <w:r>
        <w:rPr>
          <w:rFonts w:ascii="Symbol" w:hAnsi="Symbol"/>
          <w:spacing w:val="-3"/>
          <w:w w:val="95"/>
          <w:position w:val="2"/>
          <w:sz w:val="25"/>
        </w:rPr>
        <w:t></w:t>
      </w:r>
      <w:r>
        <w:rPr>
          <w:spacing w:val="1"/>
          <w:w w:val="95"/>
          <w:position w:val="2"/>
          <w:sz w:val="25"/>
        </w:rPr>
        <w:t> </w:t>
      </w:r>
      <w:r>
        <w:rPr>
          <w:rFonts w:ascii="Symbol" w:hAnsi="Symbol"/>
          <w:spacing w:val="-2"/>
          <w:w w:val="95"/>
          <w:sz w:val="31"/>
        </w:rPr>
        <w:t></w:t>
      </w:r>
      <w:r>
        <w:rPr>
          <w:spacing w:val="-37"/>
          <w:w w:val="95"/>
          <w:sz w:val="31"/>
        </w:rPr>
        <w:t> </w:t>
      </w:r>
      <w:r>
        <w:rPr>
          <w:rFonts w:ascii="Symbol" w:hAnsi="Symbol"/>
          <w:spacing w:val="-2"/>
          <w:w w:val="95"/>
          <w:position w:val="2"/>
          <w:sz w:val="23"/>
        </w:rPr>
        <w:t></w:t>
      </w:r>
      <w:r>
        <w:rPr>
          <w:spacing w:val="-32"/>
          <w:w w:val="95"/>
          <w:position w:val="2"/>
          <w:sz w:val="23"/>
        </w:rPr>
        <w:t> </w:t>
      </w:r>
      <w:r>
        <w:rPr>
          <w:rFonts w:ascii="Symbol" w:hAnsi="Symbol"/>
          <w:spacing w:val="-2"/>
          <w:w w:val="95"/>
          <w:position w:val="2"/>
          <w:sz w:val="25"/>
        </w:rPr>
        <w:t></w:t>
      </w:r>
    </w:p>
    <w:p>
      <w:pPr>
        <w:spacing w:line="233" w:lineRule="exact" w:before="101"/>
        <w:ind w:left="67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i/>
          <w:w w:val="95"/>
          <w:position w:val="2"/>
          <w:sz w:val="23"/>
        </w:rPr>
        <w:t>d</w:t>
      </w:r>
      <w:r>
        <w:rPr>
          <w:i/>
          <w:spacing w:val="57"/>
          <w:position w:val="2"/>
          <w:sz w:val="23"/>
        </w:rPr>
        <w:t> </w:t>
      </w:r>
      <w:r>
        <w:rPr>
          <w:i/>
          <w:w w:val="95"/>
          <w:position w:val="2"/>
          <w:sz w:val="23"/>
        </w:rPr>
        <w:t>I </w:t>
      </w:r>
      <w:r>
        <w:rPr>
          <w:rFonts w:ascii="Symbol" w:hAnsi="Symbol"/>
          <w:spacing w:val="9"/>
          <w:w w:val="95"/>
          <w:sz w:val="31"/>
        </w:rPr>
        <w:t></w:t>
      </w:r>
      <w:r>
        <w:rPr>
          <w:i/>
          <w:spacing w:val="9"/>
          <w:w w:val="95"/>
          <w:position w:val="2"/>
          <w:sz w:val="23"/>
        </w:rPr>
        <w:t>d</w:t>
      </w:r>
      <w:r>
        <w:rPr>
          <w:i/>
          <w:spacing w:val="119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3"/>
        </w:rPr>
        <w:t></w:t>
      </w:r>
      <w:r>
        <w:rPr>
          <w:spacing w:val="-12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</w:t>
      </w:r>
      <w:r>
        <w:rPr>
          <w:spacing w:val="4"/>
          <w:w w:val="95"/>
          <w:position w:val="2"/>
          <w:sz w:val="25"/>
        </w:rPr>
        <w:t> </w:t>
      </w:r>
      <w:r>
        <w:rPr>
          <w:rFonts w:ascii="Symbol" w:hAnsi="Symbol"/>
          <w:w w:val="95"/>
          <w:sz w:val="31"/>
        </w:rPr>
        <w:t></w:t>
      </w:r>
      <w:r>
        <w:rPr>
          <w:spacing w:val="-36"/>
          <w:w w:val="95"/>
          <w:sz w:val="31"/>
        </w:rPr>
        <w:t> </w:t>
      </w:r>
      <w:r>
        <w:rPr>
          <w:rFonts w:ascii="Symbol" w:hAnsi="Symbol"/>
          <w:w w:val="95"/>
          <w:position w:val="2"/>
          <w:sz w:val="23"/>
        </w:rPr>
        <w:t></w:t>
      </w:r>
      <w:r>
        <w:rPr>
          <w:spacing w:val="-20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</w:t>
      </w:r>
    </w:p>
    <w:p>
      <w:pPr>
        <w:pStyle w:val="BodyText"/>
        <w:spacing w:line="159" w:lineRule="exact" w:before="176"/>
        <w:ind w:left="855"/>
        <w:jc w:val="left"/>
      </w:pPr>
      <w:r>
        <w:rPr/>
        <w:br w:type="column"/>
      </w:r>
      <w:r>
        <w:rPr/>
        <w:t>(iv)</w:t>
      </w:r>
    </w:p>
    <w:p>
      <w:pPr>
        <w:spacing w:after="0" w:line="159" w:lineRule="exact"/>
        <w:jc w:val="left"/>
        <w:sectPr>
          <w:type w:val="continuous"/>
          <w:pgSz w:w="11910" w:h="16840"/>
          <w:pgMar w:top="1500" w:bottom="280" w:left="880" w:right="300"/>
          <w:cols w:num="5" w:equalWidth="0">
            <w:col w:w="2034" w:space="40"/>
            <w:col w:w="1090" w:space="39"/>
            <w:col w:w="883" w:space="40"/>
            <w:col w:w="1581" w:space="740"/>
            <w:col w:w="4283"/>
          </w:cols>
        </w:sectPr>
      </w:pPr>
    </w:p>
    <w:p>
      <w:pPr>
        <w:tabs>
          <w:tab w:pos="1457" w:val="left" w:leader="none"/>
          <w:tab w:pos="2017" w:val="left" w:leader="none"/>
        </w:tabs>
        <w:spacing w:before="1"/>
        <w:ind w:left="955" w:right="0" w:firstLine="0"/>
        <w:jc w:val="left"/>
        <w:rPr>
          <w:i/>
          <w:sz w:val="13"/>
        </w:rPr>
      </w:pPr>
      <w:r>
        <w:rPr>
          <w:i/>
          <w:w w:val="105"/>
          <w:sz w:val="13"/>
        </w:rPr>
        <w:t>it</w:t>
        <w:tab/>
        <w:t>i</w:t>
        <w:tab/>
      </w:r>
      <w:r>
        <w:rPr>
          <w:i/>
          <w:spacing w:val="-3"/>
          <w:w w:val="105"/>
          <w:sz w:val="13"/>
        </w:rPr>
        <w:t>it</w:t>
      </w:r>
    </w:p>
    <w:p>
      <w:pPr>
        <w:tabs>
          <w:tab w:pos="1035" w:val="left" w:leader="none"/>
        </w:tabs>
        <w:spacing w:before="1"/>
        <w:ind w:left="339" w:right="0" w:firstLine="0"/>
        <w:jc w:val="left"/>
        <w:rPr>
          <w:i/>
          <w:sz w:val="13"/>
        </w:rPr>
      </w:pPr>
      <w:r>
        <w:rPr/>
        <w:br w:type="column"/>
      </w:r>
      <w:r>
        <w:rPr>
          <w:w w:val="105"/>
          <w:sz w:val="13"/>
        </w:rPr>
        <w:t>1   </w:t>
      </w:r>
      <w:r>
        <w:rPr>
          <w:spacing w:val="28"/>
          <w:w w:val="105"/>
          <w:sz w:val="13"/>
        </w:rPr>
        <w:t> </w:t>
      </w:r>
      <w:r>
        <w:rPr>
          <w:i/>
          <w:w w:val="105"/>
          <w:sz w:val="13"/>
        </w:rPr>
        <w:t>it</w:t>
        <w:tab/>
      </w:r>
      <w:r>
        <w:rPr>
          <w:i/>
          <w:spacing w:val="-3"/>
          <w:w w:val="105"/>
          <w:sz w:val="13"/>
        </w:rPr>
        <w:t>it</w:t>
      </w:r>
    </w:p>
    <w:p>
      <w:pPr>
        <w:tabs>
          <w:tab w:pos="1494" w:val="left" w:leader="none"/>
          <w:tab w:pos="2391" w:val="left" w:leader="none"/>
        </w:tabs>
        <w:spacing w:before="1"/>
        <w:ind w:left="814" w:right="0" w:firstLine="0"/>
        <w:jc w:val="left"/>
        <w:rPr>
          <w:i/>
          <w:sz w:val="13"/>
        </w:rPr>
      </w:pPr>
      <w:r>
        <w:rPr/>
        <w:br w:type="column"/>
      </w:r>
      <w:r>
        <w:rPr>
          <w:w w:val="105"/>
          <w:sz w:val="13"/>
        </w:rPr>
        <w:t>2   </w:t>
      </w:r>
      <w:r>
        <w:rPr>
          <w:spacing w:val="12"/>
          <w:w w:val="105"/>
          <w:sz w:val="13"/>
        </w:rPr>
        <w:t> </w:t>
      </w:r>
      <w:r>
        <w:rPr>
          <w:i/>
          <w:w w:val="105"/>
          <w:sz w:val="13"/>
        </w:rPr>
        <w:t>it</w:t>
        <w:tab/>
        <w:t>it</w:t>
        <w:tab/>
        <w:t>it</w:t>
      </w:r>
    </w:p>
    <w:p>
      <w:pPr>
        <w:spacing w:after="0"/>
        <w:jc w:val="left"/>
        <w:rPr>
          <w:sz w:val="13"/>
        </w:rPr>
        <w:sectPr>
          <w:type w:val="continuous"/>
          <w:pgSz w:w="11910" w:h="16840"/>
          <w:pgMar w:top="1500" w:bottom="280" w:left="880" w:right="300"/>
          <w:cols w:num="3" w:equalWidth="0">
            <w:col w:w="2096" w:space="40"/>
            <w:col w:w="1113" w:space="39"/>
            <w:col w:w="7442"/>
          </w:cols>
        </w:sectPr>
      </w:pPr>
    </w:p>
    <w:p>
      <w:pPr>
        <w:pStyle w:val="BodyText"/>
        <w:spacing w:before="5"/>
        <w:ind w:left="0"/>
        <w:jc w:val="left"/>
        <w:rPr>
          <w:i/>
          <w:sz w:val="26"/>
        </w:rPr>
      </w:pPr>
    </w:p>
    <w:p>
      <w:pPr>
        <w:pStyle w:val="BodyText"/>
        <w:spacing w:before="90"/>
        <w:jc w:val="left"/>
      </w:pPr>
      <w:r>
        <w:rPr/>
        <w:t>where</w:t>
      </w:r>
      <w:r>
        <w:rPr>
          <w:spacing w:val="-2"/>
        </w:rPr>
        <w:t> </w:t>
      </w:r>
      <w:r>
        <w:rPr/>
        <w:t>I(.)</w:t>
      </w:r>
      <w:r>
        <w:rPr>
          <w:spacing w:val="-1"/>
        </w:rPr>
        <w:t> </w:t>
      </w:r>
      <w:r>
        <w:rPr/>
        <w:t>represents</w:t>
      </w:r>
      <w:r>
        <w:rPr>
          <w:spacing w:val="-2"/>
        </w:rPr>
        <w:t> </w:t>
      </w:r>
      <w:r>
        <w:rPr/>
        <w:t>indicator</w:t>
      </w:r>
      <w:r>
        <w:rPr>
          <w:spacing w:val="-1"/>
        </w:rPr>
        <w:t> </w:t>
      </w:r>
      <w:r>
        <w:rPr/>
        <w:t>function,</w:t>
      </w:r>
    </w:p>
    <w:p>
      <w:pPr>
        <w:pStyle w:val="BodyText"/>
        <w:ind w:left="0"/>
        <w:jc w:val="left"/>
        <w:rPr>
          <w:sz w:val="17"/>
        </w:rPr>
      </w:pP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spacing w:before="102"/>
        <w:ind w:left="1335" w:right="0" w:firstLine="0"/>
        <w:jc w:val="left"/>
        <w:rPr>
          <w:i/>
          <w:sz w:val="13"/>
        </w:rPr>
      </w:pPr>
      <w:r>
        <w:rPr>
          <w:i/>
          <w:w w:val="95"/>
          <w:position w:val="2"/>
          <w:sz w:val="23"/>
        </w:rPr>
        <w:t>v</w:t>
      </w:r>
      <w:r>
        <w:rPr>
          <w:i/>
          <w:w w:val="95"/>
          <w:position w:val="-3"/>
          <w:sz w:val="13"/>
        </w:rPr>
        <w:t>it</w:t>
      </w:r>
      <w:r>
        <w:rPr>
          <w:i/>
          <w:spacing w:val="70"/>
          <w:position w:val="-3"/>
          <w:sz w:val="13"/>
        </w:rPr>
        <w:t> </w:t>
      </w:r>
      <w:r>
        <w:rPr>
          <w:rFonts w:ascii="Symbol" w:hAnsi="Symbol"/>
          <w:w w:val="95"/>
          <w:position w:val="2"/>
          <w:sz w:val="23"/>
        </w:rPr>
        <w:t></w:t>
      </w:r>
      <w:r>
        <w:rPr>
          <w:spacing w:val="15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</w:t>
      </w:r>
      <w:r>
        <w:rPr>
          <w:i/>
          <w:w w:val="95"/>
          <w:position w:val="-3"/>
          <w:sz w:val="13"/>
        </w:rPr>
        <w:t>i</w:t>
      </w:r>
      <w:r>
        <w:rPr>
          <w:i/>
          <w:spacing w:val="47"/>
          <w:position w:val="-3"/>
          <w:sz w:val="13"/>
        </w:rPr>
        <w:t> </w:t>
      </w:r>
      <w:r>
        <w:rPr>
          <w:rFonts w:ascii="Symbol" w:hAnsi="Symbol"/>
          <w:w w:val="95"/>
          <w:position w:val="2"/>
          <w:sz w:val="23"/>
        </w:rPr>
        <w:t></w:t>
      </w:r>
      <w:r>
        <w:rPr>
          <w:rFonts w:ascii="Symbol" w:hAnsi="Symbol"/>
          <w:w w:val="95"/>
          <w:position w:val="2"/>
          <w:sz w:val="25"/>
        </w:rPr>
        <w:t></w:t>
      </w:r>
      <w:r>
        <w:rPr>
          <w:spacing w:val="-20"/>
          <w:w w:val="95"/>
          <w:position w:val="2"/>
          <w:sz w:val="25"/>
        </w:rPr>
        <w:t> </w:t>
      </w:r>
      <w:r>
        <w:rPr>
          <w:rFonts w:ascii="Symbol" w:hAnsi="Symbol"/>
          <w:w w:val="95"/>
          <w:position w:val="3"/>
          <w:sz w:val="23"/>
        </w:rPr>
        <w:t></w:t>
      </w:r>
      <w:r>
        <w:rPr>
          <w:i/>
          <w:w w:val="95"/>
          <w:position w:val="2"/>
          <w:sz w:val="23"/>
        </w:rPr>
        <w:t>h</w:t>
      </w:r>
      <w:r>
        <w:rPr>
          <w:i/>
          <w:w w:val="95"/>
          <w:position w:val="-3"/>
          <w:sz w:val="13"/>
        </w:rPr>
        <w:t>it</w:t>
      </w:r>
      <w:r>
        <w:rPr>
          <w:i/>
          <w:spacing w:val="53"/>
          <w:position w:val="-3"/>
          <w:sz w:val="13"/>
        </w:rPr>
        <w:t> </w:t>
      </w:r>
      <w:r>
        <w:rPr>
          <w:rFonts w:ascii="Symbol" w:hAnsi="Symbol"/>
          <w:w w:val="95"/>
          <w:position w:val="2"/>
          <w:sz w:val="23"/>
        </w:rPr>
        <w:t></w:t>
      </w:r>
      <w:r>
        <w:rPr>
          <w:spacing w:val="-30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</w:t>
      </w:r>
      <w:r>
        <w:rPr>
          <w:spacing w:val="-29"/>
          <w:w w:val="95"/>
          <w:position w:val="2"/>
          <w:sz w:val="25"/>
        </w:rPr>
        <w:t> </w:t>
      </w:r>
      <w:r>
        <w:rPr>
          <w:rFonts w:ascii="Symbol" w:hAnsi="Symbol"/>
          <w:w w:val="95"/>
          <w:position w:val="3"/>
          <w:sz w:val="23"/>
        </w:rPr>
        <w:t></w:t>
      </w:r>
      <w:r>
        <w:rPr>
          <w:i/>
          <w:w w:val="95"/>
          <w:position w:val="2"/>
          <w:sz w:val="23"/>
        </w:rPr>
        <w:t>d</w:t>
      </w:r>
      <w:r>
        <w:rPr>
          <w:i/>
          <w:w w:val="95"/>
          <w:position w:val="-3"/>
          <w:sz w:val="13"/>
        </w:rPr>
        <w:t>it</w:t>
      </w:r>
      <w:r>
        <w:rPr>
          <w:i/>
          <w:spacing w:val="37"/>
          <w:position w:val="-3"/>
          <w:sz w:val="13"/>
        </w:rPr>
        <w:t> </w:t>
      </w:r>
      <w:r>
        <w:rPr>
          <w:rFonts w:ascii="Symbol" w:hAnsi="Symbol"/>
          <w:w w:val="95"/>
          <w:sz w:val="31"/>
        </w:rPr>
        <w:t></w:t>
      </w:r>
      <w:r>
        <w:rPr>
          <w:rFonts w:ascii="Symbol" w:hAnsi="Symbol"/>
          <w:w w:val="95"/>
          <w:position w:val="2"/>
          <w:sz w:val="25"/>
        </w:rPr>
        <w:t></w:t>
      </w:r>
      <w:r>
        <w:rPr>
          <w:spacing w:val="12"/>
          <w:w w:val="95"/>
          <w:position w:val="2"/>
          <w:sz w:val="25"/>
        </w:rPr>
        <w:t> </w:t>
      </w:r>
      <w:r>
        <w:rPr>
          <w:rFonts w:ascii="Symbol" w:hAnsi="Symbol"/>
          <w:w w:val="95"/>
          <w:sz w:val="31"/>
        </w:rPr>
        <w:t></w:t>
      </w:r>
      <w:r>
        <w:rPr>
          <w:spacing w:val="-29"/>
          <w:w w:val="95"/>
          <w:sz w:val="31"/>
        </w:rPr>
        <w:t> </w:t>
      </w:r>
      <w:r>
        <w:rPr>
          <w:rFonts w:ascii="Symbol" w:hAnsi="Symbol"/>
          <w:w w:val="95"/>
          <w:position w:val="2"/>
          <w:sz w:val="23"/>
        </w:rPr>
        <w:t></w:t>
      </w:r>
      <w:r>
        <w:rPr>
          <w:spacing w:val="-17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</w:t>
      </w:r>
      <w:r>
        <w:rPr>
          <w:i/>
          <w:w w:val="95"/>
          <w:position w:val="-3"/>
          <w:sz w:val="13"/>
        </w:rPr>
        <w:t>it</w:t>
      </w:r>
    </w:p>
    <w:p>
      <w:pPr>
        <w:pStyle w:val="BodyText"/>
        <w:spacing w:before="177"/>
        <w:ind w:left="137"/>
        <w:jc w:val="left"/>
      </w:pPr>
      <w:r>
        <w:rPr/>
        <w:br w:type="column"/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written</w:t>
      </w:r>
      <w:r>
        <w:rPr>
          <w:spacing w:val="-1"/>
        </w:rPr>
        <w:t> </w:t>
      </w:r>
      <w:r>
        <w:rPr/>
        <w:t>as: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  <w:cols w:num="2" w:equalWidth="0">
            <w:col w:w="4024" w:space="40"/>
            <w:col w:w="6666"/>
          </w:cols>
        </w:sectPr>
      </w:pPr>
    </w:p>
    <w:p>
      <w:pPr>
        <w:pStyle w:val="BodyText"/>
        <w:spacing w:before="9"/>
        <w:ind w:left="0"/>
        <w:jc w:val="left"/>
        <w:rPr>
          <w:sz w:val="28"/>
        </w:rPr>
      </w:pP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spacing w:line="75" w:lineRule="exact" w:before="254"/>
        <w:ind w:left="0" w:right="0" w:firstLine="0"/>
        <w:jc w:val="right"/>
        <w:rPr>
          <w:rFonts w:ascii="Symbol" w:hAnsi="Symbol"/>
          <w:sz w:val="25"/>
        </w:rPr>
      </w:pPr>
      <w:r>
        <w:rPr>
          <w:i/>
          <w:sz w:val="24"/>
        </w:rPr>
        <w:t>v</w:t>
      </w:r>
      <w:r>
        <w:rPr>
          <w:i/>
          <w:spacing w:val="36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spacing w:val="-3"/>
          <w:sz w:val="24"/>
        </w:rPr>
        <w:t> </w:t>
      </w:r>
      <w:r>
        <w:rPr>
          <w:rFonts w:ascii="Symbol" w:hAnsi="Symbol"/>
          <w:sz w:val="25"/>
        </w:rPr>
        <w:t></w:t>
      </w:r>
    </w:p>
    <w:p>
      <w:pPr>
        <w:spacing w:line="127" w:lineRule="exact" w:before="203"/>
        <w:ind w:left="71" w:right="0" w:firstLine="0"/>
        <w:jc w:val="left"/>
        <w:rPr>
          <w:rFonts w:ascii="Symbol" w:hAnsi="Symbol"/>
          <w:sz w:val="32"/>
        </w:rPr>
      </w:pPr>
      <w:r>
        <w:rPr/>
        <w:br w:type="column"/>
      </w:r>
      <w:r>
        <w:rPr>
          <w:rFonts w:ascii="Symbol" w:hAnsi="Symbol"/>
          <w:w w:val="90"/>
          <w:position w:val="2"/>
          <w:sz w:val="24"/>
        </w:rPr>
        <w:t></w:t>
      </w:r>
      <w:r>
        <w:rPr>
          <w:rFonts w:ascii="Symbol" w:hAnsi="Symbol"/>
          <w:w w:val="90"/>
          <w:sz w:val="32"/>
        </w:rPr>
        <w:t></w:t>
      </w:r>
      <w:r>
        <w:rPr>
          <w:rFonts w:ascii="Symbol" w:hAnsi="Symbol"/>
          <w:w w:val="90"/>
          <w:position w:val="2"/>
          <w:sz w:val="25"/>
        </w:rPr>
        <w:t></w:t>
      </w:r>
      <w:r>
        <w:rPr>
          <w:spacing w:val="-17"/>
          <w:w w:val="90"/>
          <w:position w:val="2"/>
          <w:sz w:val="25"/>
        </w:rPr>
        <w:t> </w:t>
      </w:r>
      <w:r>
        <w:rPr>
          <w:rFonts w:ascii="Symbol" w:hAnsi="Symbol"/>
          <w:w w:val="90"/>
          <w:position w:val="3"/>
          <w:sz w:val="24"/>
        </w:rPr>
        <w:t></w:t>
      </w:r>
      <w:r>
        <w:rPr>
          <w:w w:val="90"/>
          <w:position w:val="2"/>
          <w:sz w:val="24"/>
        </w:rPr>
        <w:t>,</w:t>
      </w:r>
      <w:r>
        <w:rPr>
          <w:rFonts w:ascii="Symbol" w:hAnsi="Symbol"/>
          <w:w w:val="90"/>
          <w:position w:val="2"/>
          <w:sz w:val="25"/>
        </w:rPr>
        <w:t></w:t>
      </w:r>
      <w:r>
        <w:rPr>
          <w:spacing w:val="-25"/>
          <w:w w:val="90"/>
          <w:position w:val="2"/>
          <w:sz w:val="25"/>
        </w:rPr>
        <w:t> </w:t>
      </w:r>
      <w:r>
        <w:rPr>
          <w:rFonts w:ascii="Symbol" w:hAnsi="Symbol"/>
          <w:w w:val="90"/>
          <w:position w:val="3"/>
          <w:sz w:val="24"/>
        </w:rPr>
        <w:t></w:t>
      </w:r>
      <w:r>
        <w:rPr>
          <w:rFonts w:ascii="Symbol" w:hAnsi="Symbol"/>
          <w:w w:val="90"/>
          <w:sz w:val="32"/>
        </w:rPr>
        <w:t></w:t>
      </w:r>
    </w:p>
    <w:p>
      <w:pPr>
        <w:spacing w:line="230" w:lineRule="exact" w:before="100"/>
        <w:ind w:left="79" w:right="0" w:firstLine="0"/>
        <w:jc w:val="left"/>
        <w:rPr>
          <w:i/>
          <w:sz w:val="14"/>
        </w:rPr>
      </w:pPr>
      <w:r>
        <w:rPr/>
        <w:br w:type="column"/>
      </w:r>
      <w:r>
        <w:rPr>
          <w:rFonts w:ascii="Symbol" w:hAnsi="Symbol"/>
          <w:spacing w:val="-2"/>
          <w:position w:val="4"/>
          <w:sz w:val="24"/>
        </w:rPr>
        <w:t></w:t>
      </w:r>
      <w:r>
        <w:rPr>
          <w:i/>
          <w:spacing w:val="-2"/>
          <w:position w:val="6"/>
          <w:sz w:val="24"/>
        </w:rPr>
        <w:t>h</w:t>
      </w:r>
      <w:r>
        <w:rPr>
          <w:i/>
          <w:spacing w:val="-2"/>
          <w:sz w:val="14"/>
        </w:rPr>
        <w:t>it</w:t>
      </w:r>
    </w:p>
    <w:p>
      <w:pPr>
        <w:spacing w:line="225" w:lineRule="exact" w:before="104"/>
        <w:ind w:left="326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position w:val="16"/>
          <w:sz w:val="24"/>
        </w:rPr>
        <w:t></w:t>
      </w:r>
      <w:r>
        <w:rPr>
          <w:spacing w:val="-4"/>
          <w:w w:val="95"/>
          <w:position w:val="16"/>
          <w:sz w:val="24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spacing w:val="-19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</w:t>
      </w:r>
    </w:p>
    <w:p>
      <w:pPr>
        <w:spacing w:after="0" w:line="225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500" w:bottom="280" w:left="880" w:right="300"/>
          <w:cols w:num="4" w:equalWidth="0">
            <w:col w:w="1932" w:space="40"/>
            <w:col w:w="893" w:space="39"/>
            <w:col w:w="363" w:space="39"/>
            <w:col w:w="7424"/>
          </w:cols>
        </w:sectPr>
      </w:pPr>
    </w:p>
    <w:p>
      <w:pPr>
        <w:tabs>
          <w:tab w:pos="499" w:val="left" w:leader="none"/>
        </w:tabs>
        <w:spacing w:before="107"/>
        <w:ind w:left="0" w:right="0" w:firstLine="0"/>
        <w:jc w:val="right"/>
        <w:rPr>
          <w:i/>
          <w:sz w:val="14"/>
        </w:rPr>
      </w:pPr>
      <w:r>
        <w:rPr>
          <w:i/>
          <w:sz w:val="14"/>
        </w:rPr>
        <w:t>it</w:t>
        <w:tab/>
        <w:t>i</w:t>
      </w:r>
    </w:p>
    <w:p>
      <w:pPr>
        <w:spacing w:line="237" w:lineRule="exact" w:before="0"/>
        <w:ind w:left="968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</w:t>
      </w:r>
    </w:p>
    <w:p>
      <w:pPr>
        <w:spacing w:line="238" w:lineRule="exact" w:before="0"/>
        <w:ind w:left="968" w:right="0" w:firstLine="0"/>
        <w:jc w:val="left"/>
        <w:rPr>
          <w:i/>
          <w:sz w:val="14"/>
        </w:rPr>
      </w:pPr>
      <w:r>
        <w:rPr/>
        <w:pict>
          <v:shape style="position:absolute;margin-left:198.25293pt;margin-top:-4.569184pt;width:6.05pt;height:13.3pt;mso-position-horizontal-relative:page;mso-position-vertical-relative:paragraph;z-index:-49273856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i/>
                      <w:w w:val="100"/>
                      <w:sz w:val="24"/>
                    </w:rPr>
                    <w:t>d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4"/>
        </w:rPr>
        <w:t></w:t>
      </w:r>
      <w:r>
        <w:rPr>
          <w:spacing w:val="58"/>
          <w:sz w:val="24"/>
        </w:rPr>
        <w:t> </w:t>
      </w:r>
      <w:r>
        <w:rPr>
          <w:i/>
          <w:sz w:val="14"/>
        </w:rPr>
        <w:t>it</w:t>
      </w:r>
    </w:p>
    <w:p>
      <w:pPr>
        <w:tabs>
          <w:tab w:pos="724" w:val="left" w:leader="none"/>
        </w:tabs>
        <w:spacing w:line="414" w:lineRule="exact" w:before="0"/>
        <w:ind w:left="-4" w:right="0" w:firstLine="0"/>
        <w:jc w:val="left"/>
        <w:rPr>
          <w:i/>
          <w:sz w:val="14"/>
        </w:rPr>
      </w:pPr>
      <w:r>
        <w:rPr/>
        <w:br w:type="column"/>
      </w:r>
      <w:r>
        <w:rPr>
          <w:w w:val="95"/>
          <w:sz w:val="24"/>
        </w:rPr>
        <w:t>(</w:t>
      </w:r>
      <w:r>
        <w:rPr>
          <w:rFonts w:ascii="Symbol" w:hAnsi="Symbol"/>
          <w:w w:val="95"/>
          <w:sz w:val="25"/>
        </w:rPr>
        <w:t></w:t>
      </w:r>
      <w:r>
        <w:rPr>
          <w:spacing w:val="-12"/>
          <w:w w:val="95"/>
          <w:sz w:val="25"/>
        </w:rPr>
        <w:t> </w:t>
      </w:r>
      <w:r>
        <w:rPr>
          <w:w w:val="95"/>
          <w:sz w:val="24"/>
        </w:rPr>
        <w:t>)</w:t>
      </w:r>
      <w:r>
        <w:rPr>
          <w:rFonts w:ascii="Symbol" w:hAnsi="Symbol"/>
          <w:w w:val="95"/>
          <w:position w:val="12"/>
          <w:sz w:val="24"/>
        </w:rPr>
        <w:t></w:t>
      </w:r>
      <w:r>
        <w:rPr>
          <w:w w:val="95"/>
          <w:position w:val="12"/>
          <w:sz w:val="24"/>
        </w:rPr>
        <w:tab/>
      </w:r>
      <w:r>
        <w:rPr>
          <w:i/>
          <w:position w:val="12"/>
          <w:sz w:val="14"/>
        </w:rPr>
        <w:t>it</w:t>
      </w:r>
    </w:p>
    <w:p>
      <w:pPr>
        <w:spacing w:after="0" w:line="414" w:lineRule="exact"/>
        <w:jc w:val="left"/>
        <w:rPr>
          <w:sz w:val="14"/>
        </w:rPr>
        <w:sectPr>
          <w:type w:val="continuous"/>
          <w:pgSz w:w="11910" w:h="16840"/>
          <w:pgMar w:top="1500" w:bottom="280" w:left="880" w:right="300"/>
          <w:cols w:num="3" w:equalWidth="0">
            <w:col w:w="1975" w:space="40"/>
            <w:col w:w="1274" w:space="39"/>
            <w:col w:w="7402"/>
          </w:cols>
        </w:sectPr>
      </w:pPr>
    </w:p>
    <w:p>
      <w:pPr>
        <w:pStyle w:val="BodyText"/>
        <w:ind w:left="0"/>
        <w:jc w:val="left"/>
        <w:rPr>
          <w:i/>
          <w:sz w:val="19"/>
        </w:rPr>
      </w:pPr>
    </w:p>
    <w:p>
      <w:pPr>
        <w:spacing w:after="0"/>
        <w:jc w:val="left"/>
        <w:rPr>
          <w:sz w:val="19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spacing w:before="101"/>
        <w:ind w:left="1395" w:right="0" w:firstLine="0"/>
        <w:jc w:val="left"/>
        <w:rPr>
          <w:i/>
          <w:sz w:val="13"/>
        </w:rPr>
      </w:pPr>
      <w:r>
        <w:rPr/>
        <w:pict>
          <v:shape style="position:absolute;margin-left:225.606827pt;margin-top:-25.60088pt;width:4.650pt;height:14.7pt;mso-position-horizontal-relative:page;mso-position-vertical-relative:paragraph;z-index:-49273344" type="#_x0000_t202" filled="false" stroked="false">
            <v:textbox inset="0,0,0,0">
              <w:txbxContent>
                <w:p>
                  <w:pPr>
                    <w:pStyle w:val="BodyText"/>
                    <w:spacing w:line="293" w:lineRule="exact"/>
                    <w:ind w:left="0"/>
                    <w:jc w:val="left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w w:val="100"/>
                    </w:rPr>
                    <w:t>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position w:val="2"/>
          <w:sz w:val="23"/>
        </w:rPr>
        <w:t>v</w:t>
      </w:r>
      <w:r>
        <w:rPr>
          <w:i/>
          <w:w w:val="95"/>
          <w:position w:val="-3"/>
          <w:sz w:val="13"/>
        </w:rPr>
        <w:t>it</w:t>
      </w:r>
      <w:r>
        <w:rPr>
          <w:i/>
          <w:spacing w:val="37"/>
          <w:position w:val="-3"/>
          <w:sz w:val="13"/>
        </w:rPr>
        <w:t> </w:t>
      </w:r>
      <w:r>
        <w:rPr>
          <w:rFonts w:ascii="Symbol" w:hAnsi="Symbol"/>
          <w:w w:val="95"/>
          <w:position w:val="2"/>
          <w:sz w:val="23"/>
        </w:rPr>
        <w:t></w:t>
      </w:r>
      <w:r>
        <w:rPr>
          <w:spacing w:val="11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</w:t>
      </w:r>
      <w:r>
        <w:rPr>
          <w:i/>
          <w:w w:val="95"/>
          <w:position w:val="-3"/>
          <w:sz w:val="13"/>
        </w:rPr>
        <w:t>i</w:t>
      </w:r>
      <w:r>
        <w:rPr>
          <w:i/>
          <w:spacing w:val="45"/>
          <w:position w:val="-3"/>
          <w:sz w:val="13"/>
        </w:rPr>
        <w:t> </w:t>
      </w:r>
      <w:r>
        <w:rPr>
          <w:rFonts w:ascii="Symbol" w:hAnsi="Symbol"/>
          <w:w w:val="95"/>
          <w:position w:val="2"/>
          <w:sz w:val="23"/>
        </w:rPr>
        <w:t></w:t>
      </w:r>
      <w:r>
        <w:rPr>
          <w:spacing w:val="3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</w:t>
      </w:r>
      <w:r>
        <w:rPr>
          <w:spacing w:val="-22"/>
          <w:w w:val="95"/>
          <w:position w:val="2"/>
          <w:sz w:val="25"/>
        </w:rPr>
        <w:t> </w:t>
      </w:r>
      <w:r>
        <w:rPr>
          <w:rFonts w:ascii="Symbol" w:hAnsi="Symbol"/>
          <w:w w:val="95"/>
          <w:position w:val="3"/>
          <w:sz w:val="23"/>
        </w:rPr>
        <w:t></w:t>
      </w:r>
      <w:r>
        <w:rPr>
          <w:i/>
          <w:w w:val="95"/>
          <w:position w:val="2"/>
          <w:sz w:val="23"/>
        </w:rPr>
        <w:t>x</w:t>
      </w:r>
      <w:r>
        <w:rPr>
          <w:i/>
          <w:w w:val="95"/>
          <w:position w:val="-3"/>
          <w:sz w:val="13"/>
        </w:rPr>
        <w:t>it</w:t>
      </w:r>
      <w:r>
        <w:rPr>
          <w:i/>
          <w:spacing w:val="33"/>
          <w:position w:val="-3"/>
          <w:sz w:val="13"/>
        </w:rPr>
        <w:t> </w:t>
      </w:r>
      <w:r>
        <w:rPr>
          <w:rFonts w:ascii="Symbol" w:hAnsi="Symbol"/>
          <w:w w:val="95"/>
          <w:sz w:val="31"/>
        </w:rPr>
        <w:t></w:t>
      </w:r>
      <w:r>
        <w:rPr>
          <w:rFonts w:ascii="Symbol" w:hAnsi="Symbol"/>
          <w:w w:val="95"/>
          <w:position w:val="2"/>
          <w:sz w:val="25"/>
        </w:rPr>
        <w:t></w:t>
      </w:r>
      <w:r>
        <w:rPr>
          <w:spacing w:val="8"/>
          <w:w w:val="95"/>
          <w:position w:val="2"/>
          <w:sz w:val="25"/>
        </w:rPr>
        <w:t> </w:t>
      </w:r>
      <w:r>
        <w:rPr>
          <w:rFonts w:ascii="Symbol" w:hAnsi="Symbol"/>
          <w:w w:val="95"/>
          <w:sz w:val="31"/>
        </w:rPr>
        <w:t></w:t>
      </w:r>
      <w:r>
        <w:rPr>
          <w:spacing w:val="-32"/>
          <w:w w:val="95"/>
          <w:sz w:val="31"/>
        </w:rPr>
        <w:t> </w:t>
      </w:r>
      <w:r>
        <w:rPr>
          <w:rFonts w:ascii="Symbol" w:hAnsi="Symbol"/>
          <w:w w:val="95"/>
          <w:position w:val="2"/>
          <w:sz w:val="23"/>
        </w:rPr>
        <w:t></w:t>
      </w:r>
      <w:r>
        <w:rPr>
          <w:spacing w:val="-18"/>
          <w:w w:val="95"/>
          <w:position w:val="2"/>
          <w:sz w:val="23"/>
        </w:rPr>
        <w:t> </w:t>
      </w:r>
      <w:r>
        <w:rPr>
          <w:rFonts w:ascii="Symbol" w:hAnsi="Symbol"/>
          <w:w w:val="95"/>
          <w:position w:val="2"/>
          <w:sz w:val="25"/>
        </w:rPr>
        <w:t></w:t>
      </w:r>
      <w:r>
        <w:rPr>
          <w:i/>
          <w:w w:val="95"/>
          <w:position w:val="-3"/>
          <w:sz w:val="13"/>
        </w:rPr>
        <w:t>it</w:t>
      </w:r>
    </w:p>
    <w:p>
      <w:pPr>
        <w:pStyle w:val="BodyText"/>
        <w:spacing w:before="7"/>
        <w:ind w:left="0"/>
        <w:jc w:val="left"/>
        <w:rPr>
          <w:i/>
          <w:sz w:val="33"/>
        </w:rPr>
      </w:pPr>
    </w:p>
    <w:p>
      <w:pPr>
        <w:spacing w:line="176" w:lineRule="exact" w:before="0"/>
        <w:ind w:left="1929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w w:val="90"/>
          <w:position w:val="2"/>
          <w:sz w:val="24"/>
        </w:rPr>
        <w:t></w:t>
      </w:r>
      <w:r>
        <w:rPr>
          <w:i/>
          <w:w w:val="90"/>
          <w:position w:val="2"/>
          <w:sz w:val="24"/>
        </w:rPr>
        <w:t>d</w:t>
      </w:r>
      <w:r>
        <w:rPr>
          <w:i/>
          <w:w w:val="90"/>
          <w:position w:val="2"/>
          <w:sz w:val="24"/>
          <w:vertAlign w:val="subscript"/>
        </w:rPr>
        <w:t>it</w:t>
      </w:r>
      <w:r>
        <w:rPr>
          <w:i/>
          <w:spacing w:val="-19"/>
          <w:w w:val="90"/>
          <w:position w:val="2"/>
          <w:sz w:val="24"/>
          <w:vertAlign w:val="baseline"/>
        </w:rPr>
        <w:t> </w:t>
      </w:r>
      <w:r>
        <w:rPr>
          <w:i/>
          <w:w w:val="90"/>
          <w:position w:val="2"/>
          <w:sz w:val="24"/>
          <w:vertAlign w:val="baseline"/>
        </w:rPr>
        <w:t>I</w:t>
      </w:r>
      <w:r>
        <w:rPr>
          <w:i/>
          <w:spacing w:val="11"/>
          <w:w w:val="90"/>
          <w:position w:val="2"/>
          <w:sz w:val="24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</w:t>
      </w:r>
      <w:r>
        <w:rPr>
          <w:i/>
          <w:w w:val="90"/>
          <w:position w:val="2"/>
          <w:sz w:val="24"/>
          <w:vertAlign w:val="baseline"/>
        </w:rPr>
        <w:t>d</w:t>
      </w:r>
      <w:r>
        <w:rPr>
          <w:i/>
          <w:w w:val="90"/>
          <w:position w:val="2"/>
          <w:sz w:val="24"/>
          <w:vertAlign w:val="subscript"/>
        </w:rPr>
        <w:t>it</w:t>
      </w:r>
      <w:r>
        <w:rPr>
          <w:i/>
          <w:w w:val="90"/>
          <w:position w:val="2"/>
          <w:sz w:val="24"/>
          <w:vertAlign w:val="baseline"/>
        </w:rPr>
        <w:t>  </w:t>
      </w:r>
      <w:r>
        <w:rPr>
          <w:rFonts w:ascii="Symbol" w:hAnsi="Symbol"/>
          <w:w w:val="90"/>
          <w:position w:val="2"/>
          <w:sz w:val="24"/>
          <w:vertAlign w:val="baseline"/>
        </w:rPr>
        <w:t></w:t>
      </w:r>
      <w:r>
        <w:rPr>
          <w:spacing w:val="-5"/>
          <w:w w:val="90"/>
          <w:position w:val="2"/>
          <w:sz w:val="24"/>
          <w:vertAlign w:val="baseline"/>
        </w:rPr>
        <w:t> </w:t>
      </w:r>
      <w:r>
        <w:rPr>
          <w:rFonts w:ascii="Symbol" w:hAnsi="Symbol"/>
          <w:w w:val="90"/>
          <w:position w:val="2"/>
          <w:sz w:val="25"/>
          <w:vertAlign w:val="baseline"/>
        </w:rPr>
        <w:t></w:t>
      </w:r>
      <w:r>
        <w:rPr>
          <w:spacing w:val="19"/>
          <w:w w:val="90"/>
          <w:position w:val="2"/>
          <w:sz w:val="25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</w:t>
      </w:r>
      <w:r>
        <w:rPr>
          <w:rFonts w:ascii="Symbol" w:hAnsi="Symbol"/>
          <w:w w:val="90"/>
          <w:position w:val="2"/>
          <w:sz w:val="24"/>
          <w:vertAlign w:val="baseline"/>
        </w:rPr>
        <w:t></w:t>
      </w:r>
    </w:p>
    <w:p>
      <w:pPr>
        <w:spacing w:before="176"/>
        <w:ind w:left="139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(v)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00" w:bottom="280" w:left="880" w:right="300"/>
          <w:cols w:num="2" w:equalWidth="0">
            <w:col w:w="3512" w:space="2335"/>
            <w:col w:w="4883"/>
          </w:cols>
        </w:sectPr>
      </w:pPr>
    </w:p>
    <w:p>
      <w:pPr>
        <w:spacing w:line="315" w:lineRule="exact" w:before="5"/>
        <w:ind w:left="1099" w:right="0" w:firstLine="0"/>
        <w:jc w:val="left"/>
        <w:rPr>
          <w:i/>
          <w:sz w:val="24"/>
        </w:rPr>
      </w:pPr>
      <w:r>
        <w:rPr>
          <w:i/>
          <w:w w:val="90"/>
          <w:position w:val="2"/>
          <w:sz w:val="24"/>
        </w:rPr>
        <w:t>d</w:t>
      </w:r>
      <w:r>
        <w:rPr>
          <w:i/>
          <w:w w:val="90"/>
          <w:position w:val="2"/>
          <w:sz w:val="24"/>
          <w:vertAlign w:val="subscript"/>
        </w:rPr>
        <w:t>it</w:t>
      </w:r>
      <w:r>
        <w:rPr>
          <w:i/>
          <w:spacing w:val="12"/>
          <w:w w:val="90"/>
          <w:position w:val="2"/>
          <w:sz w:val="24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</w:t>
      </w:r>
      <w:r>
        <w:rPr>
          <w:rFonts w:ascii="Symbol" w:hAnsi="Symbol"/>
          <w:w w:val="90"/>
          <w:position w:val="2"/>
          <w:sz w:val="25"/>
          <w:vertAlign w:val="baseline"/>
        </w:rPr>
        <w:t></w:t>
      </w:r>
      <w:r>
        <w:rPr>
          <w:spacing w:val="11"/>
          <w:w w:val="90"/>
          <w:position w:val="2"/>
          <w:sz w:val="25"/>
          <w:vertAlign w:val="baseline"/>
        </w:rPr>
        <w:t> </w:t>
      </w:r>
      <w:r>
        <w:rPr>
          <w:rFonts w:ascii="Symbol" w:hAnsi="Symbol"/>
          <w:w w:val="90"/>
          <w:sz w:val="31"/>
          <w:vertAlign w:val="baseline"/>
        </w:rPr>
        <w:t></w:t>
      </w:r>
      <w:r>
        <w:rPr>
          <w:spacing w:val="-10"/>
          <w:w w:val="90"/>
          <w:sz w:val="31"/>
          <w:vertAlign w:val="baseline"/>
        </w:rPr>
        <w:t> </w:t>
      </w:r>
      <w:r>
        <w:rPr>
          <w:rFonts w:ascii="Symbol" w:hAnsi="Symbol"/>
          <w:w w:val="90"/>
          <w:position w:val="2"/>
          <w:sz w:val="24"/>
          <w:vertAlign w:val="baseline"/>
        </w:rPr>
        <w:t></w:t>
      </w:r>
      <w:r>
        <w:rPr>
          <w:spacing w:val="13"/>
          <w:w w:val="90"/>
          <w:position w:val="2"/>
          <w:sz w:val="24"/>
          <w:vertAlign w:val="baseline"/>
        </w:rPr>
        <w:t> </w:t>
      </w:r>
      <w:r>
        <w:rPr>
          <w:rFonts w:ascii="Symbol" w:hAnsi="Symbol"/>
          <w:w w:val="90"/>
          <w:position w:val="-2"/>
          <w:sz w:val="24"/>
          <w:vertAlign w:val="baseline"/>
        </w:rPr>
        <w:t></w:t>
      </w:r>
      <w:r>
        <w:rPr>
          <w:i/>
          <w:w w:val="90"/>
          <w:position w:val="-15"/>
          <w:sz w:val="24"/>
          <w:vertAlign w:val="baseline"/>
        </w:rPr>
        <w:t>d</w:t>
      </w:r>
      <w:r>
        <w:rPr>
          <w:i/>
          <w:spacing w:val="66"/>
          <w:position w:val="-15"/>
          <w:sz w:val="24"/>
          <w:vertAlign w:val="baseline"/>
        </w:rPr>
        <w:t> </w:t>
      </w:r>
      <w:r>
        <w:rPr>
          <w:i/>
          <w:w w:val="90"/>
          <w:position w:val="-15"/>
          <w:sz w:val="24"/>
          <w:vertAlign w:val="baseline"/>
        </w:rPr>
        <w:t>I</w:t>
      </w:r>
      <w:r>
        <w:rPr>
          <w:i/>
          <w:spacing w:val="4"/>
          <w:w w:val="90"/>
          <w:position w:val="-15"/>
          <w:sz w:val="24"/>
          <w:vertAlign w:val="baseline"/>
        </w:rPr>
        <w:t> </w:t>
      </w:r>
      <w:r>
        <w:rPr>
          <w:rFonts w:ascii="Symbol" w:hAnsi="Symbol"/>
          <w:w w:val="90"/>
          <w:position w:val="-17"/>
          <w:sz w:val="31"/>
          <w:vertAlign w:val="baseline"/>
        </w:rPr>
        <w:t></w:t>
      </w:r>
      <w:r>
        <w:rPr>
          <w:i/>
          <w:w w:val="90"/>
          <w:position w:val="-15"/>
          <w:sz w:val="24"/>
          <w:vertAlign w:val="baseline"/>
        </w:rPr>
        <w:t>d</w:t>
      </w:r>
    </w:p>
    <w:p>
      <w:pPr>
        <w:pStyle w:val="ListParagraph"/>
        <w:numPr>
          <w:ilvl w:val="0"/>
          <w:numId w:val="27"/>
        </w:numPr>
        <w:tabs>
          <w:tab w:pos="306" w:val="left" w:leader="none"/>
        </w:tabs>
        <w:spacing w:line="214" w:lineRule="exact" w:before="105" w:after="0"/>
        <w:ind w:left="305" w:right="0" w:hanging="174"/>
        <w:jc w:val="left"/>
        <w:rPr>
          <w:rFonts w:ascii="Symbol" w:hAnsi="Symbol"/>
          <w:sz w:val="24"/>
        </w:rPr>
      </w:pPr>
      <w:r>
        <w:rPr>
          <w:rFonts w:ascii="Symbol" w:hAnsi="Symbol"/>
          <w:w w:val="96"/>
          <w:position w:val="2"/>
          <w:sz w:val="25"/>
        </w:rPr>
        <w:br w:type="column"/>
      </w:r>
      <w:r>
        <w:rPr>
          <w:rFonts w:ascii="Symbol" w:hAnsi="Symbol"/>
          <w:position w:val="2"/>
          <w:sz w:val="25"/>
        </w:rPr>
        <w:t></w:t>
      </w:r>
      <w:r>
        <w:rPr>
          <w:spacing w:val="-11"/>
          <w:position w:val="2"/>
          <w:sz w:val="25"/>
        </w:rPr>
        <w:t> </w:t>
      </w:r>
      <w:r>
        <w:rPr>
          <w:rFonts w:ascii="Symbol" w:hAnsi="Symbol"/>
          <w:sz w:val="31"/>
        </w:rPr>
        <w:t></w:t>
      </w:r>
      <w:r>
        <w:rPr>
          <w:rFonts w:ascii="Symbol" w:hAnsi="Symbol"/>
          <w:position w:val="15"/>
          <w:sz w:val="24"/>
        </w:rPr>
        <w:t></w:t>
      </w:r>
    </w:p>
    <w:p>
      <w:pPr>
        <w:spacing w:after="0" w:line="214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500" w:bottom="280" w:left="880" w:right="300"/>
          <w:cols w:num="2" w:equalWidth="0">
            <w:col w:w="2616" w:space="40"/>
            <w:col w:w="8074"/>
          </w:cols>
        </w:sectPr>
      </w:pPr>
    </w:p>
    <w:p>
      <w:pPr>
        <w:tabs>
          <w:tab w:pos="2621" w:val="left" w:leader="none"/>
          <w:tab w:pos="3207" w:val="left" w:leader="none"/>
        </w:tabs>
        <w:spacing w:before="0"/>
        <w:ind w:left="1929" w:right="0" w:firstLine="0"/>
        <w:jc w:val="left"/>
        <w:rPr>
          <w:rFonts w:ascii="Symbol" w:hAnsi="Symbol"/>
          <w:sz w:val="24"/>
        </w:rPr>
      </w:pPr>
      <w:r>
        <w:rPr>
          <w:rFonts w:ascii="Symbol" w:hAnsi="Symbol"/>
          <w:position w:val="-1"/>
          <w:sz w:val="24"/>
        </w:rPr>
        <w:t></w:t>
      </w:r>
      <w:r>
        <w:rPr>
          <w:spacing w:val="76"/>
          <w:position w:val="-1"/>
          <w:sz w:val="24"/>
        </w:rPr>
        <w:t> </w:t>
      </w:r>
      <w:r>
        <w:rPr>
          <w:i/>
          <w:sz w:val="14"/>
        </w:rPr>
        <w:t>it</w:t>
        <w:tab/>
        <w:t>it</w:t>
        <w:tab/>
      </w:r>
      <w:r>
        <w:rPr>
          <w:rFonts w:ascii="Symbol" w:hAnsi="Symbol"/>
          <w:position w:val="-1"/>
          <w:sz w:val="24"/>
        </w:rPr>
        <w:t></w:t>
      </w:r>
    </w:p>
    <w:p>
      <w:pPr>
        <w:pStyle w:val="BodyText"/>
        <w:spacing w:before="10"/>
        <w:ind w:left="0"/>
        <w:jc w:val="left"/>
        <w:rPr>
          <w:rFonts w:ascii="Symbol" w:hAnsi="Symbol"/>
          <w:sz w:val="15"/>
        </w:rPr>
      </w:pPr>
    </w:p>
    <w:p>
      <w:pPr>
        <w:spacing w:after="0"/>
        <w:jc w:val="left"/>
        <w:rPr>
          <w:rFonts w:ascii="Symbol" w:hAnsi="Symbol"/>
          <w:sz w:val="15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spacing w:before="104"/>
        <w:ind w:left="822" w:right="0" w:firstLine="0"/>
        <w:jc w:val="left"/>
        <w:rPr>
          <w:rFonts w:ascii="Symbol" w:hAnsi="Symbol"/>
          <w:sz w:val="25"/>
        </w:rPr>
      </w:pPr>
      <w:r>
        <w:rPr/>
        <w:pict>
          <v:shape style="position:absolute;margin-left:149.876541pt;margin-top:20.985567pt;width:3.5pt;height:7.7pt;mso-position-horizontal-relative:page;mso-position-vertical-relative:paragraph;z-index:-4927283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418777pt;margin-top:20.985577pt;width:3.5pt;height:7.7pt;mso-position-horizontal-relative:page;mso-position-vertical-relative:paragraph;z-index:1578137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1"/>
          <w:sz w:val="24"/>
        </w:rPr>
        <w:t>where</w:t>
      </w:r>
      <w:r>
        <w:rPr>
          <w:spacing w:val="-6"/>
          <w:sz w:val="24"/>
        </w:rPr>
        <w:t> </w:t>
      </w:r>
      <w:r>
        <w:rPr>
          <w:rFonts w:ascii="Symbol" w:hAnsi="Symbol"/>
          <w:sz w:val="25"/>
        </w:rPr>
        <w:t></w:t>
      </w:r>
      <w:r>
        <w:rPr>
          <w:spacing w:val="1"/>
          <w:sz w:val="25"/>
        </w:rPr>
        <w:t> </w:t>
      </w:r>
      <w:r>
        <w:rPr>
          <w:rFonts w:ascii="Symbol" w:hAnsi="Symbol"/>
          <w:sz w:val="23"/>
        </w:rPr>
        <w:t></w:t>
      </w:r>
      <w:r>
        <w:rPr>
          <w:spacing w:val="-15"/>
          <w:sz w:val="23"/>
        </w:rPr>
        <w:t> </w:t>
      </w:r>
      <w:r>
        <w:rPr>
          <w:rFonts w:ascii="Symbol" w:hAnsi="Symbol"/>
          <w:sz w:val="38"/>
        </w:rPr>
        <w:t></w:t>
      </w:r>
      <w:r>
        <w:rPr>
          <w:rFonts w:ascii="Symbol" w:hAnsi="Symbol"/>
          <w:sz w:val="25"/>
        </w:rPr>
        <w:t></w:t>
      </w:r>
      <w:r>
        <w:rPr>
          <w:spacing w:val="37"/>
          <w:sz w:val="25"/>
        </w:rPr>
        <w:t> </w:t>
      </w:r>
      <w:r>
        <w:rPr>
          <w:sz w:val="23"/>
        </w:rPr>
        <w:t>,</w:t>
      </w:r>
      <w:r>
        <w:rPr>
          <w:rFonts w:ascii="Symbol" w:hAnsi="Symbol"/>
          <w:sz w:val="25"/>
        </w:rPr>
        <w:t></w:t>
      </w:r>
    </w:p>
    <w:p>
      <w:pPr>
        <w:spacing w:before="104"/>
        <w:ind w:left="108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spacing w:val="-11"/>
          <w:w w:val="62"/>
          <w:sz w:val="38"/>
        </w:rPr>
        <w:t></w:t>
      </w:r>
      <w:r>
        <w:rPr>
          <w:w w:val="99"/>
          <w:position w:val="16"/>
          <w:sz w:val="14"/>
        </w:rPr>
        <w:t>'</w:t>
      </w:r>
      <w:r>
        <w:rPr>
          <w:spacing w:val="9"/>
          <w:position w:val="16"/>
          <w:sz w:val="14"/>
        </w:rPr>
        <w:t> </w:t>
      </w:r>
      <w:r>
        <w:rPr>
          <w:spacing w:val="-19"/>
          <w:sz w:val="24"/>
        </w:rPr>
        <w:t>,</w:t>
      </w:r>
    </w:p>
    <w:p>
      <w:pPr>
        <w:spacing w:before="104"/>
        <w:ind w:left="63" w:right="0" w:firstLine="0"/>
        <w:jc w:val="left"/>
        <w:rPr>
          <w:i/>
          <w:sz w:val="24"/>
        </w:rPr>
      </w:pPr>
      <w:r>
        <w:rPr/>
        <w:br w:type="column"/>
      </w:r>
      <w:r>
        <w:rPr>
          <w:rFonts w:ascii="Symbol" w:hAnsi="Symbol"/>
          <w:w w:val="95"/>
          <w:sz w:val="25"/>
        </w:rPr>
        <w:t></w:t>
      </w:r>
      <w:r>
        <w:rPr>
          <w:sz w:val="25"/>
        </w:rPr>
        <w:t> </w:t>
      </w:r>
      <w:r>
        <w:rPr>
          <w:spacing w:val="-28"/>
          <w:sz w:val="25"/>
        </w:rPr>
        <w:t> </w:t>
      </w:r>
      <w:r>
        <w:rPr>
          <w:rFonts w:ascii="Symbol" w:hAnsi="Symbol"/>
          <w:w w:val="103"/>
          <w:sz w:val="23"/>
        </w:rPr>
        <w:t></w:t>
      </w:r>
      <w:r>
        <w:rPr>
          <w:spacing w:val="4"/>
          <w:sz w:val="23"/>
        </w:rPr>
        <w:t> </w:t>
      </w:r>
      <w:r>
        <w:rPr>
          <w:rFonts w:ascii="Symbol" w:hAnsi="Symbol"/>
          <w:spacing w:val="-41"/>
          <w:w w:val="61"/>
          <w:sz w:val="38"/>
        </w:rPr>
        <w:t></w:t>
      </w:r>
      <w:r>
        <w:rPr>
          <w:rFonts w:ascii="Symbol" w:hAnsi="Symbol"/>
          <w:w w:val="95"/>
          <w:sz w:val="25"/>
        </w:rPr>
        <w:t></w:t>
      </w:r>
      <w:r>
        <w:rPr>
          <w:spacing w:val="-11"/>
          <w:sz w:val="25"/>
        </w:rPr>
        <w:t> </w:t>
      </w:r>
      <w:r>
        <w:rPr>
          <w:w w:val="99"/>
          <w:position w:val="11"/>
          <w:sz w:val="14"/>
        </w:rPr>
        <w:t>'</w:t>
      </w:r>
      <w:r>
        <w:rPr>
          <w:spacing w:val="-8"/>
          <w:position w:val="11"/>
          <w:sz w:val="14"/>
        </w:rPr>
        <w:t> </w:t>
      </w:r>
      <w:r>
        <w:rPr>
          <w:spacing w:val="8"/>
          <w:w w:val="103"/>
          <w:sz w:val="23"/>
        </w:rPr>
        <w:t>,</w:t>
      </w:r>
      <w:r>
        <w:rPr>
          <w:rFonts w:ascii="Symbol" w:hAnsi="Symbol"/>
          <w:w w:val="95"/>
          <w:sz w:val="25"/>
        </w:rPr>
        <w:t></w:t>
      </w:r>
      <w:r>
        <w:rPr>
          <w:spacing w:val="-18"/>
          <w:sz w:val="25"/>
        </w:rPr>
        <w:t> </w:t>
      </w:r>
      <w:r>
        <w:rPr>
          <w:w w:val="99"/>
          <w:position w:val="11"/>
          <w:sz w:val="14"/>
        </w:rPr>
        <w:t>'</w:t>
      </w:r>
      <w:r>
        <w:rPr>
          <w:spacing w:val="4"/>
          <w:position w:val="11"/>
          <w:sz w:val="14"/>
        </w:rPr>
        <w:t> </w:t>
      </w:r>
      <w:r>
        <w:rPr>
          <w:rFonts w:ascii="Symbol" w:hAnsi="Symbol"/>
          <w:spacing w:val="-11"/>
          <w:w w:val="61"/>
          <w:sz w:val="38"/>
        </w:rPr>
        <w:t></w:t>
      </w:r>
      <w:r>
        <w:rPr>
          <w:w w:val="99"/>
          <w:position w:val="16"/>
          <w:sz w:val="14"/>
        </w:rPr>
        <w:t>'</w:t>
      </w:r>
      <w:r>
        <w:rPr>
          <w:spacing w:val="-8"/>
          <w:position w:val="16"/>
          <w:sz w:val="14"/>
        </w:rPr>
        <w:t> </w:t>
      </w:r>
      <w:r>
        <w:rPr>
          <w:sz w:val="24"/>
        </w:rPr>
        <w:t>, </w:t>
      </w:r>
      <w:r>
        <w:rPr>
          <w:spacing w:val="-13"/>
          <w:sz w:val="24"/>
        </w:rPr>
        <w:t> </w:t>
      </w:r>
      <w:r>
        <w:rPr>
          <w:i/>
          <w:spacing w:val="-13"/>
          <w:w w:val="100"/>
          <w:sz w:val="24"/>
        </w:rPr>
        <w:t>x</w:t>
      </w:r>
    </w:p>
    <w:p>
      <w:pPr>
        <w:spacing w:before="144"/>
        <w:ind w:left="118" w:right="0" w:firstLine="0"/>
        <w:jc w:val="left"/>
        <w:rPr>
          <w:sz w:val="24"/>
        </w:rPr>
      </w:pPr>
      <w:r>
        <w:rPr/>
        <w:br w:type="column"/>
      </w:r>
      <w:r>
        <w:rPr>
          <w:rFonts w:ascii="Symbol" w:hAnsi="Symbol"/>
          <w:w w:val="100"/>
          <w:sz w:val="24"/>
        </w:rPr>
        <w:t></w:t>
      </w:r>
      <w:r>
        <w:rPr>
          <w:spacing w:val="-13"/>
          <w:sz w:val="24"/>
        </w:rPr>
        <w:t> </w:t>
      </w:r>
      <w:r>
        <w:rPr>
          <w:rFonts w:ascii="Symbol" w:hAnsi="Symbol"/>
          <w:spacing w:val="19"/>
          <w:w w:val="64"/>
          <w:position w:val="-2"/>
          <w:sz w:val="37"/>
        </w:rPr>
        <w:t></w:t>
      </w:r>
      <w:r>
        <w:rPr>
          <w:i/>
          <w:spacing w:val="6"/>
          <w:w w:val="100"/>
          <w:sz w:val="24"/>
        </w:rPr>
        <w:t>h</w:t>
      </w:r>
      <w:r>
        <w:rPr>
          <w:w w:val="107"/>
          <w:position w:val="11"/>
          <w:sz w:val="13"/>
        </w:rPr>
        <w:t>'</w:t>
      </w:r>
      <w:r>
        <w:rPr>
          <w:position w:val="11"/>
          <w:sz w:val="13"/>
        </w:rPr>
        <w:t> </w:t>
      </w:r>
      <w:r>
        <w:rPr>
          <w:spacing w:val="-5"/>
          <w:position w:val="11"/>
          <w:sz w:val="13"/>
        </w:rPr>
        <w:t> </w:t>
      </w:r>
      <w:r>
        <w:rPr>
          <w:w w:val="100"/>
          <w:sz w:val="24"/>
        </w:rPr>
        <w:t>,</w:t>
      </w:r>
      <w:r>
        <w:rPr>
          <w:spacing w:val="-31"/>
          <w:sz w:val="24"/>
        </w:rPr>
        <w:t> </w:t>
      </w:r>
      <w:r>
        <w:rPr>
          <w:i/>
          <w:w w:val="100"/>
          <w:sz w:val="24"/>
        </w:rPr>
        <w:t>d</w:t>
      </w:r>
      <w:r>
        <w:rPr>
          <w:i/>
          <w:spacing w:val="-31"/>
          <w:sz w:val="24"/>
        </w:rPr>
        <w:t> </w:t>
      </w:r>
      <w:r>
        <w:rPr>
          <w:w w:val="107"/>
          <w:position w:val="11"/>
          <w:sz w:val="13"/>
        </w:rPr>
        <w:t>'</w:t>
      </w:r>
      <w:r>
        <w:rPr>
          <w:position w:val="11"/>
          <w:sz w:val="13"/>
        </w:rPr>
        <w:t> </w:t>
      </w:r>
      <w:r>
        <w:rPr>
          <w:spacing w:val="-2"/>
          <w:position w:val="11"/>
          <w:sz w:val="13"/>
        </w:rPr>
        <w:t> </w:t>
      </w:r>
      <w:r>
        <w:rPr>
          <w:spacing w:val="-10"/>
          <w:w w:val="100"/>
          <w:sz w:val="24"/>
        </w:rPr>
        <w:t>(</w:t>
      </w:r>
      <w:r>
        <w:rPr>
          <w:rFonts w:ascii="Symbol" w:hAnsi="Symbol"/>
          <w:w w:val="96"/>
          <w:sz w:val="25"/>
        </w:rPr>
        <w:t></w:t>
      </w:r>
      <w:r>
        <w:rPr>
          <w:spacing w:val="-16"/>
          <w:sz w:val="25"/>
        </w:rPr>
        <w:t> </w:t>
      </w:r>
      <w:r>
        <w:rPr>
          <w:spacing w:val="14"/>
          <w:w w:val="100"/>
          <w:sz w:val="24"/>
        </w:rPr>
        <w:t>)</w:t>
      </w:r>
      <w:r>
        <w:rPr>
          <w:rFonts w:ascii="Symbol" w:hAnsi="Symbol"/>
          <w:spacing w:val="2"/>
          <w:w w:val="64"/>
          <w:position w:val="-2"/>
          <w:sz w:val="37"/>
        </w:rPr>
        <w:t></w:t>
      </w:r>
      <w:r>
        <w:rPr>
          <w:w w:val="107"/>
          <w:position w:val="17"/>
          <w:sz w:val="13"/>
        </w:rPr>
        <w:t>'</w:t>
      </w:r>
      <w:r>
        <w:rPr>
          <w:spacing w:val="13"/>
          <w:position w:val="17"/>
          <w:sz w:val="13"/>
        </w:rPr>
        <w:t> 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00" w:bottom="280" w:left="880" w:right="300"/>
          <w:cols w:num="4" w:equalWidth="0">
            <w:col w:w="2462" w:space="40"/>
            <w:col w:w="307" w:space="39"/>
            <w:col w:w="1476" w:space="39"/>
            <w:col w:w="6367"/>
          </w:cols>
        </w:sectPr>
      </w:pP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spacing w:before="9"/>
        <w:ind w:left="0"/>
        <w:jc w:val="left"/>
        <w:rPr>
          <w:sz w:val="17"/>
        </w:rPr>
      </w:pPr>
    </w:p>
    <w:p>
      <w:pPr>
        <w:pStyle w:val="BodyText"/>
        <w:spacing w:before="90"/>
        <w:jc w:val="left"/>
      </w:pPr>
      <w:r>
        <w:rPr/>
        <w:pict>
          <v:shape style="position:absolute;margin-left:259.787811pt;margin-top:-30.344179pt;width:47.6pt;height:7.65pt;mso-position-horizontal-relative:page;mso-position-vertical-relative:paragraph;z-index:-49271808" type="#_x0000_t202" filled="false" stroked="false">
            <v:textbox inset="0,0,0,0">
              <w:txbxContent>
                <w:p>
                  <w:pPr>
                    <w:tabs>
                      <w:tab w:pos="548" w:val="left" w:leader="none"/>
                      <w:tab w:pos="874" w:val="left" w:leader="none"/>
                    </w:tabs>
                    <w:spacing w:before="1"/>
                    <w:ind w:left="0" w:right="0" w:firstLine="0"/>
                    <w:jc w:val="left"/>
                    <w:rPr>
                      <w:i/>
                      <w:sz w:val="13"/>
                    </w:rPr>
                  </w:pPr>
                  <w:r>
                    <w:rPr>
                      <w:i/>
                      <w:w w:val="105"/>
                      <w:sz w:val="13"/>
                    </w:rPr>
                    <w:t>it</w:t>
                    <w:tab/>
                    <w:t>it</w:t>
                    <w:tab/>
                  </w:r>
                  <w:r>
                    <w:rPr>
                      <w:i/>
                      <w:spacing w:val="-3"/>
                      <w:w w:val="105"/>
                      <w:sz w:val="13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t>The</w:t>
      </w:r>
      <w:r>
        <w:rPr>
          <w:spacing w:val="3"/>
        </w:rPr>
        <w:t> </w:t>
      </w:r>
      <w:r>
        <w:rPr/>
        <w:t>observations</w:t>
      </w:r>
      <w:r>
        <w:rPr>
          <w:spacing w:val="5"/>
        </w:rPr>
        <w:t> </w:t>
      </w:r>
      <w:r>
        <w:rPr/>
        <w:t>are</w:t>
      </w:r>
      <w:r>
        <w:rPr>
          <w:spacing w:val="3"/>
        </w:rPr>
        <w:t> </w:t>
      </w:r>
      <w:r>
        <w:rPr/>
        <w:t>divided</w:t>
      </w:r>
      <w:r>
        <w:rPr>
          <w:spacing w:val="4"/>
        </w:rPr>
        <w:t> </w:t>
      </w:r>
      <w:r>
        <w:rPr/>
        <w:t>into</w:t>
      </w:r>
      <w:r>
        <w:rPr>
          <w:spacing w:val="4"/>
        </w:rPr>
        <w:t> </w:t>
      </w:r>
      <w:r>
        <w:rPr/>
        <w:t>two</w:t>
      </w:r>
      <w:r>
        <w:rPr>
          <w:spacing w:val="5"/>
        </w:rPr>
        <w:t> </w:t>
      </w:r>
      <w:r>
        <w:rPr/>
        <w:t>“regimes”</w:t>
      </w:r>
      <w:r>
        <w:rPr>
          <w:spacing w:val="4"/>
        </w:rPr>
        <w:t> </w:t>
      </w:r>
      <w:r>
        <w:rPr/>
        <w:t>depending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whether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threshold</w:t>
      </w:r>
      <w:r>
        <w:rPr>
          <w:spacing w:val="4"/>
        </w:rPr>
        <w:t> </w:t>
      </w:r>
      <w:r>
        <w:rPr/>
        <w:t>variable</w:t>
      </w:r>
    </w:p>
    <w:p>
      <w:pPr>
        <w:pStyle w:val="BodyText"/>
        <w:spacing w:before="2"/>
        <w:ind w:left="0"/>
        <w:jc w:val="left"/>
        <w:rPr>
          <w:sz w:val="23"/>
        </w:rPr>
      </w:pPr>
    </w:p>
    <w:p>
      <w:pPr>
        <w:pStyle w:val="BodyText"/>
        <w:spacing w:before="1"/>
        <w:ind w:left="859"/>
        <w:jc w:val="left"/>
      </w:pPr>
      <w:r>
        <w:rPr>
          <w:i/>
        </w:rPr>
        <w:t>d</w:t>
      </w:r>
      <w:r>
        <w:rPr>
          <w:i/>
          <w:position w:val="-5"/>
          <w:sz w:val="14"/>
        </w:rPr>
        <w:t>it</w:t>
      </w:r>
      <w:r>
        <w:rPr>
          <w:i/>
          <w:spacing w:val="65"/>
          <w:position w:val="-5"/>
          <w:sz w:val="14"/>
        </w:rPr>
        <w:t> </w:t>
      </w:r>
      <w:r>
        <w:rPr/>
        <w:t>is</w:t>
      </w:r>
      <w:r>
        <w:rPr>
          <w:spacing w:val="-5"/>
        </w:rPr>
        <w:t> </w:t>
      </w:r>
      <w:r>
        <w:rPr/>
        <w:t>smaller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larger</w:t>
      </w:r>
      <w:r>
        <w:rPr>
          <w:spacing w:val="-6"/>
        </w:rPr>
        <w:t> </w:t>
      </w:r>
      <w:r>
        <w:rPr/>
        <w:t>than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threshold</w:t>
      </w:r>
      <w:r>
        <w:rPr>
          <w:spacing w:val="-5"/>
        </w:rPr>
        <w:t> </w:t>
      </w:r>
      <w:r>
        <w:rPr/>
        <w:t>value</w:t>
      </w:r>
      <w:r>
        <w:rPr>
          <w:spacing w:val="-6"/>
        </w:rPr>
        <w:t> </w:t>
      </w:r>
      <w:r>
        <w:rPr/>
        <w:t>(</w:t>
      </w:r>
      <w:r>
        <w:rPr>
          <w:spacing w:val="-37"/>
        </w:rPr>
        <w:t> </w:t>
      </w:r>
      <w:r>
        <w:rPr>
          <w:rFonts w:ascii="Symbol" w:hAnsi="Symbol"/>
          <w:sz w:val="25"/>
        </w:rPr>
        <w:t></w:t>
      </w:r>
      <w:r>
        <w:rPr>
          <w:spacing w:val="17"/>
          <w:sz w:val="25"/>
        </w:rPr>
        <w:t> </w:t>
      </w:r>
      <w:r>
        <w:rPr/>
        <w:t>).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regimes</w:t>
      </w:r>
      <w:r>
        <w:rPr>
          <w:spacing w:val="-5"/>
        </w:rPr>
        <w:t> </w:t>
      </w:r>
      <w:r>
        <w:rPr/>
        <w:t>are</w:t>
      </w:r>
      <w:r>
        <w:rPr>
          <w:spacing w:val="-7"/>
        </w:rPr>
        <w:t> </w:t>
      </w:r>
      <w:r>
        <w:rPr/>
        <w:t>distinguished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differing</w:t>
      </w:r>
    </w:p>
    <w:p>
      <w:pPr>
        <w:pStyle w:val="BodyText"/>
        <w:spacing w:before="5"/>
        <w:ind w:left="0"/>
        <w:jc w:val="left"/>
        <w:rPr>
          <w:sz w:val="16"/>
        </w:rPr>
      </w:pP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500" w:bottom="280" w:left="880" w:right="300"/>
        </w:sectPr>
      </w:pPr>
    </w:p>
    <w:p>
      <w:pPr>
        <w:pStyle w:val="BodyText"/>
        <w:spacing w:before="106"/>
        <w:jc w:val="left"/>
        <w:rPr>
          <w:i/>
          <w:sz w:val="14"/>
        </w:rPr>
      </w:pPr>
      <w:r>
        <w:rPr>
          <w:w w:val="95"/>
        </w:rPr>
        <w:t>regression</w:t>
      </w:r>
      <w:r>
        <w:rPr>
          <w:spacing w:val="24"/>
          <w:w w:val="95"/>
        </w:rPr>
        <w:t> </w:t>
      </w:r>
      <w:r>
        <w:rPr>
          <w:w w:val="95"/>
        </w:rPr>
        <w:t>slopes,</w:t>
      </w:r>
      <w:r>
        <w:rPr>
          <w:spacing w:val="49"/>
          <w:w w:val="95"/>
        </w:rPr>
        <w:t> </w:t>
      </w:r>
      <w:r>
        <w:rPr>
          <w:rFonts w:ascii="Symbol" w:hAnsi="Symbol"/>
          <w:w w:val="95"/>
          <w:sz w:val="25"/>
        </w:rPr>
        <w:t></w:t>
      </w:r>
      <w:r>
        <w:rPr>
          <w:w w:val="95"/>
          <w:sz w:val="25"/>
          <w:vertAlign w:val="subscript"/>
        </w:rPr>
        <w:t>1</w:t>
      </w:r>
      <w:r>
        <w:rPr>
          <w:spacing w:val="-11"/>
          <w:w w:val="95"/>
          <w:sz w:val="25"/>
          <w:vertAlign w:val="baseline"/>
        </w:rPr>
        <w:t> </w:t>
      </w:r>
      <w:r>
        <w:rPr>
          <w:w w:val="95"/>
          <w:vertAlign w:val="baseline"/>
        </w:rPr>
        <w:t>and</w:t>
      </w:r>
      <w:r>
        <w:rPr>
          <w:rFonts w:ascii="Symbol" w:hAnsi="Symbol"/>
          <w:w w:val="95"/>
          <w:sz w:val="25"/>
          <w:vertAlign w:val="baseline"/>
        </w:rPr>
        <w:t></w:t>
      </w:r>
      <w:r>
        <w:rPr>
          <w:spacing w:val="-30"/>
          <w:w w:val="95"/>
          <w:sz w:val="25"/>
          <w:vertAlign w:val="baseline"/>
        </w:rPr>
        <w:t> </w:t>
      </w:r>
      <w:r>
        <w:rPr>
          <w:w w:val="95"/>
          <w:sz w:val="25"/>
          <w:vertAlign w:val="subscript"/>
        </w:rPr>
        <w:t>2</w:t>
      </w:r>
      <w:r>
        <w:rPr>
          <w:spacing w:val="-4"/>
          <w:w w:val="95"/>
          <w:sz w:val="25"/>
          <w:vertAlign w:val="baseline"/>
        </w:rPr>
        <w:t> </w:t>
      </w:r>
      <w:r>
        <w:rPr>
          <w:w w:val="95"/>
          <w:vertAlign w:val="baseline"/>
        </w:rPr>
        <w:t>.</w:t>
      </w:r>
      <w:r>
        <w:rPr>
          <w:spacing w:val="25"/>
          <w:w w:val="95"/>
          <w:vertAlign w:val="baseline"/>
        </w:rPr>
        <w:t> </w:t>
      </w:r>
      <w:r>
        <w:rPr>
          <w:w w:val="95"/>
          <w:vertAlign w:val="baseline"/>
        </w:rPr>
        <w:t>The</w:t>
      </w:r>
      <w:r>
        <w:rPr>
          <w:spacing w:val="23"/>
          <w:w w:val="95"/>
          <w:vertAlign w:val="baseline"/>
        </w:rPr>
        <w:t> </w:t>
      </w:r>
      <w:r>
        <w:rPr>
          <w:w w:val="95"/>
          <w:vertAlign w:val="baseline"/>
        </w:rPr>
        <w:t>study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used</w:t>
      </w:r>
      <w:r>
        <w:rPr>
          <w:spacing w:val="27"/>
          <w:w w:val="95"/>
          <w:vertAlign w:val="baseline"/>
        </w:rPr>
        <w:t> </w:t>
      </w:r>
      <w:r>
        <w:rPr>
          <w:w w:val="95"/>
          <w:vertAlign w:val="baseline"/>
        </w:rPr>
        <w:t>known</w:t>
      </w:r>
      <w:r>
        <w:rPr>
          <w:spacing w:val="67"/>
          <w:vertAlign w:val="baseline"/>
        </w:rPr>
        <w:t> </w:t>
      </w:r>
      <w:r>
        <w:rPr>
          <w:i/>
          <w:w w:val="95"/>
          <w:vertAlign w:val="baseline"/>
        </w:rPr>
        <w:t>v</w:t>
      </w:r>
      <w:r>
        <w:rPr>
          <w:i/>
          <w:w w:val="95"/>
          <w:position w:val="-5"/>
          <w:sz w:val="14"/>
          <w:vertAlign w:val="baseline"/>
        </w:rPr>
        <w:t>it</w:t>
      </w:r>
    </w:p>
    <w:p>
      <w:pPr>
        <w:pStyle w:val="BodyText"/>
        <w:spacing w:before="4"/>
        <w:ind w:left="0"/>
        <w:jc w:val="left"/>
        <w:rPr>
          <w:i/>
          <w:sz w:val="27"/>
        </w:rPr>
      </w:pPr>
    </w:p>
    <w:p>
      <w:pPr>
        <w:spacing w:before="0"/>
        <w:ind w:left="837" w:right="0" w:firstLine="0"/>
        <w:jc w:val="left"/>
        <w:rPr>
          <w:sz w:val="24"/>
        </w:rPr>
      </w:pPr>
      <w:r>
        <w:rPr>
          <w:rFonts w:ascii="Symbol" w:hAnsi="Symbol"/>
          <w:w w:val="95"/>
          <w:sz w:val="25"/>
        </w:rPr>
        <w:t></w:t>
      </w:r>
      <w:r>
        <w:rPr>
          <w:spacing w:val="-1"/>
          <w:w w:val="95"/>
          <w:sz w:val="25"/>
        </w:rPr>
        <w:t> </w:t>
      </w:r>
      <w:r>
        <w:rPr>
          <w:w w:val="95"/>
          <w:sz w:val="24"/>
        </w:rPr>
        <w:t>,</w:t>
      </w:r>
      <w:r>
        <w:rPr>
          <w:spacing w:val="19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</w:t>
      </w:r>
      <w:r>
        <w:rPr>
          <w:spacing w:val="26"/>
          <w:w w:val="95"/>
          <w:sz w:val="25"/>
        </w:rPr>
        <w:t> </w:t>
      </w:r>
      <w:r>
        <w:rPr>
          <w:w w:val="95"/>
          <w:sz w:val="24"/>
        </w:rPr>
        <w:t>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and</w:t>
      </w:r>
      <w:r>
        <w:rPr>
          <w:spacing w:val="25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</w:t>
      </w:r>
      <w:r>
        <w:rPr>
          <w:spacing w:val="-4"/>
          <w:w w:val="95"/>
          <w:sz w:val="25"/>
        </w:rPr>
        <w:t> </w:t>
      </w:r>
      <w:r>
        <w:rPr>
          <w:w w:val="95"/>
          <w:sz w:val="25"/>
          <w:vertAlign w:val="superscript"/>
        </w:rPr>
        <w:t>2</w:t>
      </w:r>
      <w:r>
        <w:rPr>
          <w:spacing w:val="-26"/>
          <w:w w:val="95"/>
          <w:sz w:val="25"/>
          <w:vertAlign w:val="baseline"/>
        </w:rPr>
        <w:t> </w:t>
      </w:r>
      <w:r>
        <w:rPr>
          <w:w w:val="95"/>
          <w:sz w:val="24"/>
          <w:vertAlign w:val="baseline"/>
        </w:rPr>
        <w:t>).</w:t>
      </w:r>
    </w:p>
    <w:p>
      <w:pPr>
        <w:spacing w:before="132"/>
        <w:ind w:left="74" w:right="0" w:firstLine="0"/>
        <w:jc w:val="left"/>
        <w:rPr>
          <w:i/>
          <w:sz w:val="14"/>
        </w:rPr>
      </w:pPr>
      <w:r>
        <w:rPr/>
        <w:br w:type="column"/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i/>
          <w:sz w:val="24"/>
        </w:rPr>
        <w:t>d</w:t>
      </w:r>
      <w:r>
        <w:rPr>
          <w:i/>
          <w:position w:val="-5"/>
          <w:sz w:val="14"/>
        </w:rPr>
        <w:t>it</w:t>
      </w:r>
    </w:p>
    <w:p>
      <w:pPr>
        <w:pStyle w:val="BodyText"/>
        <w:spacing w:before="104"/>
        <w:ind w:left="64"/>
        <w:jc w:val="left"/>
      </w:pPr>
      <w:r>
        <w:rPr/>
        <w:br w:type="column"/>
      </w:r>
      <w:r>
        <w:rPr>
          <w:spacing w:val="-1"/>
        </w:rPr>
        <w:t>to</w:t>
      </w:r>
      <w:r>
        <w:rPr>
          <w:spacing w:val="2"/>
        </w:rPr>
        <w:t> </w:t>
      </w:r>
      <w:r>
        <w:rPr>
          <w:spacing w:val="-1"/>
        </w:rPr>
        <w:t>estimate</w:t>
      </w:r>
      <w:r>
        <w:rPr/>
        <w:t> the parameters</w:t>
      </w:r>
      <w:r>
        <w:rPr>
          <w:spacing w:val="1"/>
        </w:rPr>
        <w:t> </w:t>
      </w:r>
      <w:r>
        <w:rPr/>
        <w:t>(</w:t>
      </w:r>
      <w:r>
        <w:rPr>
          <w:spacing w:val="-37"/>
        </w:rPr>
        <w:t> </w:t>
      </w:r>
      <w:r>
        <w:rPr>
          <w:rFonts w:ascii="Symbol" w:hAnsi="Symbol"/>
          <w:sz w:val="25"/>
        </w:rPr>
        <w:t></w:t>
      </w:r>
      <w:r>
        <w:rPr>
          <w:spacing w:val="19"/>
          <w:sz w:val="25"/>
        </w:rPr>
        <w:t> </w:t>
      </w:r>
      <w:r>
        <w:rPr/>
        <w:t>,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  <w:cols w:num="3" w:equalWidth="0">
            <w:col w:w="6092" w:space="40"/>
            <w:col w:w="738" w:space="39"/>
            <w:col w:w="3821"/>
          </w:cols>
        </w:sectPr>
      </w:pPr>
    </w:p>
    <w:p>
      <w:pPr>
        <w:pStyle w:val="BodyText"/>
        <w:spacing w:line="480" w:lineRule="auto" w:before="77"/>
        <w:ind w:right="829"/>
      </w:pPr>
      <w:r>
        <w:rPr/>
        <w:t>In this study, the threshold theory proposed by Hansen (1999) is applied and the assumption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corporate</w:t>
      </w:r>
      <w:r>
        <w:rPr>
          <w:spacing w:val="-6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asymmetric</w:t>
      </w:r>
      <w:r>
        <w:rPr>
          <w:spacing w:val="-6"/>
        </w:rPr>
        <w:t> </w:t>
      </w:r>
      <w:r>
        <w:rPr/>
        <w:t>nonlinear</w:t>
      </w:r>
      <w:r>
        <w:rPr>
          <w:spacing w:val="-4"/>
        </w:rPr>
        <w:t> </w:t>
      </w:r>
      <w:r>
        <w:rPr/>
        <w:t>relationship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made.</w:t>
      </w:r>
      <w:r>
        <w:rPr>
          <w:spacing w:val="-3"/>
        </w:rPr>
        <w:t> </w:t>
      </w:r>
      <w:r>
        <w:rPr/>
        <w:t>First,</w:t>
      </w:r>
      <w:r>
        <w:rPr>
          <w:spacing w:val="-5"/>
        </w:rPr>
        <w:t> </w:t>
      </w:r>
      <w:r>
        <w:rPr/>
        <w:t>if</w:t>
      </w:r>
      <w:r>
        <w:rPr>
          <w:spacing w:val="-3"/>
        </w:rPr>
        <w:t> </w:t>
      </w:r>
      <w:r>
        <w:rPr/>
        <w:t>there</w:t>
      </w:r>
      <w:r>
        <w:rPr>
          <w:spacing w:val="-7"/>
        </w:rPr>
        <w:t> </w:t>
      </w:r>
      <w:r>
        <w:rPr/>
        <w:t>exists</w:t>
      </w:r>
      <w:r>
        <w:rPr>
          <w:spacing w:val="-57"/>
        </w:rPr>
        <w:t> </w:t>
      </w:r>
      <w:r>
        <w:rPr/>
        <w:t>threshold effect, then test double threshold and single threshold effect are tested, respectively,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relevant formulas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both models are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ind w:left="0"/>
        <w:jc w:val="left"/>
        <w:rPr>
          <w:sz w:val="12"/>
        </w:rPr>
      </w:pPr>
    </w:p>
    <w:p>
      <w:pPr>
        <w:spacing w:after="0"/>
        <w:jc w:val="left"/>
        <w:rPr>
          <w:sz w:val="12"/>
        </w:rPr>
        <w:sectPr>
          <w:pgSz w:w="11910" w:h="16840"/>
          <w:pgMar w:header="0" w:footer="1402" w:top="1120" w:bottom="1680" w:left="880" w:right="300"/>
        </w:sectPr>
      </w:pPr>
    </w:p>
    <w:p>
      <w:pPr>
        <w:spacing w:line="250" w:lineRule="exact" w:before="97"/>
        <w:ind w:left="0" w:right="0" w:firstLine="0"/>
        <w:jc w:val="right"/>
        <w:rPr>
          <w:i/>
          <w:sz w:val="24"/>
        </w:rPr>
      </w:pPr>
      <w:r>
        <w:rPr>
          <w:rFonts w:ascii="Symbol" w:hAnsi="Symbol"/>
          <w:w w:val="95"/>
          <w:position w:val="7"/>
          <w:sz w:val="24"/>
        </w:rPr>
        <w:t></w:t>
      </w:r>
      <w:r>
        <w:rPr>
          <w:spacing w:val="-31"/>
          <w:w w:val="95"/>
          <w:position w:val="7"/>
          <w:sz w:val="24"/>
        </w:rPr>
        <w:t> </w:t>
      </w:r>
      <w:r>
        <w:rPr>
          <w:rFonts w:ascii="Symbol" w:hAnsi="Symbol"/>
          <w:w w:val="95"/>
          <w:sz w:val="25"/>
        </w:rPr>
        <w:t></w:t>
      </w:r>
      <w:r>
        <w:rPr>
          <w:spacing w:val="16"/>
          <w:w w:val="95"/>
          <w:sz w:val="25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rFonts w:ascii="Symbol" w:hAnsi="Symbol"/>
          <w:w w:val="95"/>
          <w:sz w:val="25"/>
        </w:rPr>
        <w:t></w:t>
      </w:r>
      <w:r>
        <w:rPr>
          <w:spacing w:val="-13"/>
          <w:w w:val="95"/>
          <w:sz w:val="25"/>
        </w:rPr>
        <w:t> </w:t>
      </w:r>
      <w:r>
        <w:rPr>
          <w:w w:val="95"/>
          <w:sz w:val="25"/>
          <w:vertAlign w:val="superscript"/>
        </w:rPr>
        <w:t>'</w:t>
      </w:r>
      <w:r>
        <w:rPr>
          <w:i/>
          <w:w w:val="95"/>
          <w:sz w:val="24"/>
          <w:vertAlign w:val="baseline"/>
        </w:rPr>
        <w:t>h</w:t>
      </w:r>
    </w:p>
    <w:p>
      <w:pPr>
        <w:tabs>
          <w:tab w:pos="1669" w:val="left" w:leader="none"/>
          <w:tab w:pos="2027" w:val="left" w:leader="none"/>
        </w:tabs>
        <w:spacing w:line="190" w:lineRule="exact" w:before="157"/>
        <w:ind w:left="93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sz w:val="24"/>
        </w:rPr>
        <w:t></w:t>
      </w:r>
      <w:r>
        <w:rPr>
          <w:spacing w:val="-36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</w:t>
      </w:r>
      <w:r>
        <w:rPr>
          <w:spacing w:val="53"/>
          <w:w w:val="95"/>
          <w:sz w:val="25"/>
        </w:rPr>
        <w:t> </w:t>
      </w:r>
      <w:r>
        <w:rPr>
          <w:i/>
          <w:w w:val="95"/>
          <w:sz w:val="24"/>
        </w:rPr>
        <w:t>d</w:t>
      </w:r>
      <w:r>
        <w:rPr>
          <w:i/>
          <w:spacing w:val="103"/>
          <w:sz w:val="24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spacing w:val="-24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</w:t>
      </w:r>
      <w:r>
        <w:rPr>
          <w:w w:val="95"/>
          <w:sz w:val="25"/>
        </w:rPr>
        <w:tab/>
      </w:r>
      <w:r>
        <w:rPr>
          <w:i/>
          <w:sz w:val="24"/>
        </w:rPr>
        <w:t>if</w:t>
        <w:tab/>
      </w:r>
      <w:r>
        <w:rPr>
          <w:i/>
          <w:w w:val="95"/>
          <w:sz w:val="24"/>
        </w:rPr>
        <w:t>d</w:t>
      </w:r>
      <w:r>
        <w:rPr>
          <w:i/>
          <w:spacing w:val="120"/>
          <w:sz w:val="24"/>
        </w:rPr>
        <w:t> </w:t>
      </w:r>
      <w:r>
        <w:rPr>
          <w:rFonts w:ascii="Symbol" w:hAnsi="Symbol"/>
          <w:w w:val="95"/>
          <w:sz w:val="24"/>
        </w:rPr>
        <w:t></w:t>
      </w:r>
      <w:r>
        <w:rPr>
          <w:spacing w:val="-15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</w:t>
      </w:r>
    </w:p>
    <w:p>
      <w:pPr>
        <w:spacing w:after="0" w:line="190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500" w:bottom="280" w:left="880" w:right="300"/>
          <w:cols w:num="2" w:equalWidth="0">
            <w:col w:w="2772" w:space="40"/>
            <w:col w:w="7918"/>
          </w:cols>
        </w:sectPr>
      </w:pPr>
    </w:p>
    <w:p>
      <w:pPr>
        <w:tabs>
          <w:tab w:pos="845" w:val="left" w:leader="none"/>
        </w:tabs>
        <w:spacing w:line="48" w:lineRule="auto" w:before="56"/>
        <w:ind w:left="0" w:right="0" w:firstLine="0"/>
        <w:jc w:val="right"/>
        <w:rPr>
          <w:i/>
          <w:sz w:val="14"/>
        </w:rPr>
      </w:pPr>
      <w:r>
        <w:rPr/>
        <w:drawing>
          <wp:anchor distT="0" distB="0" distL="0" distR="0" allowOverlap="1" layoutInCell="1" locked="0" behindDoc="1" simplePos="0" relativeHeight="454045184">
            <wp:simplePos x="0" y="0"/>
            <wp:positionH relativeFrom="page">
              <wp:posOffset>1261605</wp:posOffset>
            </wp:positionH>
            <wp:positionV relativeFrom="paragraph">
              <wp:posOffset>68594</wp:posOffset>
            </wp:positionV>
            <wp:extent cx="5133225" cy="5265293"/>
            <wp:effectExtent l="0" t="0" r="0" b="0"/>
            <wp:wrapNone/>
            <wp:docPr id="19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5.99408pt;margin-top:17.977957pt;width:3.5pt;height:7.7pt;mso-position-horizontal-relative:page;mso-position-vertical-relative:paragraph;z-index:-49268736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6.866501pt;margin-top:17.977959pt;width:25.55pt;height:7.7pt;mso-position-horizontal-relative:page;mso-position-vertical-relative:paragraph;z-index:-49268224" type="#_x0000_t202" filled="false" stroked="false">
            <v:textbox inset="0,0,0,0">
              <w:txbxContent>
                <w:p>
                  <w:pPr>
                    <w:tabs>
                      <w:tab w:pos="433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it</w:t>
                    <w:tab/>
                  </w:r>
                  <w:r>
                    <w:rPr>
                      <w:i/>
                      <w:spacing w:val="-4"/>
                      <w:sz w:val="1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1.839783pt;margin-top:17.977976pt;width:3.5pt;height:7.7pt;mso-position-horizontal-relative:page;mso-position-vertical-relative:paragraph;z-index:-49267712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269104pt;margin-top:17.977982pt;width:3.9pt;height:7.7pt;mso-position-horizontal-relative:page;mso-position-vertical-relative:paragraph;z-index:-49267200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w w:val="95"/>
                      <w:sz w:val="1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659393pt;margin-top:17.977987pt;width:3.5pt;height:7.7pt;mso-position-horizontal-relative:page;mso-position-vertical-relative:paragraph;z-index:15787008" type="#_x0000_t202" filled="false" stroked="false">
            <v:textbox inset="0,0,0,0">
              <w:txbxContent>
                <w:p>
                  <w:pPr>
                    <w:spacing w:line="153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w w:val="99"/>
                      <w:sz w:val="14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position w:val="-15"/>
          <w:sz w:val="24"/>
        </w:rPr>
        <w:t></w:t>
      </w:r>
      <w:r>
        <w:rPr>
          <w:spacing w:val="107"/>
          <w:position w:val="-15"/>
          <w:sz w:val="24"/>
        </w:rPr>
        <w:t> </w:t>
      </w:r>
      <w:r>
        <w:rPr>
          <w:i/>
          <w:sz w:val="14"/>
        </w:rPr>
        <w:t>i</w:t>
        <w:tab/>
        <w:t>it</w:t>
      </w:r>
    </w:p>
    <w:p>
      <w:pPr>
        <w:tabs>
          <w:tab w:pos="1005" w:val="left" w:leader="none"/>
          <w:tab w:pos="2094" w:val="left" w:leader="none"/>
          <w:tab w:pos="2616" w:val="right" w:leader="none"/>
        </w:tabs>
        <w:spacing w:line="154" w:lineRule="exact" w:before="0"/>
        <w:ind w:left="339" w:right="0" w:firstLine="0"/>
        <w:jc w:val="left"/>
        <w:rPr>
          <w:sz w:val="14"/>
        </w:rPr>
      </w:pPr>
      <w:r>
        <w:rPr/>
        <w:br w:type="column"/>
      </w:r>
      <w:r>
        <w:rPr>
          <w:w w:val="95"/>
          <w:sz w:val="14"/>
        </w:rPr>
        <w:t>1</w:t>
      </w:r>
      <w:r>
        <w:rPr>
          <w:spacing w:val="47"/>
          <w:sz w:val="14"/>
        </w:rPr>
        <w:t> </w:t>
      </w:r>
      <w:r>
        <w:rPr>
          <w:spacing w:val="47"/>
          <w:sz w:val="14"/>
        </w:rPr>
        <w:t> </w:t>
      </w:r>
      <w:r>
        <w:rPr>
          <w:i/>
          <w:sz w:val="14"/>
        </w:rPr>
        <w:t>it</w:t>
        <w:tab/>
        <w:t>it</w:t>
        <w:tab/>
        <w:t>it</w:t>
        <w:tab/>
      </w:r>
      <w:r>
        <w:rPr>
          <w:sz w:val="14"/>
        </w:rPr>
        <w:t>1</w:t>
      </w:r>
    </w:p>
    <w:p>
      <w:pPr>
        <w:spacing w:after="0" w:line="154" w:lineRule="exact"/>
        <w:jc w:val="left"/>
        <w:rPr>
          <w:sz w:val="14"/>
        </w:rPr>
        <w:sectPr>
          <w:type w:val="continuous"/>
          <w:pgSz w:w="11910" w:h="16840"/>
          <w:pgMar w:top="1500" w:bottom="280" w:left="880" w:right="300"/>
          <w:cols w:num="2" w:equalWidth="0">
            <w:col w:w="2833" w:space="40"/>
            <w:col w:w="7857"/>
          </w:cols>
        </w:sectPr>
      </w:pPr>
    </w:p>
    <w:p>
      <w:pPr>
        <w:spacing w:line="281" w:lineRule="exact" w:before="2"/>
        <w:ind w:left="1455" w:right="0" w:firstLine="0"/>
        <w:jc w:val="left"/>
        <w:rPr>
          <w:i/>
          <w:sz w:val="24"/>
        </w:rPr>
      </w:pPr>
      <w:r>
        <w:rPr/>
        <w:pict>
          <v:shape style="position:absolute;margin-left:121.794426pt;margin-top:9.597038pt;width:64.5pt;height:7.7pt;mso-position-horizontal-relative:page;mso-position-vertical-relative:paragraph;z-index:-49269248" type="#_x0000_t202" filled="false" stroked="false">
            <v:textbox inset="0,0,0,0">
              <w:txbxContent>
                <w:p>
                  <w:pPr>
                    <w:tabs>
                      <w:tab w:pos="652" w:val="left" w:leader="none"/>
                      <w:tab w:pos="1211" w:val="left" w:leader="none"/>
                    </w:tabs>
                    <w:spacing w:line="153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z w:val="14"/>
                    </w:rPr>
                    <w:t>it</w:t>
                    <w:tab/>
                    <w:t>i</w:t>
                    <w:tab/>
                  </w:r>
                  <w:r>
                    <w:rPr>
                      <w:i/>
                      <w:spacing w:val="-4"/>
                      <w:sz w:val="1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>
          <w:i/>
          <w:w w:val="95"/>
          <w:sz w:val="24"/>
        </w:rPr>
        <w:t>v</w:t>
      </w:r>
      <w:r>
        <w:rPr>
          <w:i/>
          <w:spacing w:val="114"/>
          <w:sz w:val="24"/>
        </w:rPr>
        <w:t> </w:t>
      </w:r>
      <w:r>
        <w:rPr>
          <w:rFonts w:ascii="Symbol" w:hAnsi="Symbol"/>
          <w:w w:val="95"/>
          <w:sz w:val="24"/>
        </w:rPr>
        <w:t></w:t>
      </w:r>
      <w:r>
        <w:rPr>
          <w:spacing w:val="4"/>
          <w:w w:val="95"/>
          <w:sz w:val="24"/>
        </w:rPr>
        <w:t> </w:t>
      </w:r>
      <w:r>
        <w:rPr>
          <w:rFonts w:ascii="Symbol" w:hAnsi="Symbol"/>
          <w:w w:val="95"/>
          <w:position w:val="-3"/>
          <w:sz w:val="24"/>
        </w:rPr>
        <w:t></w:t>
      </w:r>
      <w:r>
        <w:rPr>
          <w:spacing w:val="-18"/>
          <w:w w:val="95"/>
          <w:position w:val="-3"/>
          <w:sz w:val="24"/>
        </w:rPr>
        <w:t> </w:t>
      </w:r>
      <w:r>
        <w:rPr>
          <w:rFonts w:ascii="Symbol" w:hAnsi="Symbol"/>
          <w:w w:val="95"/>
          <w:sz w:val="25"/>
        </w:rPr>
        <w:t></w:t>
      </w:r>
      <w:r>
        <w:rPr>
          <w:spacing w:val="61"/>
          <w:sz w:val="25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rFonts w:ascii="Symbol" w:hAnsi="Symbol"/>
          <w:w w:val="95"/>
          <w:sz w:val="25"/>
        </w:rPr>
        <w:t></w:t>
      </w:r>
      <w:r>
        <w:rPr>
          <w:spacing w:val="-16"/>
          <w:w w:val="95"/>
          <w:sz w:val="25"/>
        </w:rPr>
        <w:t> </w:t>
      </w:r>
      <w:r>
        <w:rPr>
          <w:w w:val="95"/>
          <w:sz w:val="25"/>
          <w:vertAlign w:val="superscript"/>
        </w:rPr>
        <w:t>'</w:t>
      </w:r>
      <w:r>
        <w:rPr>
          <w:i/>
          <w:w w:val="95"/>
          <w:sz w:val="24"/>
          <w:vertAlign w:val="baseline"/>
        </w:rPr>
        <w:t>h</w:t>
      </w:r>
    </w:p>
    <w:p>
      <w:pPr>
        <w:tabs>
          <w:tab w:pos="1669" w:val="left" w:leader="none"/>
          <w:tab w:pos="2011" w:val="left" w:leader="none"/>
        </w:tabs>
        <w:spacing w:line="281" w:lineRule="exact" w:before="2"/>
        <w:ind w:left="93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sz w:val="24"/>
        </w:rPr>
        <w:t></w:t>
      </w:r>
      <w:r>
        <w:rPr>
          <w:spacing w:val="-35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</w:t>
      </w:r>
      <w:r>
        <w:rPr>
          <w:spacing w:val="53"/>
          <w:w w:val="95"/>
          <w:sz w:val="25"/>
        </w:rPr>
        <w:t> </w:t>
      </w:r>
      <w:r>
        <w:rPr>
          <w:i/>
          <w:w w:val="95"/>
          <w:sz w:val="24"/>
        </w:rPr>
        <w:t>d</w:t>
      </w:r>
      <w:r>
        <w:rPr>
          <w:i/>
          <w:spacing w:val="103"/>
          <w:sz w:val="24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spacing w:val="-23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</w:t>
      </w:r>
      <w:r>
        <w:rPr>
          <w:w w:val="95"/>
          <w:sz w:val="25"/>
        </w:rPr>
        <w:tab/>
      </w:r>
      <w:r>
        <w:rPr>
          <w:i/>
          <w:sz w:val="24"/>
        </w:rPr>
        <w:t>if</w:t>
        <w:tab/>
      </w:r>
      <w:r>
        <w:rPr>
          <w:rFonts w:ascii="Symbol" w:hAnsi="Symbol"/>
          <w:w w:val="95"/>
          <w:sz w:val="25"/>
        </w:rPr>
        <w:t></w:t>
      </w:r>
      <w:r>
        <w:rPr>
          <w:spacing w:val="93"/>
          <w:sz w:val="25"/>
        </w:rPr>
        <w:t> </w:t>
      </w:r>
      <w:r>
        <w:rPr>
          <w:rFonts w:ascii="Symbol" w:hAnsi="Symbol"/>
          <w:w w:val="95"/>
          <w:sz w:val="24"/>
        </w:rPr>
        <w:t></w:t>
      </w:r>
      <w:r>
        <w:rPr>
          <w:spacing w:val="-1"/>
          <w:w w:val="95"/>
          <w:sz w:val="24"/>
        </w:rPr>
        <w:t> </w:t>
      </w:r>
      <w:r>
        <w:rPr>
          <w:i/>
          <w:w w:val="95"/>
          <w:sz w:val="24"/>
        </w:rPr>
        <w:t>d</w:t>
      </w:r>
      <w:r>
        <w:rPr>
          <w:i/>
          <w:spacing w:val="109"/>
          <w:sz w:val="24"/>
        </w:rPr>
        <w:t> </w:t>
      </w:r>
      <w:r>
        <w:rPr>
          <w:rFonts w:ascii="Symbol" w:hAnsi="Symbol"/>
          <w:w w:val="95"/>
          <w:sz w:val="24"/>
        </w:rPr>
        <w:t></w:t>
      </w:r>
      <w:r>
        <w:rPr>
          <w:spacing w:val="-16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</w:t>
      </w:r>
    </w:p>
    <w:p>
      <w:pPr>
        <w:pStyle w:val="BodyText"/>
        <w:tabs>
          <w:tab w:pos="3137" w:val="left" w:leader="none"/>
        </w:tabs>
        <w:spacing w:line="256" w:lineRule="exact" w:before="28"/>
        <w:ind w:left="226"/>
        <w:jc w:val="left"/>
      </w:pPr>
      <w:r>
        <w:rPr/>
        <w:br w:type="column"/>
      </w:r>
      <w:r>
        <w:rPr/>
        <w:t>for</w:t>
      </w:r>
      <w:r>
        <w:rPr>
          <w:spacing w:val="-3"/>
        </w:rPr>
        <w:t> </w:t>
      </w:r>
      <w:r>
        <w:rPr/>
        <w:t>double</w:t>
      </w:r>
      <w:r>
        <w:rPr>
          <w:spacing w:val="-1"/>
        </w:rPr>
        <w:t> </w:t>
      </w:r>
      <w:r>
        <w:rPr/>
        <w:t>threshold effect</w:t>
        <w:tab/>
        <w:t>(vi)</w:t>
      </w:r>
    </w:p>
    <w:p>
      <w:pPr>
        <w:spacing w:after="0" w:line="256" w:lineRule="exact"/>
        <w:jc w:val="left"/>
        <w:sectPr>
          <w:type w:val="continuous"/>
          <w:pgSz w:w="11910" w:h="16840"/>
          <w:pgMar w:top="1500" w:bottom="280" w:left="880" w:right="300"/>
          <w:cols w:num="3" w:equalWidth="0">
            <w:col w:w="2785" w:space="40"/>
            <w:col w:w="3013" w:space="39"/>
            <w:col w:w="4853"/>
          </w:cols>
        </w:sectPr>
      </w:pPr>
    </w:p>
    <w:p>
      <w:pPr>
        <w:pStyle w:val="BodyText"/>
        <w:tabs>
          <w:tab w:pos="2604" w:val="left" w:leader="none"/>
        </w:tabs>
        <w:spacing w:line="248" w:lineRule="exact"/>
        <w:ind w:left="1909"/>
        <w:jc w:val="left"/>
      </w:pPr>
      <w:r>
        <w:rPr/>
        <w:pict>
          <v:shape style="position:absolute;margin-left:145.890671pt;margin-top:6.869323pt;width:6.95pt;height:15.5pt;mso-position-horizontal-relative:page;mso-position-vertical-relative:paragraph;z-index:-49270784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Symbol" w:hAnsi="Symbol"/>
                      <w:sz w:val="25"/>
                    </w:rPr>
                  </w:pPr>
                  <w:r>
                    <w:rPr>
                      <w:rFonts w:ascii="Symbol" w:hAnsi="Symbol"/>
                      <w:w w:val="96"/>
                      <w:sz w:val="25"/>
                    </w:rPr>
                    <w:t>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468292pt;margin-top:6.869323pt;width:23.5pt;height:15.5pt;mso-position-horizontal-relative:page;mso-position-vertical-relative:paragraph;z-index:-49270272" type="#_x0000_t202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i/>
                      <w:sz w:val="24"/>
                    </w:rPr>
                  </w:pPr>
                  <w:r>
                    <w:rPr>
                      <w:rFonts w:ascii="Symbol" w:hAnsi="Symbol"/>
                      <w:sz w:val="24"/>
                    </w:rPr>
                    <w:t></w:t>
                  </w:r>
                  <w:r>
                    <w:rPr>
                      <w:rFonts w:ascii="Symbol" w:hAnsi="Symbol"/>
                      <w:sz w:val="25"/>
                    </w:rPr>
                    <w:t></w:t>
                  </w:r>
                  <w:r>
                    <w:rPr>
                      <w:spacing w:val="5"/>
                      <w:sz w:val="25"/>
                    </w:rPr>
                    <w:t> </w:t>
                  </w:r>
                  <w:r>
                    <w:rPr>
                      <w:i/>
                      <w:sz w:val="24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</w:rPr>
        <w:t></w:t>
      </w:r>
      <w:r>
        <w:rPr/>
        <w:tab/>
      </w:r>
      <w:r>
        <w:rPr>
          <w:vertAlign w:val="subscript"/>
        </w:rPr>
        <w:t>'</w:t>
      </w:r>
    </w:p>
    <w:p>
      <w:pPr>
        <w:tabs>
          <w:tab w:pos="2741" w:val="left" w:leader="none"/>
        </w:tabs>
        <w:spacing w:line="288" w:lineRule="exact" w:before="0"/>
        <w:ind w:left="1909" w:right="0" w:firstLine="0"/>
        <w:jc w:val="left"/>
        <w:rPr>
          <w:i/>
          <w:sz w:val="14"/>
        </w:rPr>
      </w:pPr>
      <w:r>
        <w:rPr>
          <w:rFonts w:ascii="Symbol" w:hAnsi="Symbol"/>
          <w:spacing w:val="-119"/>
          <w:w w:val="100"/>
          <w:position w:val="1"/>
          <w:sz w:val="24"/>
        </w:rPr>
        <w:t></w:t>
      </w:r>
      <w:r>
        <w:rPr>
          <w:rFonts w:ascii="Symbol" w:hAnsi="Symbol"/>
          <w:w w:val="100"/>
          <w:position w:val="-2"/>
          <w:sz w:val="24"/>
        </w:rPr>
        <w:t></w:t>
      </w:r>
      <w:r>
        <w:rPr>
          <w:position w:val="-2"/>
          <w:sz w:val="24"/>
        </w:rPr>
        <w:t>  </w:t>
      </w:r>
      <w:r>
        <w:rPr>
          <w:spacing w:val="-27"/>
          <w:position w:val="-2"/>
          <w:sz w:val="24"/>
        </w:rPr>
        <w:t> </w:t>
      </w:r>
      <w:r>
        <w:rPr>
          <w:i/>
          <w:w w:val="99"/>
          <w:sz w:val="14"/>
        </w:rPr>
        <w:t>i</w:t>
      </w:r>
      <w:r>
        <w:rPr>
          <w:i/>
          <w:sz w:val="14"/>
        </w:rPr>
        <w:tab/>
      </w:r>
      <w:r>
        <w:rPr>
          <w:i/>
          <w:spacing w:val="-10"/>
          <w:w w:val="99"/>
          <w:sz w:val="14"/>
        </w:rPr>
        <w:t>it</w:t>
      </w:r>
    </w:p>
    <w:p>
      <w:pPr>
        <w:spacing w:before="140"/>
        <w:ind w:left="33" w:right="0" w:firstLine="0"/>
        <w:jc w:val="left"/>
        <w:rPr>
          <w:sz w:val="25"/>
        </w:rPr>
      </w:pPr>
      <w:r>
        <w:rPr/>
        <w:br w:type="column"/>
      </w:r>
      <w:r>
        <w:rPr>
          <w:rFonts w:ascii="Symbol" w:hAnsi="Symbol"/>
          <w:spacing w:val="-2"/>
          <w:w w:val="95"/>
          <w:sz w:val="24"/>
        </w:rPr>
        <w:t></w:t>
      </w:r>
      <w:r>
        <w:rPr>
          <w:spacing w:val="-35"/>
          <w:w w:val="95"/>
          <w:sz w:val="24"/>
        </w:rPr>
        <w:t> </w:t>
      </w:r>
      <w:r>
        <w:rPr>
          <w:rFonts w:ascii="Symbol" w:hAnsi="Symbol"/>
          <w:spacing w:val="-2"/>
          <w:w w:val="95"/>
          <w:sz w:val="25"/>
        </w:rPr>
        <w:t></w:t>
      </w:r>
      <w:r>
        <w:rPr>
          <w:spacing w:val="-2"/>
          <w:w w:val="95"/>
          <w:sz w:val="25"/>
          <w:vertAlign w:val="subscript"/>
        </w:rPr>
        <w:t>3</w:t>
      </w:r>
    </w:p>
    <w:p>
      <w:pPr>
        <w:spacing w:before="141"/>
        <w:ind w:left="-15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w w:val="95"/>
          <w:position w:val="6"/>
          <w:sz w:val="24"/>
        </w:rPr>
        <w:t>d</w:t>
      </w:r>
      <w:r>
        <w:rPr>
          <w:i/>
          <w:w w:val="95"/>
          <w:sz w:val="14"/>
        </w:rPr>
        <w:t>it</w:t>
      </w:r>
      <w:r>
        <w:rPr>
          <w:i/>
          <w:spacing w:val="53"/>
          <w:sz w:val="14"/>
        </w:rPr>
        <w:t> </w:t>
      </w:r>
      <w:r>
        <w:rPr>
          <w:rFonts w:ascii="Symbol" w:hAnsi="Symbol"/>
          <w:w w:val="95"/>
          <w:position w:val="6"/>
          <w:sz w:val="24"/>
        </w:rPr>
        <w:t></w:t>
      </w:r>
      <w:r>
        <w:rPr>
          <w:spacing w:val="-19"/>
          <w:w w:val="95"/>
          <w:position w:val="6"/>
          <w:sz w:val="24"/>
        </w:rPr>
        <w:t> </w:t>
      </w:r>
      <w:r>
        <w:rPr>
          <w:rFonts w:ascii="Symbol" w:hAnsi="Symbol"/>
          <w:w w:val="95"/>
          <w:position w:val="6"/>
          <w:sz w:val="25"/>
        </w:rPr>
        <w:t></w:t>
      </w:r>
      <w:r>
        <w:rPr>
          <w:i/>
          <w:w w:val="95"/>
          <w:sz w:val="14"/>
        </w:rPr>
        <w:t>it</w:t>
      </w:r>
    </w:p>
    <w:p>
      <w:pPr>
        <w:tabs>
          <w:tab w:pos="829" w:val="left" w:leader="none"/>
        </w:tabs>
        <w:spacing w:before="140"/>
        <w:ind w:left="486" w:right="0" w:firstLine="0"/>
        <w:jc w:val="left"/>
        <w:rPr>
          <w:sz w:val="25"/>
        </w:rPr>
      </w:pPr>
      <w:r>
        <w:rPr/>
        <w:br w:type="column"/>
      </w:r>
      <w:r>
        <w:rPr>
          <w:i/>
          <w:sz w:val="24"/>
        </w:rPr>
        <w:t>if</w:t>
        <w:tab/>
      </w:r>
      <w:r>
        <w:rPr>
          <w:rFonts w:ascii="Symbol" w:hAnsi="Symbol"/>
          <w:spacing w:val="-8"/>
          <w:w w:val="90"/>
          <w:sz w:val="25"/>
        </w:rPr>
        <w:t></w:t>
      </w:r>
      <w:r>
        <w:rPr>
          <w:spacing w:val="-21"/>
          <w:w w:val="90"/>
          <w:sz w:val="25"/>
        </w:rPr>
        <w:t> </w:t>
      </w:r>
      <w:r>
        <w:rPr>
          <w:spacing w:val="-8"/>
          <w:w w:val="90"/>
          <w:sz w:val="25"/>
          <w:vertAlign w:val="subscript"/>
        </w:rPr>
        <w:t>2</w:t>
      </w:r>
    </w:p>
    <w:p>
      <w:pPr>
        <w:spacing w:before="150"/>
        <w:ind w:left="35" w:right="0" w:firstLine="0"/>
        <w:jc w:val="left"/>
        <w:rPr>
          <w:i/>
          <w:sz w:val="14"/>
        </w:rPr>
      </w:pPr>
      <w:r>
        <w:rPr/>
        <w:br w:type="column"/>
      </w:r>
      <w:r>
        <w:rPr>
          <w:rFonts w:ascii="Symbol" w:hAnsi="Symbol"/>
          <w:sz w:val="24"/>
        </w:rPr>
        <w:t></w:t>
      </w:r>
      <w:r>
        <w:rPr>
          <w:sz w:val="24"/>
        </w:rPr>
        <w:t> </w:t>
      </w:r>
      <w:r>
        <w:rPr>
          <w:i/>
          <w:sz w:val="24"/>
        </w:rPr>
        <w:t>d</w:t>
      </w:r>
      <w:r>
        <w:rPr>
          <w:i/>
          <w:position w:val="-5"/>
          <w:sz w:val="14"/>
        </w:rPr>
        <w:t>it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00" w:bottom="280" w:left="880" w:right="300"/>
          <w:cols w:num="5" w:equalWidth="0">
            <w:col w:w="2819" w:space="40"/>
            <w:col w:w="420" w:space="39"/>
            <w:col w:w="623" w:space="40"/>
            <w:col w:w="1034" w:space="40"/>
            <w:col w:w="5675"/>
          </w:cols>
        </w:sectPr>
      </w:pPr>
    </w:p>
    <w:p>
      <w:pPr>
        <w:spacing w:line="175" w:lineRule="exact" w:before="511"/>
        <w:ind w:left="0" w:right="0" w:firstLine="0"/>
        <w:jc w:val="right"/>
        <w:rPr>
          <w:i/>
          <w:sz w:val="24"/>
        </w:rPr>
      </w:pPr>
      <w:r>
        <w:rPr>
          <w:rFonts w:ascii="Symbol" w:hAnsi="Symbol"/>
          <w:w w:val="95"/>
          <w:position w:val="1"/>
          <w:sz w:val="24"/>
        </w:rPr>
        <w:t></w:t>
      </w:r>
      <w:r>
        <w:rPr>
          <w:rFonts w:ascii="Symbol" w:hAnsi="Symbol"/>
          <w:w w:val="95"/>
          <w:sz w:val="25"/>
        </w:rPr>
        <w:t></w:t>
      </w:r>
      <w:r>
        <w:rPr>
          <w:spacing w:val="22"/>
          <w:w w:val="95"/>
          <w:sz w:val="25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rFonts w:ascii="Symbol" w:hAnsi="Symbol"/>
          <w:w w:val="95"/>
          <w:sz w:val="25"/>
        </w:rPr>
        <w:t></w:t>
      </w:r>
      <w:r>
        <w:rPr>
          <w:spacing w:val="-10"/>
          <w:w w:val="95"/>
          <w:sz w:val="25"/>
        </w:rPr>
        <w:t> </w:t>
      </w:r>
      <w:r>
        <w:rPr>
          <w:w w:val="95"/>
          <w:sz w:val="25"/>
          <w:vertAlign w:val="superscript"/>
        </w:rPr>
        <w:t>'</w:t>
      </w:r>
      <w:r>
        <w:rPr>
          <w:i/>
          <w:w w:val="95"/>
          <w:sz w:val="24"/>
          <w:vertAlign w:val="baseline"/>
        </w:rPr>
        <w:t>h</w:t>
      </w:r>
    </w:p>
    <w:p>
      <w:pPr>
        <w:tabs>
          <w:tab w:pos="1668" w:val="left" w:leader="none"/>
          <w:tab w:pos="2026" w:val="left" w:leader="none"/>
        </w:tabs>
        <w:spacing w:line="175" w:lineRule="exact" w:before="511"/>
        <w:ind w:left="93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spacing w:val="10"/>
          <w:w w:val="95"/>
          <w:sz w:val="24"/>
        </w:rPr>
        <w:t></w:t>
      </w:r>
      <w:r>
        <w:rPr>
          <w:rFonts w:ascii="Symbol" w:hAnsi="Symbol"/>
          <w:spacing w:val="10"/>
          <w:w w:val="95"/>
          <w:sz w:val="25"/>
        </w:rPr>
        <w:t></w:t>
      </w:r>
      <w:r>
        <w:rPr>
          <w:spacing w:val="52"/>
          <w:w w:val="95"/>
          <w:sz w:val="25"/>
        </w:rPr>
        <w:t> </w:t>
      </w:r>
      <w:r>
        <w:rPr>
          <w:i/>
          <w:w w:val="95"/>
          <w:sz w:val="24"/>
        </w:rPr>
        <w:t>d</w:t>
      </w:r>
      <w:r>
        <w:rPr>
          <w:i/>
          <w:spacing w:val="105"/>
          <w:sz w:val="24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spacing w:val="-24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</w:t>
      </w:r>
      <w:r>
        <w:rPr>
          <w:w w:val="95"/>
          <w:sz w:val="25"/>
        </w:rPr>
        <w:tab/>
      </w:r>
      <w:r>
        <w:rPr>
          <w:i/>
          <w:sz w:val="24"/>
        </w:rPr>
        <w:t>if</w:t>
        <w:tab/>
      </w:r>
      <w:r>
        <w:rPr>
          <w:i/>
          <w:w w:val="95"/>
          <w:sz w:val="24"/>
        </w:rPr>
        <w:t>d</w:t>
      </w:r>
      <w:r>
        <w:rPr>
          <w:i/>
          <w:spacing w:val="120"/>
          <w:sz w:val="24"/>
        </w:rPr>
        <w:t> </w:t>
      </w:r>
      <w:r>
        <w:rPr>
          <w:rFonts w:ascii="Symbol" w:hAnsi="Symbol"/>
          <w:w w:val="95"/>
          <w:sz w:val="24"/>
        </w:rPr>
        <w:t></w:t>
      </w:r>
      <w:r>
        <w:rPr>
          <w:spacing w:val="-16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</w:t>
      </w:r>
    </w:p>
    <w:p>
      <w:pPr>
        <w:spacing w:after="0" w:line="175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500" w:bottom="280" w:left="880" w:right="300"/>
          <w:cols w:num="2" w:equalWidth="0">
            <w:col w:w="2761" w:space="40"/>
            <w:col w:w="7929"/>
          </w:cols>
        </w:sectPr>
      </w:pPr>
    </w:p>
    <w:p>
      <w:pPr>
        <w:tabs>
          <w:tab w:pos="2743" w:val="left" w:leader="none"/>
        </w:tabs>
        <w:spacing w:line="180" w:lineRule="exact" w:before="0"/>
        <w:ind w:left="1455" w:right="0" w:firstLine="0"/>
        <w:jc w:val="left"/>
        <w:rPr>
          <w:i/>
          <w:sz w:val="14"/>
        </w:rPr>
      </w:pPr>
      <w:r>
        <w:rPr>
          <w:i/>
          <w:position w:val="-9"/>
          <w:sz w:val="24"/>
        </w:rPr>
        <w:t>v</w:t>
      </w:r>
      <w:r>
        <w:rPr>
          <w:i/>
          <w:spacing w:val="98"/>
          <w:position w:val="-9"/>
          <w:sz w:val="24"/>
        </w:rPr>
        <w:t> </w:t>
      </w:r>
      <w:r>
        <w:rPr>
          <w:rFonts w:ascii="Symbol" w:hAnsi="Symbol"/>
          <w:position w:val="-9"/>
          <w:sz w:val="24"/>
        </w:rPr>
        <w:t></w:t>
      </w:r>
      <w:r>
        <w:rPr>
          <w:spacing w:val="-5"/>
          <w:position w:val="-9"/>
          <w:sz w:val="24"/>
        </w:rPr>
        <w:t> </w:t>
      </w:r>
      <w:r>
        <w:rPr>
          <w:rFonts w:ascii="Symbol" w:hAnsi="Symbol"/>
          <w:position w:val="-13"/>
          <w:sz w:val="24"/>
        </w:rPr>
        <w:t></w:t>
      </w:r>
      <w:r>
        <w:rPr>
          <w:spacing w:val="96"/>
          <w:position w:val="-13"/>
          <w:sz w:val="24"/>
        </w:rPr>
        <w:t> </w:t>
      </w:r>
      <w:r>
        <w:rPr>
          <w:i/>
          <w:sz w:val="14"/>
        </w:rPr>
        <w:t>i</w:t>
        <w:tab/>
      </w:r>
      <w:r>
        <w:rPr>
          <w:i/>
          <w:spacing w:val="-4"/>
          <w:sz w:val="14"/>
        </w:rPr>
        <w:t>it</w:t>
      </w:r>
    </w:p>
    <w:p>
      <w:pPr>
        <w:pStyle w:val="ListParagraph"/>
        <w:numPr>
          <w:ilvl w:val="0"/>
          <w:numId w:val="28"/>
        </w:numPr>
        <w:tabs>
          <w:tab w:pos="572" w:val="left" w:leader="none"/>
          <w:tab w:pos="1004" w:val="left" w:leader="none"/>
          <w:tab w:pos="2093" w:val="left" w:leader="none"/>
        </w:tabs>
        <w:spacing w:line="240" w:lineRule="auto" w:before="7" w:after="0"/>
        <w:ind w:left="571" w:right="0" w:hanging="233"/>
        <w:jc w:val="left"/>
        <w:rPr>
          <w:i/>
          <w:sz w:val="14"/>
        </w:rPr>
      </w:pPr>
      <w:r>
        <w:rPr>
          <w:i/>
          <w:w w:val="99"/>
          <w:sz w:val="14"/>
        </w:rPr>
        <w:br w:type="column"/>
      </w:r>
      <w:r>
        <w:rPr>
          <w:i/>
          <w:sz w:val="14"/>
        </w:rPr>
        <w:t>it</w:t>
        <w:tab/>
        <w:t>it</w:t>
        <w:tab/>
      </w:r>
      <w:r>
        <w:rPr>
          <w:i/>
          <w:spacing w:val="-3"/>
          <w:sz w:val="14"/>
        </w:rPr>
        <w:t>it</w:t>
      </w:r>
    </w:p>
    <w:p>
      <w:pPr>
        <w:pStyle w:val="BodyText"/>
        <w:tabs>
          <w:tab w:pos="3841" w:val="left" w:leader="none"/>
        </w:tabs>
        <w:spacing w:line="161" w:lineRule="exact" w:before="18"/>
        <w:ind w:left="771"/>
        <w:jc w:val="left"/>
      </w:pPr>
      <w:r>
        <w:rPr/>
        <w:br w:type="column"/>
      </w:r>
      <w:r>
        <w:rPr/>
        <w:t>for</w:t>
      </w:r>
      <w:r>
        <w:rPr>
          <w:spacing w:val="-3"/>
        </w:rPr>
        <w:t> </w:t>
      </w:r>
      <w:r>
        <w:rPr/>
        <w:t>single</w:t>
      </w:r>
      <w:r>
        <w:rPr>
          <w:spacing w:val="-2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effect</w:t>
        <w:tab/>
        <w:t>(vii)</w:t>
      </w:r>
    </w:p>
    <w:p>
      <w:pPr>
        <w:spacing w:after="0" w:line="161" w:lineRule="exact"/>
        <w:jc w:val="left"/>
        <w:sectPr>
          <w:type w:val="continuous"/>
          <w:pgSz w:w="11910" w:h="16840"/>
          <w:pgMar w:top="1500" w:bottom="280" w:left="880" w:right="300"/>
          <w:cols w:num="3" w:equalWidth="0">
            <w:col w:w="2821" w:space="40"/>
            <w:col w:w="2172" w:space="39"/>
            <w:col w:w="5658"/>
          </w:cols>
        </w:sectPr>
      </w:pPr>
    </w:p>
    <w:p>
      <w:pPr>
        <w:tabs>
          <w:tab w:pos="2037" w:val="left" w:leader="none"/>
        </w:tabs>
        <w:spacing w:line="74" w:lineRule="exact" w:before="5"/>
        <w:ind w:left="1555" w:right="0" w:firstLine="0"/>
        <w:jc w:val="left"/>
        <w:rPr>
          <w:i/>
          <w:sz w:val="24"/>
        </w:rPr>
      </w:pPr>
      <w:r>
        <w:rPr>
          <w:i/>
          <w:sz w:val="25"/>
          <w:vertAlign w:val="superscript"/>
        </w:rPr>
        <w:t>it</w:t>
      </w:r>
      <w:r>
        <w:rPr>
          <w:i/>
          <w:sz w:val="25"/>
          <w:vertAlign w:val="baseline"/>
        </w:rPr>
        <w:tab/>
      </w:r>
      <w:r>
        <w:rPr>
          <w:rFonts w:ascii="Symbol" w:hAnsi="Symbol"/>
          <w:w w:val="95"/>
          <w:sz w:val="25"/>
          <w:vertAlign w:val="baseline"/>
        </w:rPr>
        <w:t></w:t>
      </w:r>
      <w:r>
        <w:rPr>
          <w:spacing w:val="65"/>
          <w:sz w:val="25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Symbol" w:hAnsi="Symbol"/>
          <w:w w:val="95"/>
          <w:sz w:val="25"/>
          <w:vertAlign w:val="baseline"/>
        </w:rPr>
        <w:t></w:t>
      </w:r>
      <w:r>
        <w:rPr>
          <w:spacing w:val="-16"/>
          <w:w w:val="95"/>
          <w:sz w:val="25"/>
          <w:vertAlign w:val="baseline"/>
        </w:rPr>
        <w:t> </w:t>
      </w:r>
      <w:r>
        <w:rPr>
          <w:w w:val="95"/>
          <w:sz w:val="25"/>
          <w:vertAlign w:val="superscript"/>
        </w:rPr>
        <w:t>'</w:t>
      </w:r>
      <w:r>
        <w:rPr>
          <w:i/>
          <w:w w:val="95"/>
          <w:sz w:val="24"/>
          <w:vertAlign w:val="baseline"/>
        </w:rPr>
        <w:t>h</w:t>
      </w:r>
    </w:p>
    <w:p>
      <w:pPr>
        <w:tabs>
          <w:tab w:pos="1668" w:val="left" w:leader="none"/>
          <w:tab w:pos="2026" w:val="left" w:leader="none"/>
        </w:tabs>
        <w:spacing w:line="74" w:lineRule="exact" w:before="5"/>
        <w:ind w:left="93" w:right="0" w:firstLine="0"/>
        <w:jc w:val="left"/>
        <w:rPr>
          <w:rFonts w:ascii="Symbol" w:hAnsi="Symbol"/>
          <w:sz w:val="25"/>
        </w:rPr>
      </w:pPr>
      <w:r>
        <w:rPr/>
        <w:br w:type="column"/>
      </w:r>
      <w:r>
        <w:rPr>
          <w:rFonts w:ascii="Symbol" w:hAnsi="Symbol"/>
          <w:w w:val="95"/>
          <w:sz w:val="24"/>
        </w:rPr>
        <w:t></w:t>
      </w:r>
      <w:r>
        <w:rPr>
          <w:spacing w:val="-36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</w:t>
      </w:r>
      <w:r>
        <w:rPr>
          <w:spacing w:val="52"/>
          <w:w w:val="95"/>
          <w:sz w:val="25"/>
        </w:rPr>
        <w:t> </w:t>
      </w:r>
      <w:r>
        <w:rPr>
          <w:i/>
          <w:w w:val="95"/>
          <w:sz w:val="24"/>
        </w:rPr>
        <w:t>d</w:t>
      </w:r>
      <w:r>
        <w:rPr>
          <w:i/>
          <w:spacing w:val="105"/>
          <w:sz w:val="24"/>
        </w:rPr>
        <w:t> </w:t>
      </w:r>
      <w:r>
        <w:rPr>
          <w:rFonts w:ascii="Symbol" w:hAnsi="Symbol"/>
          <w:w w:val="95"/>
          <w:sz w:val="24"/>
        </w:rPr>
        <w:t></w:t>
      </w:r>
      <w:r>
        <w:rPr>
          <w:spacing w:val="-24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</w:t>
      </w:r>
      <w:r>
        <w:rPr>
          <w:w w:val="95"/>
          <w:sz w:val="25"/>
        </w:rPr>
        <w:tab/>
      </w:r>
      <w:r>
        <w:rPr>
          <w:i/>
          <w:sz w:val="24"/>
        </w:rPr>
        <w:t>if</w:t>
        <w:tab/>
      </w:r>
      <w:r>
        <w:rPr>
          <w:i/>
          <w:w w:val="95"/>
          <w:sz w:val="24"/>
        </w:rPr>
        <w:t>d</w:t>
      </w:r>
      <w:r>
        <w:rPr>
          <w:i/>
          <w:spacing w:val="124"/>
          <w:sz w:val="24"/>
        </w:rPr>
        <w:t> </w:t>
      </w:r>
      <w:r>
        <w:rPr>
          <w:rFonts w:ascii="Symbol" w:hAnsi="Symbol"/>
          <w:w w:val="95"/>
          <w:sz w:val="24"/>
        </w:rPr>
        <w:t></w:t>
      </w:r>
      <w:r>
        <w:rPr>
          <w:spacing w:val="-15"/>
          <w:w w:val="95"/>
          <w:sz w:val="24"/>
        </w:rPr>
        <w:t> </w:t>
      </w:r>
      <w:r>
        <w:rPr>
          <w:rFonts w:ascii="Symbol" w:hAnsi="Symbol"/>
          <w:w w:val="95"/>
          <w:sz w:val="25"/>
        </w:rPr>
        <w:t></w:t>
      </w:r>
    </w:p>
    <w:p>
      <w:pPr>
        <w:spacing w:after="0" w:line="74" w:lineRule="exact"/>
        <w:jc w:val="left"/>
        <w:rPr>
          <w:rFonts w:ascii="Symbol" w:hAnsi="Symbol"/>
          <w:sz w:val="25"/>
        </w:rPr>
        <w:sectPr>
          <w:type w:val="continuous"/>
          <w:pgSz w:w="11910" w:h="16840"/>
          <w:pgMar w:top="1500" w:bottom="280" w:left="880" w:right="300"/>
          <w:cols w:num="2" w:equalWidth="0">
            <w:col w:w="2759" w:space="40"/>
            <w:col w:w="7931"/>
          </w:cols>
        </w:sectPr>
      </w:pPr>
    </w:p>
    <w:p>
      <w:pPr>
        <w:tabs>
          <w:tab w:pos="832" w:val="left" w:leader="none"/>
        </w:tabs>
        <w:spacing w:before="0"/>
        <w:ind w:left="0" w:right="0" w:firstLine="0"/>
        <w:jc w:val="right"/>
        <w:rPr>
          <w:i/>
          <w:sz w:val="14"/>
        </w:rPr>
      </w:pPr>
      <w:r>
        <w:rPr>
          <w:rFonts w:ascii="Symbol" w:hAnsi="Symbol"/>
          <w:sz w:val="24"/>
        </w:rPr>
        <w:t></w:t>
      </w:r>
      <w:r>
        <w:rPr>
          <w:spacing w:val="93"/>
          <w:sz w:val="24"/>
        </w:rPr>
        <w:t> </w:t>
      </w:r>
      <w:r>
        <w:rPr>
          <w:i/>
          <w:sz w:val="14"/>
        </w:rPr>
        <w:t>i</w:t>
        <w:tab/>
        <w:t>it</w:t>
      </w:r>
    </w:p>
    <w:p>
      <w:pPr>
        <w:pStyle w:val="ListParagraph"/>
        <w:numPr>
          <w:ilvl w:val="0"/>
          <w:numId w:val="28"/>
        </w:numPr>
        <w:tabs>
          <w:tab w:pos="572" w:val="left" w:leader="none"/>
          <w:tab w:pos="1004" w:val="left" w:leader="none"/>
          <w:tab w:pos="2093" w:val="left" w:leader="none"/>
        </w:tabs>
        <w:spacing w:line="240" w:lineRule="auto" w:before="108" w:after="0"/>
        <w:ind w:left="571" w:right="0" w:hanging="218"/>
        <w:jc w:val="left"/>
        <w:rPr>
          <w:i/>
          <w:sz w:val="14"/>
        </w:rPr>
      </w:pPr>
      <w:r>
        <w:rPr>
          <w:i/>
          <w:w w:val="99"/>
          <w:sz w:val="14"/>
        </w:rPr>
        <w:br w:type="column"/>
      </w:r>
      <w:r>
        <w:rPr>
          <w:i/>
          <w:sz w:val="14"/>
        </w:rPr>
        <w:t>it</w:t>
        <w:tab/>
        <w:t>it</w:t>
        <w:tab/>
        <w:t>it</w:t>
      </w:r>
    </w:p>
    <w:p>
      <w:pPr>
        <w:spacing w:after="0" w:line="240" w:lineRule="auto"/>
        <w:jc w:val="left"/>
        <w:rPr>
          <w:sz w:val="14"/>
        </w:rPr>
        <w:sectPr>
          <w:type w:val="continuous"/>
          <w:pgSz w:w="11910" w:h="16840"/>
          <w:pgMar w:top="1500" w:bottom="280" w:left="880" w:right="300"/>
          <w:cols w:num="2" w:equalWidth="0">
            <w:col w:w="2819" w:space="40"/>
            <w:col w:w="7871"/>
          </w:cols>
        </w:sectPr>
      </w:pPr>
    </w:p>
    <w:p>
      <w:pPr>
        <w:pStyle w:val="BodyText"/>
        <w:spacing w:before="500"/>
        <w:jc w:val="left"/>
      </w:pPr>
      <w:r>
        <w:rPr/>
        <w:t>The</w:t>
      </w:r>
      <w:r>
        <w:rPr>
          <w:spacing w:val="65"/>
        </w:rPr>
        <w:t> </w:t>
      </w:r>
      <w:r>
        <w:rPr/>
        <w:t>dependent</w:t>
      </w:r>
      <w:r>
        <w:rPr>
          <w:spacing w:val="68"/>
        </w:rPr>
        <w:t> </w:t>
      </w:r>
      <w:r>
        <w:rPr/>
        <w:t>variable</w:t>
      </w:r>
    </w:p>
    <w:p>
      <w:pPr>
        <w:spacing w:before="504"/>
        <w:ind w:left="132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position w:val="6"/>
          <w:sz w:val="24"/>
        </w:rPr>
        <w:t>v</w:t>
      </w:r>
      <w:r>
        <w:rPr>
          <w:i/>
          <w:sz w:val="14"/>
        </w:rPr>
        <w:t>it</w:t>
      </w:r>
    </w:p>
    <w:p>
      <w:pPr>
        <w:pStyle w:val="BodyText"/>
        <w:spacing w:before="500"/>
        <w:ind w:left="149"/>
        <w:jc w:val="left"/>
      </w:pPr>
      <w:r>
        <w:rPr/>
        <w:br w:type="column"/>
      </w:r>
      <w:r>
        <w:rPr/>
        <w:t>represents</w:t>
      </w:r>
      <w:r>
        <w:rPr>
          <w:spacing w:val="73"/>
        </w:rPr>
        <w:t> </w:t>
      </w:r>
      <w:r>
        <w:rPr/>
        <w:t>tax</w:t>
      </w:r>
      <w:r>
        <w:rPr>
          <w:spacing w:val="73"/>
        </w:rPr>
        <w:t> </w:t>
      </w:r>
      <w:r>
        <w:rPr/>
        <w:t>aggressiveness,</w:t>
      </w:r>
      <w:r>
        <w:rPr>
          <w:spacing w:val="73"/>
        </w:rPr>
        <w:t> </w:t>
      </w:r>
      <w:r>
        <w:rPr/>
        <w:t>the</w:t>
      </w:r>
      <w:r>
        <w:rPr>
          <w:spacing w:val="71"/>
        </w:rPr>
        <w:t> </w:t>
      </w:r>
      <w:r>
        <w:rPr/>
        <w:t>independent</w:t>
      </w:r>
      <w:r>
        <w:rPr>
          <w:spacing w:val="74"/>
        </w:rPr>
        <w:t> </w:t>
      </w:r>
      <w:r>
        <w:rPr/>
        <w:t>variable</w:t>
      </w:r>
    </w:p>
    <w:p>
      <w:pPr>
        <w:spacing w:before="503"/>
        <w:ind w:left="133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position w:val="6"/>
          <w:sz w:val="24"/>
        </w:rPr>
        <w:t>d</w:t>
      </w:r>
      <w:r>
        <w:rPr>
          <w:i/>
          <w:sz w:val="14"/>
        </w:rPr>
        <w:t>it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1500" w:bottom="280" w:left="880" w:right="300"/>
          <w:cols w:num="4" w:equalWidth="0">
            <w:col w:w="3227" w:space="40"/>
            <w:col w:w="327" w:space="39"/>
            <w:col w:w="5825" w:space="39"/>
            <w:col w:w="1233"/>
          </w:cols>
        </w:sectPr>
      </w:pPr>
    </w:p>
    <w:p>
      <w:pPr>
        <w:pStyle w:val="BodyText"/>
        <w:spacing w:before="300"/>
        <w:jc w:val="left"/>
      </w:pPr>
      <w:r>
        <w:rPr/>
        <w:t>represents</w:t>
      </w:r>
      <w:r>
        <w:rPr>
          <w:spacing w:val="-9"/>
        </w:rPr>
        <w:t> </w:t>
      </w:r>
      <w:r>
        <w:rPr/>
        <w:t>Board</w:t>
      </w:r>
      <w:r>
        <w:rPr>
          <w:spacing w:val="-9"/>
        </w:rPr>
        <w:t> </w:t>
      </w:r>
      <w:r>
        <w:rPr/>
        <w:t>independence,</w:t>
      </w:r>
      <w:r>
        <w:rPr>
          <w:spacing w:val="-7"/>
        </w:rPr>
        <w:t> </w:t>
      </w:r>
      <w:r>
        <w:rPr/>
        <w:t>board</w:t>
      </w:r>
      <w:r>
        <w:rPr>
          <w:spacing w:val="-9"/>
        </w:rPr>
        <w:t> </w:t>
      </w:r>
      <w:r>
        <w:rPr/>
        <w:t>size,</w:t>
      </w:r>
      <w:r>
        <w:rPr>
          <w:spacing w:val="-9"/>
        </w:rPr>
        <w:t> </w:t>
      </w:r>
      <w:r>
        <w:rPr/>
        <w:t>board</w:t>
      </w:r>
      <w:r>
        <w:rPr>
          <w:spacing w:val="-7"/>
        </w:rPr>
        <w:t> </w:t>
      </w:r>
      <w:r>
        <w:rPr/>
        <w:t>gender</w:t>
      </w:r>
      <w:r>
        <w:rPr>
          <w:spacing w:val="-9"/>
        </w:rPr>
        <w:t> </w:t>
      </w:r>
      <w:r>
        <w:rPr/>
        <w:t>diversity,</w:t>
      </w:r>
      <w:r>
        <w:rPr>
          <w:spacing w:val="-8"/>
        </w:rPr>
        <w:t> </w:t>
      </w:r>
      <w:r>
        <w:rPr/>
        <w:t>board</w:t>
      </w:r>
      <w:r>
        <w:rPr>
          <w:spacing w:val="-10"/>
        </w:rPr>
        <w:t> </w:t>
      </w:r>
      <w:r>
        <w:rPr/>
        <w:t>ownership,</w:t>
      </w:r>
      <w:r>
        <w:rPr>
          <w:spacing w:val="-9"/>
        </w:rPr>
        <w:t> </w:t>
      </w:r>
      <w:r>
        <w:rPr/>
        <w:t>CEO</w:t>
      </w:r>
      <w:r>
        <w:rPr>
          <w:spacing w:val="-9"/>
        </w:rPr>
        <w:t> </w:t>
      </w:r>
      <w:r>
        <w:rPr/>
        <w:t>age,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</w:sectPr>
      </w:pPr>
    </w:p>
    <w:p>
      <w:pPr>
        <w:pStyle w:val="BodyText"/>
        <w:spacing w:before="293"/>
        <w:jc w:val="left"/>
      </w:pPr>
      <w:r>
        <w:rPr/>
        <w:t>CEO</w:t>
      </w:r>
      <w:r>
        <w:rPr>
          <w:spacing w:val="37"/>
        </w:rPr>
        <w:t> </w:t>
      </w:r>
      <w:r>
        <w:rPr/>
        <w:t>tenure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CEO</w:t>
      </w:r>
      <w:r>
        <w:rPr>
          <w:spacing w:val="38"/>
        </w:rPr>
        <w:t> </w:t>
      </w:r>
      <w:r>
        <w:rPr/>
        <w:t>ownership</w:t>
      </w:r>
      <w:r>
        <w:rPr>
          <w:spacing w:val="41"/>
        </w:rPr>
        <w:t> </w:t>
      </w:r>
      <w:r>
        <w:rPr/>
        <w:t>which</w:t>
      </w:r>
      <w:r>
        <w:rPr>
          <w:spacing w:val="39"/>
        </w:rPr>
        <w:t> </w:t>
      </w:r>
      <w:r>
        <w:rPr/>
        <w:t>are</w:t>
      </w:r>
      <w:r>
        <w:rPr>
          <w:spacing w:val="39"/>
        </w:rPr>
        <w:t> </w:t>
      </w:r>
      <w:r>
        <w:rPr/>
        <w:t>indeed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threshold</w:t>
      </w:r>
      <w:r>
        <w:rPr>
          <w:spacing w:val="39"/>
        </w:rPr>
        <w:t> </w:t>
      </w:r>
      <w:r>
        <w:rPr/>
        <w:t>variable.</w:t>
      </w:r>
    </w:p>
    <w:p>
      <w:pPr>
        <w:spacing w:before="297"/>
        <w:ind w:left="97" w:right="0" w:firstLine="0"/>
        <w:jc w:val="left"/>
        <w:rPr>
          <w:i/>
          <w:sz w:val="14"/>
        </w:rPr>
      </w:pPr>
      <w:r>
        <w:rPr/>
        <w:br w:type="column"/>
      </w:r>
      <w:r>
        <w:rPr>
          <w:i/>
          <w:position w:val="6"/>
          <w:sz w:val="24"/>
        </w:rPr>
        <w:t>h</w:t>
      </w:r>
      <w:r>
        <w:rPr>
          <w:i/>
          <w:sz w:val="14"/>
        </w:rPr>
        <w:t>it</w:t>
      </w:r>
    </w:p>
    <w:p>
      <w:pPr>
        <w:pStyle w:val="BodyText"/>
        <w:spacing w:before="293"/>
        <w:ind w:left="106"/>
        <w:jc w:val="left"/>
      </w:pPr>
      <w:r>
        <w:rPr/>
        <w:br w:type="column"/>
      </w:r>
      <w:r>
        <w:rPr/>
        <w:t>is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control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  <w:cols w:num="3" w:equalWidth="0">
            <w:col w:w="8268" w:space="40"/>
            <w:col w:w="296" w:space="39"/>
            <w:col w:w="2087"/>
          </w:cols>
        </w:sectPr>
      </w:pPr>
    </w:p>
    <w:p>
      <w:pPr>
        <w:pStyle w:val="BodyText"/>
        <w:spacing w:before="294"/>
        <w:jc w:val="left"/>
      </w:pPr>
      <w:r>
        <w:rPr>
          <w:spacing w:val="-1"/>
        </w:rPr>
        <w:t>variable</w:t>
      </w:r>
      <w:r>
        <w:rPr>
          <w:spacing w:val="1"/>
        </w:rPr>
        <w:t> </w:t>
      </w:r>
      <w:r>
        <w:rPr>
          <w:spacing w:val="-1"/>
        </w:rPr>
        <w:t>vector.</w:t>
      </w:r>
      <w:r>
        <w:rPr>
          <w:spacing w:val="10"/>
        </w:rPr>
        <w:t> </w:t>
      </w:r>
      <w:r>
        <w:rPr/>
        <w:t>Besides,</w:t>
      </w:r>
      <w:r>
        <w:rPr>
          <w:spacing w:val="-17"/>
        </w:rPr>
        <w:t> </w:t>
      </w:r>
      <w:r>
        <w:rPr>
          <w:rFonts w:ascii="Symbol" w:hAnsi="Symbol"/>
          <w:sz w:val="25"/>
        </w:rPr>
        <w:t></w:t>
      </w:r>
      <w:r>
        <w:rPr>
          <w:i/>
          <w:sz w:val="25"/>
          <w:vertAlign w:val="subscript"/>
        </w:rPr>
        <w:t>i</w:t>
      </w:r>
      <w:r>
        <w:rPr>
          <w:i/>
          <w:spacing w:val="-14"/>
          <w:sz w:val="25"/>
          <w:vertAlign w:val="baseline"/>
        </w:rPr>
        <w:t> </w:t>
      </w:r>
      <w:r>
        <w:rPr>
          <w:vertAlign w:val="baseline"/>
        </w:rPr>
        <w:t>,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fixed</w:t>
      </w:r>
      <w:r>
        <w:rPr>
          <w:spacing w:val="4"/>
          <w:vertAlign w:val="baseline"/>
        </w:rPr>
        <w:t> </w:t>
      </w:r>
      <w:r>
        <w:rPr>
          <w:vertAlign w:val="baseline"/>
        </w:rPr>
        <w:t>effect,</w:t>
      </w:r>
      <w:r>
        <w:rPr>
          <w:spacing w:val="2"/>
          <w:vertAlign w:val="baseline"/>
        </w:rPr>
        <w:t> </w:t>
      </w:r>
      <w:r>
        <w:rPr>
          <w:vertAlign w:val="baseline"/>
        </w:rPr>
        <w:t>represents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heterogeneity</w:t>
      </w:r>
      <w:r>
        <w:rPr>
          <w:spacing w:val="2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companies</w:t>
      </w:r>
      <w:r>
        <w:rPr>
          <w:spacing w:val="2"/>
          <w:vertAlign w:val="baseline"/>
        </w:rPr>
        <w:t> </w:t>
      </w:r>
      <w:r>
        <w:rPr>
          <w:vertAlign w:val="baseline"/>
        </w:rPr>
        <w:t>under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</w:sectPr>
      </w:pPr>
    </w:p>
    <w:p>
      <w:pPr>
        <w:pStyle w:val="BodyText"/>
        <w:spacing w:before="354"/>
        <w:jc w:val="left"/>
      </w:pPr>
      <w:r>
        <w:rPr/>
        <w:t>different</w:t>
      </w:r>
      <w:r>
        <w:rPr>
          <w:spacing w:val="30"/>
        </w:rPr>
        <w:t> </w:t>
      </w:r>
      <w:r>
        <w:rPr/>
        <w:t>operating</w:t>
      </w:r>
      <w:r>
        <w:rPr>
          <w:spacing w:val="29"/>
        </w:rPr>
        <w:t> </w:t>
      </w:r>
      <w:r>
        <w:rPr/>
        <w:t>conditions.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errors</w:t>
      </w:r>
    </w:p>
    <w:p>
      <w:pPr>
        <w:spacing w:before="331"/>
        <w:ind w:left="84" w:right="0" w:firstLine="0"/>
        <w:jc w:val="left"/>
        <w:rPr>
          <w:i/>
          <w:sz w:val="14"/>
        </w:rPr>
      </w:pPr>
      <w:r>
        <w:rPr/>
        <w:br w:type="column"/>
      </w:r>
      <w:r>
        <w:rPr>
          <w:rFonts w:ascii="Symbol" w:hAnsi="Symbol"/>
          <w:spacing w:val="-3"/>
          <w:w w:val="95"/>
          <w:position w:val="6"/>
          <w:sz w:val="25"/>
        </w:rPr>
        <w:t></w:t>
      </w:r>
      <w:r>
        <w:rPr>
          <w:spacing w:val="-35"/>
          <w:w w:val="95"/>
          <w:position w:val="6"/>
          <w:sz w:val="25"/>
        </w:rPr>
        <w:t> </w:t>
      </w:r>
      <w:r>
        <w:rPr>
          <w:i/>
          <w:spacing w:val="-3"/>
          <w:w w:val="95"/>
          <w:sz w:val="14"/>
        </w:rPr>
        <w:t>it</w:t>
      </w:r>
    </w:p>
    <w:p>
      <w:pPr>
        <w:pStyle w:val="BodyText"/>
        <w:spacing w:before="354"/>
        <w:ind w:left="94"/>
        <w:jc w:val="left"/>
      </w:pPr>
      <w:r>
        <w:rPr/>
        <w:br w:type="column"/>
      </w:r>
      <w:r>
        <w:rPr/>
        <w:t>is</w:t>
      </w:r>
      <w:r>
        <w:rPr>
          <w:spacing w:val="34"/>
        </w:rPr>
        <w:t> </w:t>
      </w:r>
      <w:r>
        <w:rPr/>
        <w:t>assumed</w:t>
      </w:r>
      <w:r>
        <w:rPr>
          <w:spacing w:val="32"/>
        </w:rPr>
        <w:t> </w:t>
      </w:r>
      <w:r>
        <w:rPr/>
        <w:t>to</w:t>
      </w:r>
      <w:r>
        <w:rPr>
          <w:spacing w:val="33"/>
        </w:rPr>
        <w:t> </w:t>
      </w:r>
      <w:r>
        <w:rPr/>
        <w:t>be</w:t>
      </w:r>
      <w:r>
        <w:rPr>
          <w:spacing w:val="35"/>
        </w:rPr>
        <w:t> </w:t>
      </w:r>
      <w:r>
        <w:rPr/>
        <w:t>independent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identically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  <w:cols w:num="3" w:equalWidth="0">
            <w:col w:w="4921" w:space="40"/>
            <w:col w:w="298" w:space="39"/>
            <w:col w:w="5432"/>
          </w:cols>
        </w:sectPr>
      </w:pPr>
    </w:p>
    <w:p>
      <w:pPr>
        <w:pStyle w:val="BodyText"/>
        <w:spacing w:before="313"/>
        <w:jc w:val="left"/>
      </w:pPr>
      <w:r>
        <w:rPr/>
        <w:pict>
          <v:shape style="position:absolute;margin-left:340.54187pt;margin-top:25.092716pt;width:3.9pt;height:7.75pt;mso-position-horizontal-relative:page;mso-position-vertical-relative:paragraph;z-index:-4926976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i/>
                      <w:sz w:val="14"/>
                    </w:rPr>
                  </w:pPr>
                  <w:r>
                    <w:rPr>
                      <w:i/>
                      <w:spacing w:val="-1"/>
                      <w:sz w:val="14"/>
                    </w:rPr>
                    <w:t>it</w:t>
                  </w:r>
                </w:p>
              </w:txbxContent>
            </v:textbox>
            <w10:wrap type="none"/>
          </v:shape>
        </w:pict>
      </w:r>
      <w:r>
        <w:rPr/>
        <w:t>distributed</w:t>
      </w:r>
      <w:r>
        <w:rPr>
          <w:spacing w:val="26"/>
        </w:rPr>
        <w:t> </w:t>
      </w:r>
      <w:r>
        <w:rPr/>
        <w:t>with</w:t>
      </w:r>
      <w:r>
        <w:rPr>
          <w:spacing w:val="26"/>
        </w:rPr>
        <w:t> </w:t>
      </w:r>
      <w:r>
        <w:rPr/>
        <w:t>mean</w:t>
      </w:r>
      <w:r>
        <w:rPr>
          <w:spacing w:val="26"/>
        </w:rPr>
        <w:t> </w:t>
      </w:r>
      <w:r>
        <w:rPr/>
        <w:t>zero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finite</w:t>
      </w:r>
      <w:r>
        <w:rPr>
          <w:spacing w:val="26"/>
        </w:rPr>
        <w:t> </w:t>
      </w:r>
      <w:r>
        <w:rPr/>
        <w:t>variance</w:t>
      </w:r>
      <w:r>
        <w:rPr>
          <w:spacing w:val="-39"/>
        </w:rPr>
        <w:t> </w:t>
      </w:r>
      <w:r>
        <w:rPr>
          <w:rFonts w:ascii="Symbol" w:hAnsi="Symbol"/>
          <w:sz w:val="25"/>
        </w:rPr>
        <w:t></w:t>
      </w:r>
      <w:r>
        <w:rPr>
          <w:spacing w:val="-10"/>
          <w:sz w:val="25"/>
        </w:rPr>
        <w:t> </w:t>
      </w:r>
      <w:r>
        <w:rPr>
          <w:sz w:val="25"/>
          <w:vertAlign w:val="superscript"/>
        </w:rPr>
        <w:t>2</w:t>
      </w:r>
      <w:r>
        <w:rPr>
          <w:spacing w:val="-31"/>
          <w:sz w:val="25"/>
          <w:vertAlign w:val="baseline"/>
        </w:rPr>
        <w:t> </w:t>
      </w:r>
      <w:r>
        <w:rPr>
          <w:vertAlign w:val="baseline"/>
        </w:rPr>
        <w:t>(</w:t>
      </w:r>
      <w:r>
        <w:rPr>
          <w:spacing w:val="-34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</w:t>
      </w:r>
      <w:r>
        <w:rPr>
          <w:spacing w:val="48"/>
          <w:sz w:val="25"/>
          <w:vertAlign w:val="baseline"/>
        </w:rPr>
        <w:t> </w:t>
      </w:r>
      <w:r>
        <w:rPr>
          <w:vertAlign w:val="baseline"/>
        </w:rPr>
        <w:t>~</w:t>
      </w:r>
      <w:r>
        <w:rPr>
          <w:spacing w:val="-12"/>
          <w:vertAlign w:val="baseline"/>
        </w:rPr>
        <w:t> </w:t>
      </w:r>
      <w:r>
        <w:rPr>
          <w:i/>
          <w:vertAlign w:val="baseline"/>
        </w:rPr>
        <w:t>iid</w:t>
      </w:r>
      <w:r>
        <w:rPr>
          <w:vertAlign w:val="baseline"/>
        </w:rPr>
        <w:t>(0,</w:t>
      </w:r>
      <w:r>
        <w:rPr>
          <w:spacing w:val="86"/>
          <w:vertAlign w:val="baseline"/>
        </w:rPr>
        <w:t> </w:t>
      </w:r>
      <w:r>
        <w:rPr>
          <w:rFonts w:ascii="Symbol" w:hAnsi="Symbol"/>
          <w:sz w:val="25"/>
          <w:vertAlign w:val="baseline"/>
        </w:rPr>
        <w:t></w:t>
      </w:r>
      <w:r>
        <w:rPr>
          <w:spacing w:val="-21"/>
          <w:sz w:val="25"/>
          <w:vertAlign w:val="baseline"/>
        </w:rPr>
        <w:t> </w:t>
      </w:r>
      <w:r>
        <w:rPr>
          <w:sz w:val="25"/>
          <w:vertAlign w:val="superscript"/>
        </w:rPr>
        <w:t>2</w:t>
      </w:r>
      <w:r>
        <w:rPr>
          <w:spacing w:val="-41"/>
          <w:sz w:val="25"/>
          <w:vertAlign w:val="baseline"/>
        </w:rPr>
        <w:t> </w:t>
      </w:r>
      <w:r>
        <w:rPr>
          <w:vertAlign w:val="baseline"/>
        </w:rPr>
        <w:t>)</w:t>
      </w:r>
      <w:r>
        <w:rPr>
          <w:spacing w:val="-9"/>
          <w:vertAlign w:val="baseline"/>
        </w:rPr>
        <w:t> </w:t>
      </w:r>
      <w:r>
        <w:rPr>
          <w:vertAlign w:val="baseline"/>
        </w:rPr>
        <w:t>).</w:t>
      </w:r>
      <w:r>
        <w:rPr>
          <w:spacing w:val="25"/>
          <w:vertAlign w:val="baseline"/>
        </w:rPr>
        <w:t> </w:t>
      </w:r>
      <w:r>
        <w:rPr>
          <w:vertAlign w:val="baseline"/>
        </w:rPr>
        <w:t>i</w:t>
      </w:r>
      <w:r>
        <w:rPr>
          <w:spacing w:val="26"/>
          <w:vertAlign w:val="baseline"/>
        </w:rPr>
        <w:t> </w:t>
      </w:r>
      <w:r>
        <w:rPr>
          <w:vertAlign w:val="baseline"/>
        </w:rPr>
        <w:t>and</w:t>
      </w:r>
      <w:r>
        <w:rPr>
          <w:spacing w:val="26"/>
          <w:vertAlign w:val="baseline"/>
        </w:rPr>
        <w:t> </w:t>
      </w:r>
      <w:r>
        <w:rPr>
          <w:vertAlign w:val="baseline"/>
        </w:rPr>
        <w:t>t</w:t>
      </w:r>
      <w:r>
        <w:rPr>
          <w:spacing w:val="26"/>
          <w:vertAlign w:val="baseline"/>
        </w:rPr>
        <w:t> </w:t>
      </w:r>
      <w:r>
        <w:rPr>
          <w:vertAlign w:val="baseline"/>
        </w:rPr>
        <w:t>are</w:t>
      </w:r>
      <w:r>
        <w:rPr>
          <w:spacing w:val="24"/>
          <w:vertAlign w:val="baseline"/>
        </w:rPr>
        <w:t> </w:t>
      </w:r>
      <w:r>
        <w:rPr>
          <w:vertAlign w:val="baseline"/>
        </w:rPr>
        <w:t>symbols</w:t>
      </w:r>
      <w:r>
        <w:rPr>
          <w:spacing w:val="27"/>
          <w:vertAlign w:val="baseline"/>
        </w:rPr>
        <w:t> </w:t>
      </w:r>
      <w:r>
        <w:rPr>
          <w:vertAlign w:val="baseline"/>
        </w:rPr>
        <w:t>for</w:t>
      </w:r>
    </w:p>
    <w:p>
      <w:pPr>
        <w:pStyle w:val="BodyText"/>
        <w:spacing w:before="339"/>
        <w:jc w:val="left"/>
      </w:pPr>
      <w:r>
        <w:rPr/>
        <w:t>firms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periods.</w:t>
      </w:r>
    </w:p>
    <w:p>
      <w:pPr>
        <w:spacing w:after="0"/>
        <w:jc w:val="left"/>
        <w:sectPr>
          <w:type w:val="continuous"/>
          <w:pgSz w:w="11910" w:h="16840"/>
          <w:pgMar w:top="1500" w:bottom="280" w:left="880" w:right="300"/>
        </w:sectPr>
      </w:pPr>
    </w:p>
    <w:p>
      <w:pPr>
        <w:spacing w:before="77"/>
        <w:ind w:left="822" w:right="0" w:firstLine="0"/>
        <w:jc w:val="left"/>
        <w:rPr>
          <w:sz w:val="24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26617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304.475006pt;margin-top:143.863083pt;width:199.1pt;height:210.15pt;mso-position-horizontal-relative:page;mso-position-vertical-relative:paragraph;z-index:-49265152" coordorigin="6090,2877" coordsize="3982,4203" path="m7391,6692l7385,6638,7371,6582,7351,6526,7324,6467,7292,6407,7253,6346,7234,6320,7234,6670,7233,6708,7227,6745,7213,6781,7193,6814,7166,6845,7135,6872,7102,6893,7068,6907,7033,6914,6996,6916,6958,6913,6919,6904,6878,6889,6837,6871,6795,6847,6752,6819,6708,6787,6663,6750,6617,6711,6571,6669,6524,6623,6482,6580,6443,6537,6406,6493,6371,6449,6340,6406,6314,6363,6291,6320,6273,6278,6259,6237,6250,6197,6245,6157,6246,6119,6252,6082,6265,6047,6285,6015,6312,5983,6343,5957,6375,5936,6409,5922,6445,5915,6482,5913,6521,5917,6560,5925,6600,5939,6641,5958,6684,5981,6727,6008,6771,6040,6815,6076,6860,6114,6905,6155,6951,6199,6993,6243,7032,6287,7069,6331,7104,6375,7136,6419,7163,6463,7186,6505,7205,6547,7220,6589,7229,6630,7234,6670,7234,6320,7208,6284,7157,6221,7100,6157,7038,6092,6974,6030,6911,5974,6849,5923,6835,5913,6789,5879,6730,5841,6673,5810,6618,5785,6564,5766,6512,5754,6461,5749,6413,5751,6365,5758,6320,5772,6277,5793,6235,5821,6196,5856,6160,5897,6131,5940,6110,5986,6096,6034,6090,6084,6090,6136,6096,6190,6109,6245,6129,6302,6155,6360,6187,6420,6226,6480,6270,6542,6320,6604,6375,6667,6436,6730,6502,6794,6566,6851,6628,6902,6689,6946,6748,6985,6806,7017,6861,7042,6915,7061,6967,7074,7017,7079,7066,7078,7114,7071,7160,7058,7204,7037,7245,7008,7285,6973,7321,6932,7331,6916,7350,6888,7371,6842,7384,6794,7391,6744,7391,6692xm8349,5760l8349,5732,8348,5721,8347,5713,8344,5703,8342,5697,8337,5685,8334,5680,8330,5674,8321,5662,8308,5648,8292,5631,8274,5615,8251,5593,8243,5588,8232,5581,8227,5579,8220,5579,8217,5580,8209,5588,8206,5601,8208,5621,8209,5636,8209,5653,8209,5671,8208,5691,8206,5712,8202,5734,8197,5756,8190,5779,8181,5803,8169,5825,8153,5847,8134,5868,8108,5890,8080,5908,8050,5920,8018,5928,7985,5932,7949,5931,7912,5925,7873,5914,7833,5899,7791,5879,7747,5854,7702,5824,7655,5790,7607,5751,7558,5707,7508,5659,7459,5608,7414,5558,7375,5509,7340,5461,7310,5415,7284,5370,7263,5326,7246,5285,7234,5244,7227,5206,7224,5170,7227,5135,7233,5103,7245,5074,7262,5047,7283,5022,7305,5003,7326,4987,7349,4974,7372,4965,7395,4959,7417,4954,7439,4951,7459,4949,7479,4949,7514,4949,7529,4950,7549,4952,7562,4951,7569,4943,7570,4939,7570,4934,7568,4925,7560,4911,7548,4895,7529,4874,7503,4847,7487,4834,7480,4829,7474,4824,7468,4820,7462,4817,7451,4811,7442,4809,7430,4806,7420,4804,7407,4804,7376,4804,7358,4805,7339,4808,7321,4812,7302,4816,7283,4822,7264,4829,7246,4837,7227,4846,7209,4857,7192,4869,7176,4882,7161,4897,7129,4932,7105,4971,7086,5013,7075,5059,7069,5107,7069,5158,7075,5210,7088,5265,7108,5323,7134,5382,7165,5442,7203,5504,7248,5568,7298,5633,7355,5699,7419,5765,7483,5827,7546,5882,7608,5931,7669,5973,7728,6010,7786,6040,7842,6064,7896,6082,7948,6094,7998,6100,8045,6099,8091,6092,8134,6080,8175,6061,8213,6036,8248,6005,8266,5985,8283,5965,8297,5944,8309,5922,8319,5900,8327,5878,8334,5857,8340,5835,8343,5815,8347,5796,8348,5778,8349,5760xm8952,5131l8945,5077,8932,5022,8911,4965,8885,4907,8852,4847,8813,4785,8794,4759,8794,5109,8794,5148,8787,5185,8774,5220,8754,5253,8727,5284,8695,5312,8663,5332,8629,5346,8593,5353,8556,5356,8518,5352,8479,5343,8439,5329,8398,5310,8356,5287,8312,5259,8268,5226,8223,5190,8177,5151,8131,5108,8084,5062,8043,5020,8004,4976,7967,4933,7932,4888,7901,4845,7874,4802,7852,4759,7833,4717,7819,4676,7810,4636,7806,4597,7807,4558,7813,4522,7826,4487,7846,4454,7873,4423,7903,4396,7936,4376,7970,4362,8006,4354,8043,4353,8081,4356,8120,4365,8161,4378,8202,4398,8244,4421,8287,4448,8331,4479,8376,4515,8421,4554,8466,4595,8511,4639,8553,4683,8593,4726,8630,4770,8665,4814,8697,4858,8724,4902,8747,4945,8766,4987,8781,5029,8790,5070,8794,5109,8794,4759,8768,4723,8717,4660,8661,4596,8599,4531,8534,4469,8471,4413,8410,4363,8396,4353,8350,4319,8291,4281,8234,4250,8178,4225,8124,4206,8072,4194,8022,4189,7973,4190,7926,4197,7880,4211,7837,4232,7796,4260,7757,4295,7721,4336,7692,4380,7671,4425,7657,4473,7650,4524,7650,4576,7656,4629,7670,4684,7690,4741,7716,4799,7748,4859,7786,4920,7831,4982,7881,5044,7936,5107,7997,5170,8062,5233,8126,5290,8188,5341,8249,5386,8308,5425,8366,5457,8422,5482,8476,5501,8527,5513,8578,5519,8627,5518,8674,5511,8720,5497,8764,5476,8806,5448,8846,5412,8882,5371,8892,5356,8910,5328,8931,5282,8945,5233,8952,5183,8952,5131xm9374,4839l9373,4834,9371,4829,9367,4824,8977,4434,9056,4355,9086,4323,9090,4317,9110,4289,9129,4255,9142,4219,9151,4184,9155,4148,9155,4109,9150,4071,9141,4032,9128,3993,9111,3953,9089,3912,9063,3871,9033,3831,9002,3794,9002,4103,9001,4126,8997,4148,8989,4170,8978,4192,8963,4213,8944,4234,8861,4317,8431,3888,8517,3802,8528,3791,8542,3780,8556,3769,8571,3759,8587,3751,8605,3745,8625,3741,8646,3739,8670,3740,8695,3744,8722,3753,8751,3765,8781,3781,8812,3802,8843,3828,8876,3858,8899,3883,8919,3907,8938,3932,8955,3957,8969,3982,8981,4007,8990,4032,8997,4056,9001,4080,9002,4103,9002,3794,8999,3790,8961,3750,8949,3739,8931,3721,8900,3695,8870,3671,8840,3650,8809,3632,8779,3617,8750,3604,8720,3594,8691,3586,8662,3581,8634,3578,8606,3578,8580,3581,8555,3586,8533,3592,8513,3600,8496,3610,8479,3619,8465,3628,8452,3636,8441,3646,8429,3656,8418,3666,8406,3677,8258,3826,8252,3834,8248,3843,8246,3853,8247,3865,8250,3878,8257,3892,8268,3907,8282,3924,9275,4916,9280,4920,9285,4922,9290,4923,9294,4924,9300,4922,9306,4920,9312,4917,9320,4913,9335,4902,9353,4883,9360,4875,9365,4868,9369,4861,9371,4855,9373,4849,9374,4844,9374,4839xm10071,4147l10070,4143,10067,4133,10063,4128,9664,3729,9590,3584,9368,3147,9256,2928,9250,2917,9239,2899,9235,2892,9228,2884,9222,2880,9208,2877,9200,2880,9191,2885,9185,2891,9169,2905,9150,2923,9133,2946,9129,2952,9128,2957,9127,2963,9127,2969,9129,2974,9131,2981,9134,2986,9138,2993,9174,3061,9351,3399,9401,3488,9468,3608,9486,3638,9485,3639,9242,3504,9175,3468,8838,3292,8831,3287,8825,3285,8819,3283,8814,3282,8802,3284,8796,3286,8789,3289,8782,3295,8765,3309,8742,3331,8734,3341,8722,3357,8719,3364,8722,3378,8726,3384,8741,3396,8750,3401,8771,3413,8917,3488,9354,3710,9572,3821,9971,4220,9976,4224,9981,4226,9985,4228,9990,4228,9996,4226,10002,4224,10016,4217,10030,4206,10048,4188,10060,4173,10067,4159,10069,4153,10071,4147xe" filled="true" fillcolor="#c0c0c0" stroked="false">
            <v:path arrowok="t"/>
            <v:fill opacity="32896f" type="solid"/>
            <w10:wrap type="none"/>
          </v:shape>
        </w:pict>
      </w:r>
      <w:bookmarkStart w:name="_bookmark70" w:id="118"/>
      <w:bookmarkEnd w:id="118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3.1:</w:t>
      </w:r>
      <w:r>
        <w:rPr>
          <w:b/>
          <w:spacing w:val="-2"/>
          <w:sz w:val="24"/>
        </w:rPr>
        <w:t> </w:t>
      </w:r>
      <w:r>
        <w:rPr>
          <w:sz w:val="24"/>
        </w:rPr>
        <w:t>Variable</w:t>
      </w:r>
      <w:r>
        <w:rPr>
          <w:spacing w:val="-1"/>
          <w:sz w:val="24"/>
        </w:rPr>
        <w:t> </w:t>
      </w:r>
      <w:r>
        <w:rPr>
          <w:sz w:val="24"/>
        </w:rPr>
        <w:t>Measurement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Source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0"/>
        <w:gridCol w:w="2165"/>
        <w:gridCol w:w="2801"/>
        <w:gridCol w:w="2136"/>
      </w:tblGrid>
      <w:tr>
        <w:trPr>
          <w:trHeight w:val="506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40" w:lineRule="auto" w:before="1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Variable</w:t>
            </w:r>
          </w:p>
        </w:tc>
        <w:tc>
          <w:tcPr>
            <w:tcW w:w="2165" w:type="dxa"/>
          </w:tcPr>
          <w:p>
            <w:pPr>
              <w:pStyle w:val="TableParagraph"/>
              <w:spacing w:line="240" w:lineRule="auto" w:before="1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Definition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Measurement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40" w:lineRule="auto" w:before="1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Source</w:t>
            </w:r>
          </w:p>
        </w:tc>
      </w:tr>
      <w:tr>
        <w:trPr>
          <w:trHeight w:val="1081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40" w:lineRule="auto" w:before="1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TAG</w:t>
            </w:r>
          </w:p>
        </w:tc>
        <w:tc>
          <w:tcPr>
            <w:tcW w:w="2165" w:type="dxa"/>
          </w:tcPr>
          <w:p>
            <w:pPr>
              <w:pStyle w:val="TableParagraph"/>
              <w:spacing w:line="240" w:lineRule="auto" w:before="1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Tax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Aggressiveness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 w:before="1"/>
              <w:ind w:left="108" w:right="510"/>
              <w:jc w:val="left"/>
              <w:rPr>
                <w:sz w:val="22"/>
              </w:rPr>
            </w:pPr>
            <w:r>
              <w:rPr>
                <w:sz w:val="22"/>
              </w:rPr>
              <w:t>Effective tax rate (tax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expense/pre-tax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income)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40" w:lineRule="auto" w:before="1"/>
              <w:ind w:left="108" w:right="219"/>
              <w:jc w:val="left"/>
              <w:rPr>
                <w:sz w:val="24"/>
              </w:rPr>
            </w:pPr>
            <w:r>
              <w:rPr>
                <w:sz w:val="22"/>
              </w:rPr>
              <w:t>Dyreng, Hanlon 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Maydew, (2008)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Onyali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Okafor</w:t>
            </w:r>
          </w:p>
          <w:p>
            <w:pPr>
              <w:pStyle w:val="TableParagraph"/>
              <w:spacing w:line="256" w:lineRule="exact" w:before="0"/>
              <w:ind w:left="108" w:right="0"/>
              <w:jc w:val="left"/>
              <w:rPr>
                <w:sz w:val="24"/>
              </w:rPr>
            </w:pPr>
            <w:r>
              <w:rPr>
                <w:sz w:val="24"/>
              </w:rPr>
              <w:t>(2018)</w:t>
            </w:r>
          </w:p>
        </w:tc>
      </w:tr>
      <w:tr>
        <w:trPr>
          <w:trHeight w:val="506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51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BDS</w:t>
            </w:r>
          </w:p>
        </w:tc>
        <w:tc>
          <w:tcPr>
            <w:tcW w:w="2165" w:type="dxa"/>
          </w:tcPr>
          <w:p>
            <w:pPr>
              <w:pStyle w:val="TableParagraph"/>
              <w:spacing w:line="251" w:lineRule="exact" w:before="0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Board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size</w:t>
            </w:r>
          </w:p>
        </w:tc>
        <w:tc>
          <w:tcPr>
            <w:tcW w:w="2801" w:type="dxa"/>
          </w:tcPr>
          <w:p>
            <w:pPr>
              <w:pStyle w:val="TableParagraph"/>
              <w:spacing w:line="254" w:lineRule="exact" w:before="0"/>
              <w:ind w:left="108" w:right="396"/>
              <w:jc w:val="left"/>
              <w:rPr>
                <w:sz w:val="22"/>
              </w:rPr>
            </w:pPr>
            <w:r>
              <w:rPr>
                <w:sz w:val="22"/>
              </w:rPr>
              <w:t>Number of individuals 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 board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54" w:lineRule="exact" w:before="0"/>
              <w:ind w:left="108" w:right="604"/>
              <w:jc w:val="left"/>
              <w:rPr>
                <w:sz w:val="22"/>
              </w:rPr>
            </w:pPr>
            <w:r>
              <w:rPr>
                <w:sz w:val="22"/>
              </w:rPr>
              <w:t>Ogbeide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Obaretin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(2018)</w:t>
            </w:r>
          </w:p>
        </w:tc>
      </w:tr>
      <w:tr>
        <w:trPr>
          <w:trHeight w:val="535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49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BDIND</w:t>
            </w:r>
          </w:p>
        </w:tc>
        <w:tc>
          <w:tcPr>
            <w:tcW w:w="2165" w:type="dxa"/>
          </w:tcPr>
          <w:p>
            <w:pPr>
              <w:pStyle w:val="TableParagraph"/>
              <w:spacing w:line="249" w:lineRule="exact" w:before="0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Board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independence</w:t>
            </w:r>
          </w:p>
        </w:tc>
        <w:tc>
          <w:tcPr>
            <w:tcW w:w="2801" w:type="dxa"/>
          </w:tcPr>
          <w:p>
            <w:pPr>
              <w:pStyle w:val="TableParagraph"/>
              <w:spacing w:line="242" w:lineRule="auto" w:before="0"/>
              <w:ind w:left="108" w:right="406"/>
              <w:jc w:val="left"/>
              <w:rPr>
                <w:sz w:val="22"/>
              </w:rPr>
            </w:pPr>
            <w:r>
              <w:rPr>
                <w:sz w:val="22"/>
              </w:rPr>
              <w:t>Ratio of non- executive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directors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total directors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42" w:lineRule="auto" w:before="0"/>
              <w:ind w:left="108" w:right="255"/>
              <w:jc w:val="left"/>
              <w:rPr>
                <w:sz w:val="22"/>
              </w:rPr>
            </w:pPr>
            <w:r>
              <w:rPr>
                <w:sz w:val="22"/>
              </w:rPr>
              <w:t>Odoemela, Ironkwe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Nwaiwu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(2016)</w:t>
            </w:r>
          </w:p>
        </w:tc>
      </w:tr>
      <w:tr>
        <w:trPr>
          <w:trHeight w:val="506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51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BDOWN</w:t>
            </w:r>
          </w:p>
        </w:tc>
        <w:tc>
          <w:tcPr>
            <w:tcW w:w="2165" w:type="dxa"/>
          </w:tcPr>
          <w:p>
            <w:pPr>
              <w:pStyle w:val="TableParagraph"/>
              <w:spacing w:line="251" w:lineRule="exact" w:before="0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Board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ownership</w:t>
            </w:r>
          </w:p>
        </w:tc>
        <w:tc>
          <w:tcPr>
            <w:tcW w:w="2801" w:type="dxa"/>
          </w:tcPr>
          <w:p>
            <w:pPr>
              <w:pStyle w:val="TableParagraph"/>
              <w:spacing w:line="254" w:lineRule="exact" w:before="0"/>
              <w:ind w:left="108" w:right="152"/>
              <w:jc w:val="left"/>
              <w:rPr>
                <w:sz w:val="22"/>
              </w:rPr>
            </w:pPr>
            <w:r>
              <w:rPr>
                <w:sz w:val="22"/>
              </w:rPr>
              <w:t>% shareholding of executive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directors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54" w:lineRule="exact" w:before="0"/>
              <w:ind w:left="108" w:right="255"/>
              <w:jc w:val="left"/>
              <w:rPr>
                <w:sz w:val="22"/>
              </w:rPr>
            </w:pPr>
            <w:r>
              <w:rPr>
                <w:sz w:val="22"/>
              </w:rPr>
              <w:t>Odoemela, Ironkwe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Nwaiwu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(2016)</w:t>
            </w:r>
          </w:p>
        </w:tc>
      </w:tr>
      <w:tr>
        <w:trPr>
          <w:trHeight w:val="504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49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BGD</w:t>
            </w:r>
          </w:p>
        </w:tc>
        <w:tc>
          <w:tcPr>
            <w:tcW w:w="2165" w:type="dxa"/>
          </w:tcPr>
          <w:p>
            <w:pPr>
              <w:pStyle w:val="TableParagraph"/>
              <w:spacing w:line="249" w:lineRule="exact" w:before="0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Board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gender</w:t>
            </w:r>
          </w:p>
          <w:p>
            <w:pPr>
              <w:pStyle w:val="TableParagraph"/>
              <w:spacing w:line="233" w:lineRule="exact" w:before="2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diversity</w:t>
            </w:r>
          </w:p>
        </w:tc>
        <w:tc>
          <w:tcPr>
            <w:tcW w:w="2801" w:type="dxa"/>
          </w:tcPr>
          <w:p>
            <w:pPr>
              <w:pStyle w:val="TableParagraph"/>
              <w:spacing w:line="249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Female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male board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49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Croson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Gneezy</w:t>
            </w:r>
          </w:p>
          <w:p>
            <w:pPr>
              <w:pStyle w:val="TableParagraph"/>
              <w:spacing w:line="233" w:lineRule="exact" w:before="2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(2009)</w:t>
            </w:r>
          </w:p>
        </w:tc>
      </w:tr>
      <w:tr>
        <w:trPr>
          <w:trHeight w:val="506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51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CEO-Age</w:t>
            </w:r>
          </w:p>
        </w:tc>
        <w:tc>
          <w:tcPr>
            <w:tcW w:w="2165" w:type="dxa"/>
          </w:tcPr>
          <w:p>
            <w:pPr>
              <w:pStyle w:val="TableParagraph"/>
              <w:spacing w:line="254" w:lineRule="exact" w:before="0"/>
              <w:ind w:left="105" w:right="643"/>
              <w:jc w:val="left"/>
              <w:rPr>
                <w:sz w:val="22"/>
              </w:rPr>
            </w:pPr>
            <w:r>
              <w:rPr>
                <w:sz w:val="22"/>
              </w:rPr>
              <w:t>Chief executive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officer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age</w:t>
            </w:r>
          </w:p>
        </w:tc>
        <w:tc>
          <w:tcPr>
            <w:tcW w:w="2801" w:type="dxa"/>
          </w:tcPr>
          <w:p>
            <w:pPr>
              <w:pStyle w:val="TableParagraph"/>
              <w:spacing w:line="251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Age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 CEO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54" w:lineRule="exact" w:before="0"/>
              <w:ind w:left="108" w:right="194"/>
              <w:jc w:val="left"/>
              <w:rPr>
                <w:sz w:val="22"/>
              </w:rPr>
            </w:pPr>
            <w:r>
              <w:rPr>
                <w:sz w:val="22"/>
              </w:rPr>
              <w:t>Bertrand and Schoar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(2003)</w:t>
            </w:r>
          </w:p>
        </w:tc>
      </w:tr>
      <w:tr>
        <w:trPr>
          <w:trHeight w:val="1010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49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CEOT</w:t>
            </w:r>
          </w:p>
        </w:tc>
        <w:tc>
          <w:tcPr>
            <w:tcW w:w="2165" w:type="dxa"/>
          </w:tcPr>
          <w:p>
            <w:pPr>
              <w:pStyle w:val="TableParagraph"/>
              <w:spacing w:line="242" w:lineRule="auto" w:before="0"/>
              <w:ind w:left="105" w:right="643"/>
              <w:jc w:val="left"/>
              <w:rPr>
                <w:sz w:val="22"/>
              </w:rPr>
            </w:pPr>
            <w:r>
              <w:rPr>
                <w:sz w:val="22"/>
              </w:rPr>
              <w:t>Chief executive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officer</w:t>
            </w:r>
            <w:r>
              <w:rPr>
                <w:spacing w:val="54"/>
                <w:sz w:val="22"/>
              </w:rPr>
              <w:t> </w:t>
            </w:r>
            <w:r>
              <w:rPr>
                <w:sz w:val="22"/>
              </w:rPr>
              <w:t>Tenure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 w:before="0"/>
              <w:ind w:left="108" w:right="129"/>
              <w:jc w:val="left"/>
              <w:rPr>
                <w:sz w:val="22"/>
              </w:rPr>
            </w:pPr>
            <w:r>
              <w:rPr>
                <w:sz w:val="22"/>
              </w:rPr>
              <w:t>Measured as a dummy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variable of 1 if the tenure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exceeds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4years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if</w:t>
            </w:r>
          </w:p>
          <w:p>
            <w:pPr>
              <w:pStyle w:val="TableParagraph"/>
              <w:spacing w:line="233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otherwise.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108" w:right="340"/>
              <w:jc w:val="left"/>
              <w:rPr>
                <w:sz w:val="22"/>
              </w:rPr>
            </w:pPr>
            <w:r>
              <w:rPr>
                <w:sz w:val="22"/>
              </w:rPr>
              <w:t>Graham, Hanlon,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Shevlin and Shroff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(2014)</w:t>
            </w:r>
          </w:p>
        </w:tc>
      </w:tr>
      <w:tr>
        <w:trPr>
          <w:trHeight w:val="556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51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CEO-OWN</w:t>
            </w:r>
          </w:p>
        </w:tc>
        <w:tc>
          <w:tcPr>
            <w:tcW w:w="2165" w:type="dxa"/>
          </w:tcPr>
          <w:p>
            <w:pPr>
              <w:pStyle w:val="TableParagraph"/>
              <w:spacing w:line="240" w:lineRule="auto" w:before="0"/>
              <w:ind w:left="105" w:right="430"/>
              <w:jc w:val="left"/>
              <w:rPr>
                <w:sz w:val="22"/>
              </w:rPr>
            </w:pPr>
            <w:r>
              <w:rPr>
                <w:sz w:val="22"/>
              </w:rPr>
              <w:t>Chief executive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officer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ownership</w:t>
            </w:r>
          </w:p>
        </w:tc>
        <w:tc>
          <w:tcPr>
            <w:tcW w:w="2801" w:type="dxa"/>
          </w:tcPr>
          <w:p>
            <w:pPr>
              <w:pStyle w:val="TableParagraph"/>
              <w:spacing w:line="240" w:lineRule="auto" w:before="0"/>
              <w:ind w:left="108" w:right="328"/>
              <w:jc w:val="left"/>
              <w:rPr>
                <w:sz w:val="22"/>
              </w:rPr>
            </w:pPr>
            <w:r>
              <w:rPr>
                <w:sz w:val="22"/>
              </w:rPr>
              <w:t>% of CEO shareholding to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total outstanding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shares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108" w:right="408"/>
              <w:jc w:val="left"/>
              <w:rPr>
                <w:sz w:val="22"/>
              </w:rPr>
            </w:pPr>
            <w:r>
              <w:rPr>
                <w:sz w:val="22"/>
              </w:rPr>
              <w:t>Oyeleke, Erin 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Emeni (2016)</w:t>
            </w:r>
          </w:p>
        </w:tc>
      </w:tr>
      <w:tr>
        <w:trPr>
          <w:trHeight w:val="505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51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LEV</w:t>
            </w:r>
          </w:p>
        </w:tc>
        <w:tc>
          <w:tcPr>
            <w:tcW w:w="2165" w:type="dxa"/>
          </w:tcPr>
          <w:p>
            <w:pPr>
              <w:pStyle w:val="TableParagraph"/>
              <w:spacing w:line="251" w:lineRule="exact" w:before="0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Leverage</w:t>
            </w:r>
          </w:p>
        </w:tc>
        <w:tc>
          <w:tcPr>
            <w:tcW w:w="2801" w:type="dxa"/>
          </w:tcPr>
          <w:p>
            <w:pPr>
              <w:pStyle w:val="TableParagraph"/>
              <w:spacing w:line="251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Debt-equity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ratio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54" w:lineRule="exact" w:before="0"/>
              <w:ind w:left="108" w:right="604"/>
              <w:jc w:val="left"/>
              <w:rPr>
                <w:sz w:val="22"/>
              </w:rPr>
            </w:pPr>
            <w:r>
              <w:rPr>
                <w:sz w:val="22"/>
              </w:rPr>
              <w:t>Ogbeide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Obaretin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(2018)</w:t>
            </w:r>
          </w:p>
        </w:tc>
      </w:tr>
      <w:tr>
        <w:trPr>
          <w:trHeight w:val="504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49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FSIZE</w:t>
            </w:r>
          </w:p>
        </w:tc>
        <w:tc>
          <w:tcPr>
            <w:tcW w:w="2165" w:type="dxa"/>
          </w:tcPr>
          <w:p>
            <w:pPr>
              <w:pStyle w:val="TableParagraph"/>
              <w:spacing w:line="249" w:lineRule="exact" w:before="0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Firm size</w:t>
            </w:r>
          </w:p>
        </w:tc>
        <w:tc>
          <w:tcPr>
            <w:tcW w:w="2801" w:type="dxa"/>
          </w:tcPr>
          <w:p>
            <w:pPr>
              <w:pStyle w:val="TableParagraph"/>
              <w:spacing w:line="249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Log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assets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49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Dyreng, Hanlon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&amp;</w:t>
            </w:r>
          </w:p>
          <w:p>
            <w:pPr>
              <w:pStyle w:val="TableParagraph"/>
              <w:spacing w:line="234" w:lineRule="exact" w:before="1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Maydew,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(2008),</w:t>
            </w:r>
          </w:p>
        </w:tc>
      </w:tr>
      <w:tr>
        <w:trPr>
          <w:trHeight w:val="254" w:hRule="atLeast"/>
        </w:trPr>
        <w:tc>
          <w:tcPr>
            <w:tcW w:w="2170" w:type="dxa"/>
            <w:tcBorders>
              <w:left w:val="nil"/>
            </w:tcBorders>
          </w:tcPr>
          <w:p>
            <w:pPr>
              <w:pStyle w:val="TableParagraph"/>
              <w:spacing w:line="234" w:lineRule="exact" w:before="0"/>
              <w:ind w:left="127" w:right="0"/>
              <w:jc w:val="left"/>
              <w:rPr>
                <w:sz w:val="22"/>
              </w:rPr>
            </w:pPr>
            <w:r>
              <w:rPr>
                <w:sz w:val="22"/>
              </w:rPr>
              <w:t>PROF</w:t>
            </w:r>
          </w:p>
        </w:tc>
        <w:tc>
          <w:tcPr>
            <w:tcW w:w="2165" w:type="dxa"/>
          </w:tcPr>
          <w:p>
            <w:pPr>
              <w:pStyle w:val="TableParagraph"/>
              <w:spacing w:line="234" w:lineRule="exact" w:before="0"/>
              <w:ind w:left="105" w:right="0"/>
              <w:jc w:val="left"/>
              <w:rPr>
                <w:sz w:val="22"/>
              </w:rPr>
            </w:pPr>
            <w:r>
              <w:rPr>
                <w:sz w:val="22"/>
              </w:rPr>
              <w:t>Profitability</w:t>
            </w:r>
          </w:p>
        </w:tc>
        <w:tc>
          <w:tcPr>
            <w:tcW w:w="2801" w:type="dxa"/>
          </w:tcPr>
          <w:p>
            <w:pPr>
              <w:pStyle w:val="TableParagraph"/>
              <w:spacing w:line="234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Return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 Assets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(ROA)</w:t>
            </w:r>
          </w:p>
        </w:tc>
        <w:tc>
          <w:tcPr>
            <w:tcW w:w="2136" w:type="dxa"/>
            <w:tcBorders>
              <w:right w:val="nil"/>
            </w:tcBorders>
          </w:tcPr>
          <w:p>
            <w:pPr>
              <w:pStyle w:val="TableParagraph"/>
              <w:spacing w:line="234" w:lineRule="exact" w:before="0"/>
              <w:ind w:left="108" w:right="0"/>
              <w:jc w:val="left"/>
              <w:rPr>
                <w:sz w:val="22"/>
              </w:rPr>
            </w:pPr>
            <w:r>
              <w:rPr>
                <w:sz w:val="22"/>
              </w:rPr>
              <w:t>Rawiwan (2013)</w:t>
            </w:r>
          </w:p>
        </w:tc>
      </w:tr>
    </w:tbl>
    <w:p>
      <w:pPr>
        <w:spacing w:before="1"/>
        <w:ind w:left="822" w:right="0" w:firstLine="0"/>
        <w:jc w:val="left"/>
        <w:rPr>
          <w:sz w:val="22"/>
        </w:rPr>
      </w:pPr>
      <w:r>
        <w:rPr/>
        <w:pict>
          <v:group style="position:absolute;margin-left:113.07pt;margin-top:-60.260479pt;width:221pt;height:224.55pt;mso-position-horizontal-relative:page;mso-position-vertical-relative:paragraph;z-index:-49265664" coordorigin="2261,-1205" coordsize="4420,4491">
            <v:shape style="position:absolute;left:2261;top:1257;width:2154;height:2029" coordorigin="2261,1257" coordsize="2154,2029" path="m3691,2976l3689,2935,3682,2891,3670,2847,3654,2802,3632,2756,3605,2708,3574,2661,3538,2613,3496,2565,3450,2516,2792,1858,2787,1854,2777,1851,2772,1851,2766,1852,2761,1854,2747,1861,2732,1873,2715,1890,2703,1905,2696,1919,2694,1924,2693,1930,2693,1935,2696,1945,2700,1950,3359,2609,3393,2644,3424,2679,3450,2713,3474,2746,3493,2778,3509,2810,3521,2840,3531,2869,3536,2898,3538,2925,3537,2951,3532,2977,3524,3001,3512,3025,3497,3047,3478,3067,3458,3085,3437,3099,3414,3110,3389,3118,3364,3123,3337,3124,3309,3122,3280,3116,3250,3108,3219,3095,3187,3079,3154,3059,3120,3035,3085,3007,3049,2976,3012,2941,2360,2289,2356,2285,2346,2282,2341,2282,2336,2282,2330,2284,2316,2292,2301,2304,2284,2321,2272,2336,2265,2350,2263,2355,2261,2362,2262,2366,2265,2376,2269,2381,2938,3050,2987,3096,3035,3138,3083,3174,3130,3205,3176,3231,3221,3252,3265,3268,3307,3278,3348,3285,3388,3286,3427,3282,3464,3274,3500,3261,3533,3243,3565,3221,3594,3195,3623,3162,3647,3128,3666,3093,3679,3055,3687,3017,3691,2976xm4415,2200l4408,2146,4394,2090,4374,2033,4347,1975,4315,1915,4276,1854,4257,1828,4257,2178,4256,2216,4250,2253,4236,2289,4216,2322,4189,2353,4158,2380,4125,2401,4091,2415,4056,2422,4019,2424,3981,2421,3942,2412,3901,2397,3860,2379,3818,2355,3775,2327,3731,2295,3686,2258,3640,2219,3594,2177,3547,2131,3505,2088,3466,2045,3430,2001,3395,1957,3363,1914,3337,1870,3315,1828,3296,1786,3282,1745,3273,1705,3269,1665,3269,1627,3275,1590,3288,1555,3308,1522,3335,1491,3366,1465,3398,1444,3432,1430,3468,1423,3505,1421,3544,1425,3583,1433,3623,1447,3665,1466,3707,1489,3750,1516,3794,1548,3838,1583,3883,1622,3928,1663,3974,1708,4016,1751,4055,1795,4093,1839,4128,1883,4159,1927,4187,1971,4210,2014,4228,2056,4243,2097,4253,2138,4257,2178,4257,1828,4231,1792,4180,1729,4124,1665,4061,1600,3997,1538,3934,1482,3872,1431,3859,1421,3812,1387,3753,1349,3696,1318,3641,1293,3587,1275,3535,1263,3485,1257,3436,1259,3388,1266,3343,1280,3300,1301,3259,1329,3219,1364,3183,1405,3155,1448,3133,1494,3119,1542,3113,1592,3113,1644,3119,1698,3132,1753,3152,1809,3178,1868,3210,1928,3249,1988,3293,2050,3343,2112,3399,2175,3459,2238,3525,2302,3589,2359,3651,2410,3712,2455,3771,2493,3829,2525,3884,2550,3938,2569,3990,2582,4040,2587,4089,2586,4137,2579,4183,2566,4227,2545,4268,2516,4308,2481,4344,2440,4355,2424,4373,2396,4394,2350,4407,2302,4414,2252,4415,2200xe" filled="true" fillcolor="#c0c0c0" stroked="false">
              <v:path arrowok="t"/>
              <v:fill opacity="32896f" type="solid"/>
            </v:shape>
            <v:shape style="position:absolute;left:4237;top:1333;width:352;height:351" type="#_x0000_t75" stroked="false">
              <v:imagedata r:id="rId11" o:title=""/>
            </v:shape>
            <v:shape style="position:absolute;left:4030;top:-1206;width:2651;height:2862" coordorigin="4031,-1205" coordsize="2651,2862" path="m5174,1576l5173,1571,5170,1561,5166,1557,5162,1552,4130,520,4125,516,4115,513,4110,513,4104,514,4099,516,4093,519,4085,523,4070,535,4053,552,4042,566,4034,580,4032,586,4031,592,4031,597,4034,607,4037,612,5074,1649,5079,1652,5088,1656,5093,1656,5099,1654,5105,1653,5119,1645,5134,1634,5151,1616,5163,1601,5170,1587,5171,1581,5174,1576xm5450,1294l5448,1289,5446,1285,5443,1280,5053,890,5132,811,5161,779,5165,773,5186,745,5204,711,5218,675,5226,639,5230,604,5230,565,5226,527,5216,488,5203,448,5186,408,5164,368,5138,327,5109,287,5078,250,5078,559,5076,582,5072,604,5065,626,5053,648,5038,669,5019,690,4936,773,4506,344,4592,258,4604,247,4617,236,4631,225,4646,215,4663,207,4681,201,4700,196,4722,194,4745,195,4770,200,4797,208,4826,221,4856,237,4887,258,4919,284,4951,314,4974,339,4995,363,5013,388,5030,413,5045,438,5056,463,5065,487,5072,511,5076,535,5078,559,5078,250,5075,246,5037,206,5025,194,5006,177,4976,151,4945,127,4915,106,4885,88,4855,72,4825,60,4796,49,4767,41,4738,36,4709,34,4682,34,4655,37,4631,41,4609,48,4589,56,4571,66,4555,75,4540,84,4527,92,4516,102,4504,112,4493,122,4482,133,4333,282,4327,289,4323,299,4322,309,4322,321,4325,334,4332,348,4343,363,4358,379,5351,1372,5355,1376,5360,1377,5365,1379,5370,1379,5375,1377,5381,1376,5395,1369,5402,1364,5410,1357,5419,1348,5428,1339,5435,1331,5440,1324,5444,1317,5447,1311,5448,1304,5450,1300,5450,1294xm6146,603l6146,598,6143,588,6139,584,5206,-350,5404,-547,5406,-551,5406,-556,5404,-566,5399,-578,5393,-586,5371,-612,5360,-623,5349,-633,5323,-657,5315,-662,5302,-669,5296,-670,5292,-670,5286,-670,5283,-668,4795,-180,4793,-177,4794,-172,4793,-167,4795,-162,4802,-149,4807,-141,4814,-133,4821,-124,4830,-114,4852,-93,4861,-84,4870,-78,4878,-71,4886,-65,4898,-60,4903,-58,4908,-58,4913,-58,4916,-60,5114,-257,6047,676,6052,679,6061,683,6066,683,6072,681,6078,680,6092,672,6107,661,6125,643,6136,628,6143,614,6144,608,6146,603xm6681,68l6681,63,6678,53,6674,49,5741,-885,5939,-1082,5941,-1086,5941,-1091,5941,-1096,5940,-1101,5936,-1108,5934,-1113,5928,-1121,5906,-1147,5895,-1158,5884,-1168,5858,-1192,5850,-1197,5837,-1204,5831,-1205,5827,-1205,5821,-1205,5818,-1203,5330,-715,5328,-712,5329,-707,5328,-702,5330,-697,5337,-684,5342,-676,5349,-668,5357,-659,5365,-649,5387,-628,5396,-619,5405,-613,5413,-606,5421,-600,5433,-595,5438,-593,5443,-593,5448,-593,5451,-595,5649,-792,6582,141,6587,144,6597,148,6601,148,6607,146,6613,145,6627,137,6634,132,6642,126,6660,108,6671,93,6678,79,6679,73,6681,68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>
          <w:b/>
          <w:sz w:val="22"/>
        </w:rPr>
        <w:t>Source:</w:t>
      </w:r>
      <w:r>
        <w:rPr>
          <w:b/>
          <w:spacing w:val="-2"/>
          <w:sz w:val="22"/>
        </w:rPr>
        <w:t> </w:t>
      </w:r>
      <w:r>
        <w:rPr>
          <w:sz w:val="22"/>
        </w:rPr>
        <w:t>Researcher’s</w:t>
      </w:r>
      <w:r>
        <w:rPr>
          <w:spacing w:val="-4"/>
          <w:sz w:val="22"/>
        </w:rPr>
        <w:t> </w:t>
      </w:r>
      <w:r>
        <w:rPr>
          <w:sz w:val="22"/>
        </w:rPr>
        <w:t>compilation</w:t>
      </w:r>
      <w:r>
        <w:rPr>
          <w:spacing w:val="-2"/>
          <w:sz w:val="22"/>
        </w:rPr>
        <w:t> </w:t>
      </w:r>
      <w:r>
        <w:rPr>
          <w:sz w:val="22"/>
        </w:rPr>
        <w:t>(2020)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spacing w:line="535" w:lineRule="auto"/>
        <w:ind w:left="2776" w:right="2542" w:firstLine="1624"/>
        <w:jc w:val="left"/>
      </w:pPr>
      <w:bookmarkStart w:name="_bookmark71" w:id="119"/>
      <w:bookmarkEnd w:id="119"/>
      <w:r>
        <w:rPr>
          <w:b w:val="0"/>
        </w:rPr>
      </w:r>
      <w:r>
        <w:rPr/>
        <w:t>CHAPTER FOUR</w:t>
      </w:r>
      <w:r>
        <w:rPr>
          <w:spacing w:val="1"/>
        </w:rPr>
        <w:t> </w:t>
      </w:r>
      <w:bookmarkStart w:name="_bookmark72" w:id="120"/>
      <w:bookmarkEnd w:id="120"/>
      <w:r>
        <w:rPr/>
        <w:t>P</w:t>
      </w:r>
      <w:r>
        <w:rPr/>
        <w:t>RESENTATION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RESULT</w:t>
      </w:r>
    </w:p>
    <w:p>
      <w:pPr>
        <w:pStyle w:val="Heading1"/>
        <w:numPr>
          <w:ilvl w:val="1"/>
          <w:numId w:val="29"/>
        </w:numPr>
        <w:tabs>
          <w:tab w:pos="1242" w:val="left" w:leader="none"/>
        </w:tabs>
        <w:spacing w:line="275" w:lineRule="exact" w:before="0" w:after="0"/>
        <w:ind w:left="1242" w:right="0" w:hanging="420"/>
        <w:jc w:val="both"/>
      </w:pPr>
      <w:bookmarkStart w:name="_bookmark73" w:id="121"/>
      <w:bookmarkEnd w:id="121"/>
      <w:r>
        <w:rPr>
          <w:b w:val="0"/>
        </w:rPr>
      </w:r>
      <w:bookmarkStart w:name="_bookmark73" w:id="122"/>
      <w:bookmarkEnd w:id="122"/>
      <w:r>
        <w:rPr/>
        <w:t>In</w:t>
      </w:r>
      <w:r>
        <w:rPr/>
        <w:t>troduction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9"/>
      </w:pPr>
      <w:r>
        <w:rPr/>
        <w:pict>
          <v:group style="position:absolute;margin-left:113.07pt;margin-top:47.883114pt;width:390.5pt;height:393.9pt;mso-position-horizontal-relative:page;mso-position-vertical-relative:paragraph;z-index:-49264128" coordorigin="2261,958" coordsize="7810,7878">
            <v:shape style="position:absolute;left:2261;top:6806;width:2154;height:2029" coordorigin="2261,6807" coordsize="2154,2029" path="m3691,8526l3689,8484,3682,8441,3670,8396,3654,8351,3632,8305,3605,8258,3574,8210,3538,8163,3496,8114,3450,8065,2792,7407,2787,7404,2777,7400,2772,7400,2766,7401,2761,7403,2747,7410,2732,7422,2715,7440,2703,7454,2696,7468,2694,7474,2693,7480,2693,7484,2696,7494,2700,7499,3359,8158,3393,8194,3424,8228,3450,8262,3474,8295,3493,8327,3509,8359,3521,8389,3531,8419,3536,8447,3538,8474,3537,8501,3532,8526,3524,8551,3512,8574,3497,8596,3478,8616,3458,8634,3437,8649,3414,8660,3389,8667,3364,8672,3337,8674,3309,8672,3280,8666,3250,8657,3219,8644,3187,8628,3154,8608,3120,8584,3085,8557,3049,8525,3012,8490,2360,7838,2356,7835,2346,7831,2341,7831,2336,7832,2330,7834,2316,7841,2301,7853,2284,7871,2272,7886,2265,7899,2263,7905,2261,7911,2262,7915,2265,7925,2269,7930,2938,8599,2987,8645,3035,8687,3083,8723,3130,8755,3176,8781,3221,8801,3265,8817,3307,8828,3348,8834,3388,8835,3427,8831,3464,8823,3500,8810,3533,8793,3565,8770,3594,8744,3623,8712,3647,8678,3666,8642,3679,8605,3687,8566,3691,8526xm4415,7749l4408,7695,4394,7640,4374,7583,4347,7525,4315,7465,4276,7403,4257,7377,4257,7727,4256,7766,4250,7803,4236,7838,4216,7871,4189,7902,4158,7930,4125,7950,4091,7964,4056,7971,4019,7973,3981,7970,3942,7961,3901,7947,3860,7928,3818,7905,3775,7877,3731,7844,3686,7808,3640,7768,3594,7726,3547,7680,3505,7637,3466,7594,3430,7550,3395,7506,3363,7463,3337,7420,3315,7377,3296,7335,3282,7294,3273,7254,3269,7215,3269,7176,3275,7139,3288,7105,3308,7072,3335,7041,3366,7014,3398,6993,3432,6980,3468,6972,3505,6971,3544,6974,3583,6982,3623,6996,3665,7015,3707,7038,3750,7066,3794,7097,3838,7133,3883,7171,3928,7213,3974,7257,4016,7300,4055,7344,4093,7388,4128,7432,4159,7476,4187,7520,4210,7563,4228,7605,4243,7647,4253,7687,4257,7727,4257,7377,4231,7341,4180,7278,4124,7214,4061,7149,3997,7087,3934,7031,3872,6981,3859,6971,3812,6936,3753,6899,3696,6867,3641,6843,3587,6824,3535,6812,3485,6807,3436,6808,3388,6815,3343,6829,3300,6850,3259,6878,3219,6913,3183,6954,3155,6997,3133,7043,3119,7091,3113,7141,3113,7193,3119,7247,3132,7302,3152,7359,3178,7417,3210,7477,3249,7538,3293,7599,3343,7662,3399,7725,3459,7788,3525,7851,3589,7908,3651,7959,3712,8004,3771,8042,3829,8074,3884,8100,3938,8119,3990,8131,4040,8137,4089,8136,4137,8128,4183,8115,4227,8094,4268,8065,4308,8030,4344,7989,4355,7973,4373,7946,4394,7900,4407,7851,4414,7801,4415,7749xe" filled="true" fillcolor="#c0c0c0" stroked="false">
              <v:path arrowok="t"/>
              <v:fill opacity="32896f" type="solid"/>
            </v:shape>
            <v:shape style="position:absolute;left:4237;top:6883;width:352;height:351" type="#_x0000_t75" stroked="false">
              <v:imagedata r:id="rId11" o:title=""/>
            </v:shape>
            <v:shape style="position:absolute;left:4030;top:957;width:6040;height:6248" coordorigin="4031,958" coordsize="6040,6248" path="m5174,7125l5173,7120,5170,7111,5166,7106,5162,7102,4130,6069,4125,6066,4115,6062,4110,6062,4104,6063,4099,6065,4093,6068,4085,6072,4070,6084,4053,6101,4042,6115,4034,6130,4032,6135,4031,6141,4031,6146,4034,6156,4037,6161,5074,7198,5079,7202,5088,7205,5093,7205,5099,7203,5105,7202,5119,7195,5134,7183,5151,7165,5163,7150,5170,7137,5171,7130,5174,7125xm5450,6844l5448,6839,5446,6834,5443,6829,5053,6439,5132,6360,5161,6328,5165,6322,5186,6294,5204,6260,5218,6225,5226,6189,5230,6153,5230,6114,5226,6076,5216,6037,5203,5998,5186,5958,5164,5917,5138,5876,5109,5836,5078,5799,5078,6108,5076,6131,5072,6153,5065,6175,5053,6197,5038,6218,5019,6239,4936,6322,4506,5893,4592,5808,4604,5796,4617,5785,4631,5774,4646,5764,4663,5756,4681,5750,4700,5746,4722,5744,4745,5745,4770,5749,4797,5758,4826,5770,4856,5786,4887,5807,4919,5833,4951,5864,4974,5888,4995,5912,5013,5937,5030,5962,5045,5987,5056,6012,5065,6037,5072,6061,5076,6085,5078,6108,5078,5799,5075,5795,5037,5755,5025,5744,5006,5726,4976,5700,4945,5676,4915,5655,4885,5637,4855,5622,4825,5609,4796,5599,4767,5591,4738,5586,4709,5583,4682,5583,4655,5586,4631,5591,4609,5597,4589,5605,4571,5615,4555,5624,4540,5633,4527,5641,4516,5651,4504,5661,4493,5671,4482,5682,4333,5831,4327,5839,4323,5848,4322,5858,4322,5870,4325,5883,4332,5897,4343,5912,4358,5929,5351,6921,5355,6925,5360,6927,5365,6928,5370,6929,5375,6927,5381,6925,5395,6918,5402,6913,5410,6907,5419,6898,5428,6888,5435,6880,5440,6874,5444,6866,5447,6860,5448,6854,5450,6849,5450,6844xm6146,6152l6146,6147,6143,6137,6139,6133,5206,5200,5404,5002,5406,4998,5406,4993,5404,4983,5399,4971,5393,4963,5371,4937,5360,4927,5349,4916,5323,4893,5315,4887,5302,4880,5296,4879,5292,4879,5286,4879,5283,4881,4795,5369,4793,5372,4794,5377,4793,5382,4795,5387,4802,5400,4807,5408,4814,5416,4821,5425,4830,5435,4852,5456,4861,5465,4870,5471,4878,5478,4886,5484,4898,5490,4903,5491,4908,5491,4913,5492,4916,5490,5114,5292,6047,6225,6052,6229,6061,6232,6066,6232,6072,6230,6078,6229,6092,6222,6107,6210,6125,6192,6136,6177,6143,6163,6144,6157,6146,6152xm6681,5617l6681,5612,6678,5602,6674,5598,5741,4665,5939,4467,5941,4463,5941,4458,5941,4454,5940,4448,5936,4442,5934,4436,5928,4428,5906,4402,5895,4392,5884,4381,5858,4358,5850,4352,5837,4345,5831,4344,5827,4344,5821,4344,5818,4346,5330,4834,5328,4837,5329,4842,5328,4847,5330,4852,5337,4865,5342,4873,5349,4881,5357,4890,5365,4900,5387,4921,5396,4930,5405,4936,5413,4943,5421,4949,5433,4955,5438,4956,5443,4956,5448,4957,5451,4955,5649,4757,6582,5690,6587,5694,6597,5697,6601,5697,6607,5695,6613,5694,6627,5687,6634,5682,6642,5675,6660,5657,6671,5642,6678,5628,6679,5622,6681,5617xm7391,4772l7385,4718,7371,4663,7351,4606,7324,4548,7292,4488,7253,4426,7234,4400,7234,4750,7233,4789,7227,4826,7213,4861,7193,4894,7166,4925,7135,4953,7102,4973,7068,4987,7033,4994,6996,4997,6958,4993,6919,4984,6878,4970,6837,4951,6795,4928,6752,4900,6708,4867,6663,4831,6617,4791,6571,4749,6524,4703,6482,4660,6443,4617,6406,4574,6371,4529,6340,4486,6314,4443,6291,4400,6273,4358,6259,4317,6250,4277,6245,4238,6246,4199,6252,4163,6265,4128,6285,4095,6312,4064,6343,4037,6375,4017,6409,4003,6445,3995,6482,3994,6521,3997,6560,4006,6600,4019,6641,4039,6684,4062,6727,4089,6771,4120,6815,4156,6860,4194,6905,4236,6951,4280,6993,4323,7032,4367,7069,4411,7104,4455,7136,4499,7163,4543,7186,4586,7205,4628,7220,4670,7229,4710,7234,4750,7234,4400,7208,4364,7157,4301,7100,4237,7038,4172,6974,4110,6911,4054,6849,4004,6835,3994,6789,3960,6730,3922,6673,3890,6618,3866,6564,3847,6512,3835,6461,3830,6413,3831,6365,3838,6320,3852,6277,3873,6235,3901,6196,3936,6160,3977,6131,4021,6110,4066,6096,4114,6090,4165,6090,4217,6096,4270,6109,4325,6129,4382,6155,4440,6187,4500,6226,4561,6270,4623,6320,4685,6375,4748,6436,4811,6502,4874,6566,4931,6628,4982,6689,5027,6748,5065,6806,5097,6861,5123,6915,5142,6967,5154,7017,5160,7066,5159,7114,5152,7160,5138,7204,5117,7245,5089,7285,5053,7321,5012,7331,4997,7350,4969,7371,4923,7384,4874,7391,4824,7391,4772xm8349,3840l8349,3812,8348,3801,8347,3793,8344,3783,8342,3777,8337,3766,8334,3760,8330,3754,8321,3742,8308,3728,8292,3712,8274,3695,8251,3674,8243,3668,8232,3661,8227,3659,8220,3659,8217,3661,8209,3669,8206,3681,8208,3701,8209,3717,8209,3733,8209,3752,8208,3771,8206,3792,8202,3814,8197,3837,8190,3860,8181,3883,8169,3906,8153,3927,8134,3948,8108,3970,8080,3988,8050,4001,8018,4009,7985,4013,7949,4012,7912,4006,7873,3994,7833,3979,7791,3959,7747,3934,7702,3904,7655,3870,7607,3831,7558,3788,7508,3739,7459,3688,7414,3638,7375,3589,7340,3541,7310,3495,7284,3450,7263,3407,7246,3365,7234,3325,7227,3286,7224,3250,7227,3216,7233,3184,7245,3154,7262,3127,7283,3103,7305,3083,7326,3067,7349,3055,7372,3046,7395,3039,7417,3035,7439,3031,7459,3029,7479,3029,7514,3029,7529,3030,7549,3032,7562,3031,7569,3023,7570,3019,7570,3015,7568,3005,7560,2992,7548,2975,7529,2954,7503,2928,7487,2914,7480,2909,7474,2904,7468,2900,7462,2897,7451,2892,7442,2889,7430,2886,7420,2885,7407,2884,7376,2884,7358,2886,7339,2888,7321,2892,7302,2897,7283,2902,7264,2910,7246,2918,7227,2927,7209,2937,7192,2949,7176,2963,7161,2977,7129,3013,7105,3052,7086,3094,7075,3139,7069,3188,7069,3238,7075,3291,7088,3345,7108,3403,7134,3462,7165,3523,7203,3585,7248,3649,7298,3713,7355,3779,7419,3845,7483,3907,7546,3962,7608,4011,7669,4053,7728,4090,7786,4121,7842,4144,7896,4162,7948,4175,7998,4180,8045,4179,8091,4172,8134,4160,8175,4141,8213,4117,8248,4086,8266,4066,8283,4045,8297,4024,8309,4002,8319,3980,8327,3958,8334,3937,8340,3916,8343,3896,8347,3876,8348,3858,8349,3840xm8952,3212l8945,3158,8932,3102,8911,3045,8885,2987,8852,2927,8813,2866,8794,2840,8794,3190,8794,3228,8787,3265,8774,3300,8754,3334,8727,3365,8695,3392,8663,3413,8629,3427,8593,3434,8556,3436,8518,3433,8479,3424,8439,3409,8398,3390,8356,3367,8312,3339,8268,3306,8223,3270,8177,3231,8131,3188,8084,3143,8043,3100,8004,3057,7967,3013,7932,2969,7901,2925,7874,2882,7852,2840,7833,2798,7819,2757,7810,2716,7806,2677,7807,2639,7813,2602,7826,2567,7846,2534,7873,2503,7903,2476,7936,2456,7970,2442,8006,2435,8043,2433,8081,2437,8120,2445,8161,2459,8202,2478,8244,2501,8287,2528,8331,2560,8376,2595,8421,2634,8466,2675,8511,2719,8553,2763,8593,2807,8630,2851,8665,2895,8697,2939,8724,2983,8747,3025,8766,3067,8781,3109,8790,3150,8794,3190,8794,2840,8768,2804,8717,2741,8661,2677,8599,2612,8534,2550,8471,2494,8410,2443,8396,2433,8350,2399,8291,2361,8234,2330,8178,2305,8124,2286,8072,2274,8022,2269,7973,2271,7926,2278,7880,2292,7837,2313,7796,2341,7757,2376,7721,2417,7692,2460,7671,2506,7657,2553,7650,2604,7650,2656,7656,2710,7670,2764,7690,2821,7716,2880,7748,2939,7786,3000,7831,3062,7881,3124,7936,3187,7997,3250,8062,3314,8126,3371,8188,3422,8249,3466,8308,3505,8366,3537,8422,3562,8476,3581,8527,3594,8578,3599,8627,3598,8674,3591,8720,3578,8764,3557,8806,3528,8846,3492,8882,3452,8892,3436,8910,3408,8931,3362,8945,3314,8952,3264,8952,3212xm9374,2919l9373,2914,9371,2909,9367,2905,8977,2515,9056,2436,9086,2403,9090,2398,9110,2370,9129,2335,9142,2300,9151,2264,9155,2228,9155,2190,9150,2151,9141,2112,9128,2073,9111,2033,9089,1992,9063,1952,9033,1911,9002,1875,9002,2183,9001,2206,8997,2228,8989,2251,8978,2272,8963,2294,8944,2315,8861,2398,8431,1968,8517,1883,8528,1871,8542,1860,8556,1850,8571,1840,8587,1832,8605,1825,8625,1821,8646,1819,8670,1820,8695,1825,8722,1833,8751,1845,8781,1862,8812,1883,8843,1908,8876,1939,8899,1963,8919,1988,8938,2012,8955,2037,8969,2062,8981,2087,8990,2112,8997,2136,9001,2160,9002,2183,9002,1875,8999,1871,8961,1830,8949,1819,8931,1801,8900,1775,8870,1752,8840,1730,8809,1712,8779,1697,8750,1685,8720,1674,8691,1666,8662,1661,8634,1659,8606,1659,8580,1661,8555,1666,8533,1672,8513,1680,8496,1690,8479,1699,8465,1708,8452,1717,8441,1726,8429,1736,8418,1747,8406,1758,8258,1906,8252,1914,8248,1923,8246,1934,8247,1946,8250,1959,8257,1973,8268,1988,8282,2004,9275,2997,9280,3000,9285,3002,9290,3004,9294,3004,9300,3002,9306,3001,9312,2997,9320,2993,9335,2982,9353,2964,9360,2955,9365,2949,9369,2941,9371,2935,9373,2929,9374,2924,9374,2919xm10071,2228l10070,2223,10067,2213,10063,2209,9664,1810,9590,1664,9368,1227,9256,1009,9250,998,9239,980,9235,972,9228,964,9222,961,9208,958,9200,961,9191,966,9185,971,9169,986,9150,1004,9133,1026,9129,1033,9128,1037,9127,1044,9127,1049,9129,1055,9131,1061,9134,1067,9138,1074,9174,1141,9351,1480,9401,1569,9468,1688,9486,1718,9485,1719,9242,1584,9175,1549,8838,1372,8831,1368,8825,1366,8819,1363,8814,1362,8802,1364,8796,1366,8789,1370,8782,1375,8765,1389,8742,1412,8734,1422,8722,1437,8719,1445,8722,1458,8726,1464,8741,1476,8750,1482,8771,1494,8917,1568,9354,1790,9572,1902,9971,2301,9976,2304,9981,2306,9985,2308,9990,2308,9996,2306,10002,2305,10016,2297,10030,2286,10048,2269,10060,2253,10067,2239,10069,2233,10071,2228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This chapter presents the results of the analysis of the data, and also goes further to interpret</w:t>
      </w:r>
      <w:r>
        <w:rPr>
          <w:spacing w:val="1"/>
        </w:rPr>
        <w:t> </w:t>
      </w:r>
      <w:r>
        <w:rPr/>
        <w:t>the</w:t>
      </w:r>
      <w:r>
        <w:rPr>
          <w:spacing w:val="-13"/>
        </w:rPr>
        <w:t> </w:t>
      </w:r>
      <w:r>
        <w:rPr/>
        <w:t>results.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chapter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integral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providing</w:t>
      </w:r>
      <w:r>
        <w:rPr>
          <w:spacing w:val="-12"/>
        </w:rPr>
        <w:t> </w:t>
      </w:r>
      <w:r>
        <w:rPr/>
        <w:t>answers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questions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also</w:t>
      </w:r>
      <w:r>
        <w:rPr>
          <w:spacing w:val="-10"/>
        </w:rPr>
        <w:t> </w:t>
      </w:r>
      <w:r>
        <w:rPr/>
        <w:t>forms</w:t>
      </w:r>
      <w:r>
        <w:rPr>
          <w:spacing w:val="-58"/>
        </w:rPr>
        <w:t> </w:t>
      </w:r>
      <w:r>
        <w:rPr/>
        <w:t>the basis for the testing of the hypotheses. Several statistical and econometric tools were</w:t>
      </w:r>
      <w:r>
        <w:rPr>
          <w:spacing w:val="1"/>
        </w:rPr>
        <w:t> </w:t>
      </w:r>
      <w:r>
        <w:rPr/>
        <w:t>employed in the generation of the empirical results in this chapter and the justification for the</w:t>
      </w:r>
      <w:r>
        <w:rPr>
          <w:spacing w:val="1"/>
        </w:rPr>
        <w:t> </w:t>
      </w:r>
      <w:r>
        <w:rPr/>
        <w:t>tools employed have been provided in the previous chapter. The preliminary analysis covering</w:t>
      </w:r>
      <w:r>
        <w:rPr>
          <w:spacing w:val="-57"/>
        </w:rPr>
        <w:t> </w:t>
      </w:r>
      <w:r>
        <w:rPr/>
        <w:t>descriptive and correlation statistics is first presented and then the regression results are also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interpreted.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presented.</w:t>
      </w:r>
    </w:p>
    <w:p>
      <w:pPr>
        <w:pStyle w:val="Heading1"/>
        <w:numPr>
          <w:ilvl w:val="1"/>
          <w:numId w:val="29"/>
        </w:numPr>
        <w:tabs>
          <w:tab w:pos="1242" w:val="left" w:leader="none"/>
        </w:tabs>
        <w:spacing w:line="535" w:lineRule="auto" w:before="200" w:after="0"/>
        <w:ind w:left="822" w:right="7120" w:firstLine="0"/>
        <w:jc w:val="both"/>
      </w:pPr>
      <w:bookmarkStart w:name="_bookmark74" w:id="123"/>
      <w:bookmarkEnd w:id="123"/>
      <w:r>
        <w:rPr>
          <w:b w:val="0"/>
        </w:rPr>
      </w:r>
      <w:bookmarkStart w:name="_bookmark74" w:id="124"/>
      <w:bookmarkEnd w:id="124"/>
      <w:r>
        <w:rPr/>
        <w:t>P</w:t>
      </w:r>
      <w:r>
        <w:rPr/>
        <w:t>resentation of Results</w:t>
      </w:r>
      <w:r>
        <w:rPr>
          <w:spacing w:val="-57"/>
        </w:rPr>
        <w:t> </w:t>
      </w:r>
      <w:bookmarkStart w:name="_bookmark75" w:id="125"/>
      <w:bookmarkEnd w:id="125"/>
      <w:r>
        <w:rPr/>
        <w:t>4.2.1:</w:t>
      </w:r>
      <w:r>
        <w:rPr>
          <w:spacing w:val="-3"/>
        </w:rPr>
        <w:t> </w:t>
      </w:r>
      <w:r>
        <w:rPr/>
        <w:t>Descriptive</w:t>
      </w:r>
      <w:r>
        <w:rPr>
          <w:spacing w:val="-3"/>
        </w:rPr>
        <w:t> </w:t>
      </w:r>
      <w:r>
        <w:rPr/>
        <w:t>Statistics</w:t>
      </w:r>
    </w:p>
    <w:p>
      <w:pPr>
        <w:pStyle w:val="BodyText"/>
        <w:spacing w:line="274" w:lineRule="exact"/>
      </w:pPr>
      <w:r>
        <w:rPr/>
        <w:t>This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statistics results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below;</w:t>
      </w:r>
    </w:p>
    <w:p>
      <w:pPr>
        <w:pStyle w:val="BodyText"/>
        <w:ind w:left="0"/>
        <w:jc w:val="left"/>
        <w:rPr>
          <w:sz w:val="26"/>
        </w:rPr>
      </w:pPr>
    </w:p>
    <w:p>
      <w:pPr>
        <w:spacing w:before="176"/>
        <w:ind w:left="822" w:right="0" w:firstLine="0"/>
        <w:jc w:val="both"/>
        <w:rPr>
          <w:sz w:val="24"/>
        </w:rPr>
      </w:pPr>
      <w:r>
        <w:rPr/>
        <w:pict>
          <v:shape style="position:absolute;margin-left:99.338997pt;margin-top:84.233116pt;width:57.15pt;height:57.2pt;mso-position-horizontal-relative:page;mso-position-vertical-relative:paragraph;z-index:-49264640" coordorigin="1987,1685" coordsize="1143,1144" path="m2066,1685l2009,1724,1987,1769,1990,1779,3030,2821,3049,2828,3054,2826,3061,2825,3119,2773,3127,2753,3129,2748,2085,1692,2071,1685,2066,1685xe" filled="true" fillcolor="#c0c0c0" stroked="false">
            <v:path arrowok="t"/>
            <v:fill opacity="32896f" type="solid"/>
            <w10:wrap type="none"/>
          </v:shape>
        </w:pict>
      </w:r>
      <w:bookmarkStart w:name="_bookmark76" w:id="126"/>
      <w:bookmarkEnd w:id="126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2"/>
          <w:sz w:val="24"/>
        </w:rPr>
        <w:t> </w:t>
      </w:r>
      <w:r>
        <w:rPr>
          <w:sz w:val="24"/>
        </w:rPr>
        <w:t>Descriptive</w:t>
      </w:r>
      <w:r>
        <w:rPr>
          <w:spacing w:val="-2"/>
          <w:sz w:val="24"/>
        </w:rPr>
        <w:t> </w:t>
      </w:r>
      <w:r>
        <w:rPr>
          <w:sz w:val="24"/>
        </w:rPr>
        <w:t>Statistics</w:t>
      </w:r>
    </w:p>
    <w:tbl>
      <w:tblPr>
        <w:tblW w:w="0" w:type="auto"/>
        <w:jc w:val="left"/>
        <w:tblInd w:w="81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  <w:gridCol w:w="1174"/>
        <w:gridCol w:w="1176"/>
        <w:gridCol w:w="1251"/>
        <w:gridCol w:w="1215"/>
        <w:gridCol w:w="1175"/>
        <w:gridCol w:w="1515"/>
      </w:tblGrid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2"/>
              </w:rPr>
            </w:pP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Mean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237" w:right="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Median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Maximum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155" w:right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Minimum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Std. Dev.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Jarque-bera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25"/>
              <w:jc w:val="center"/>
              <w:rPr>
                <w:sz w:val="20"/>
              </w:rPr>
            </w:pPr>
            <w:r>
              <w:rPr>
                <w:sz w:val="20"/>
              </w:rPr>
              <w:t>TAG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3"/>
              <w:jc w:val="center"/>
              <w:rPr>
                <w:sz w:val="20"/>
              </w:rPr>
            </w:pPr>
            <w:r>
              <w:rPr>
                <w:sz w:val="20"/>
              </w:rPr>
              <w:t>0.4085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0.609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8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3"/>
              <w:jc w:val="center"/>
              <w:rPr>
                <w:sz w:val="20"/>
              </w:rPr>
            </w:pPr>
            <w:r>
              <w:rPr>
                <w:sz w:val="20"/>
              </w:rPr>
              <w:t>0.231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783.641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30"/>
              <w:jc w:val="center"/>
              <w:rPr>
                <w:sz w:val="20"/>
              </w:rPr>
            </w:pPr>
            <w:r>
              <w:rPr>
                <w:sz w:val="20"/>
              </w:rPr>
              <w:t>BDIND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5"/>
              <w:jc w:val="center"/>
              <w:rPr>
                <w:sz w:val="20"/>
              </w:rPr>
            </w:pPr>
            <w:r>
              <w:rPr>
                <w:sz w:val="20"/>
              </w:rPr>
              <w:t>0.658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0.67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0.782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8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3"/>
              <w:jc w:val="center"/>
              <w:rPr>
                <w:sz w:val="20"/>
              </w:rPr>
            </w:pPr>
            <w:r>
              <w:rPr>
                <w:sz w:val="20"/>
              </w:rPr>
              <w:t>0.160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75.443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27"/>
              <w:jc w:val="center"/>
              <w:rPr>
                <w:sz w:val="20"/>
              </w:rPr>
            </w:pPr>
            <w:r>
              <w:rPr>
                <w:sz w:val="20"/>
              </w:rPr>
              <w:t>BDOWN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3"/>
              <w:jc w:val="center"/>
              <w:rPr>
                <w:sz w:val="20"/>
              </w:rPr>
            </w:pPr>
            <w:r>
              <w:rPr>
                <w:sz w:val="20"/>
              </w:rPr>
              <w:t>0.1458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237" w:right="232"/>
              <w:jc w:val="center"/>
              <w:rPr>
                <w:sz w:val="20"/>
              </w:rPr>
            </w:pPr>
            <w:r>
              <w:rPr>
                <w:sz w:val="20"/>
              </w:rPr>
              <w:t>0.035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0.84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8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0.2015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257.704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29"/>
              <w:jc w:val="center"/>
              <w:rPr>
                <w:sz w:val="20"/>
              </w:rPr>
            </w:pPr>
            <w:r>
              <w:rPr>
                <w:sz w:val="20"/>
              </w:rPr>
              <w:t>BDS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5"/>
              <w:jc w:val="center"/>
              <w:rPr>
                <w:sz w:val="20"/>
              </w:rPr>
            </w:pPr>
            <w:r>
              <w:rPr>
                <w:sz w:val="20"/>
              </w:rPr>
              <w:t>8.955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4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8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3"/>
              <w:jc w:val="center"/>
              <w:rPr>
                <w:sz w:val="20"/>
              </w:rPr>
            </w:pPr>
            <w:r>
              <w:rPr>
                <w:sz w:val="20"/>
              </w:rPr>
              <w:t>2.515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56.661</w:t>
            </w:r>
          </w:p>
        </w:tc>
      </w:tr>
      <w:tr>
        <w:trPr>
          <w:trHeight w:val="342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30"/>
              <w:jc w:val="center"/>
              <w:rPr>
                <w:sz w:val="20"/>
              </w:rPr>
            </w:pPr>
            <w:r>
              <w:rPr>
                <w:sz w:val="20"/>
              </w:rPr>
              <w:t>BGD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5"/>
              <w:jc w:val="center"/>
              <w:rPr>
                <w:sz w:val="20"/>
              </w:rPr>
            </w:pPr>
            <w:r>
              <w:rPr>
                <w:sz w:val="20"/>
              </w:rPr>
              <w:t>0.090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0.09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0.44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8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0.0952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94.505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2"/>
              <w:ind w:left="152" w:right="130"/>
              <w:jc w:val="center"/>
              <w:rPr>
                <w:sz w:val="20"/>
              </w:rPr>
            </w:pPr>
            <w:r>
              <w:rPr>
                <w:sz w:val="20"/>
              </w:rPr>
              <w:t>CEOAGE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2"/>
              <w:ind w:left="202" w:right="195"/>
              <w:jc w:val="center"/>
              <w:rPr>
                <w:sz w:val="20"/>
              </w:rPr>
            </w:pPr>
            <w:r>
              <w:rPr>
                <w:sz w:val="20"/>
              </w:rPr>
              <w:t>49.39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2"/>
              <w:ind w:left="237" w:right="227"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2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2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2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25.648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2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49.989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2"/>
              <w:ind w:left="153" w:right="130"/>
              <w:jc w:val="center"/>
              <w:rPr>
                <w:sz w:val="20"/>
              </w:rPr>
            </w:pPr>
            <w:r>
              <w:rPr>
                <w:sz w:val="20"/>
              </w:rPr>
              <w:t>CEOOWN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2"/>
              <w:ind w:left="202" w:right="193"/>
              <w:jc w:val="center"/>
              <w:rPr>
                <w:sz w:val="20"/>
              </w:rPr>
            </w:pPr>
            <w:r>
              <w:rPr>
                <w:sz w:val="20"/>
              </w:rPr>
              <w:t>4.3525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2"/>
              <w:ind w:left="237" w:right="232"/>
              <w:jc w:val="center"/>
              <w:rPr>
                <w:sz w:val="20"/>
              </w:rPr>
            </w:pPr>
            <w:r>
              <w:rPr>
                <w:sz w:val="20"/>
              </w:rPr>
              <w:t>0.000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2"/>
              <w:ind w:left="157" w:right="152"/>
              <w:jc w:val="center"/>
              <w:rPr>
                <w:sz w:val="20"/>
              </w:rPr>
            </w:pPr>
            <w:r>
              <w:rPr>
                <w:sz w:val="20"/>
              </w:rPr>
              <w:t>50.408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2"/>
              <w:ind w:left="8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2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10.473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2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1484.929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25"/>
              <w:jc w:val="center"/>
              <w:rPr>
                <w:sz w:val="20"/>
              </w:rPr>
            </w:pPr>
            <w:r>
              <w:rPr>
                <w:sz w:val="20"/>
              </w:rPr>
              <w:t>CEO-T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3"/>
              <w:jc w:val="center"/>
              <w:rPr>
                <w:sz w:val="20"/>
              </w:rPr>
            </w:pPr>
            <w:r>
              <w:rPr>
                <w:sz w:val="20"/>
              </w:rPr>
              <w:t>0.5438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4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6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8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3"/>
              <w:jc w:val="center"/>
              <w:rPr>
                <w:sz w:val="20"/>
              </w:rPr>
            </w:pPr>
            <w:r>
              <w:rPr>
                <w:sz w:val="20"/>
              </w:rPr>
              <w:t>0.498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119.862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28"/>
              <w:jc w:val="center"/>
              <w:rPr>
                <w:sz w:val="20"/>
              </w:rPr>
            </w:pPr>
            <w:r>
              <w:rPr>
                <w:sz w:val="20"/>
              </w:rPr>
              <w:t>FSIZE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3"/>
              <w:jc w:val="center"/>
              <w:rPr>
                <w:sz w:val="20"/>
              </w:rPr>
            </w:pPr>
            <w:r>
              <w:rPr>
                <w:sz w:val="20"/>
              </w:rPr>
              <w:t>7.0452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4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9.02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5.09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3"/>
              <w:jc w:val="center"/>
              <w:rPr>
                <w:sz w:val="20"/>
              </w:rPr>
            </w:pPr>
            <w:r>
              <w:rPr>
                <w:sz w:val="20"/>
              </w:rPr>
              <w:t>0.754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8.1284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26"/>
              <w:jc w:val="center"/>
              <w:rPr>
                <w:sz w:val="20"/>
              </w:rPr>
            </w:pPr>
            <w:r>
              <w:rPr>
                <w:sz w:val="20"/>
              </w:rPr>
              <w:t>LEV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5"/>
              <w:jc w:val="center"/>
              <w:rPr>
                <w:sz w:val="20"/>
              </w:rPr>
            </w:pPr>
            <w:r>
              <w:rPr>
                <w:sz w:val="20"/>
              </w:rPr>
              <w:t>0.551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0.21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0.80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0.05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25.588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8051.067</w:t>
            </w:r>
          </w:p>
        </w:tc>
      </w:tr>
      <w:tr>
        <w:trPr>
          <w:trHeight w:val="345" w:hRule="atLeast"/>
        </w:trPr>
        <w:tc>
          <w:tcPr>
            <w:tcW w:w="1207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53" w:right="130"/>
              <w:jc w:val="center"/>
              <w:rPr>
                <w:sz w:val="20"/>
              </w:rPr>
            </w:pPr>
            <w:r>
              <w:rPr>
                <w:sz w:val="20"/>
              </w:rPr>
              <w:t>ROA</w:t>
            </w:r>
          </w:p>
        </w:tc>
        <w:tc>
          <w:tcPr>
            <w:tcW w:w="1174" w:type="dxa"/>
          </w:tcPr>
          <w:p>
            <w:pPr>
              <w:pStyle w:val="TableParagraph"/>
              <w:spacing w:line="240" w:lineRule="auto" w:before="0"/>
              <w:ind w:left="202" w:right="193"/>
              <w:jc w:val="center"/>
              <w:rPr>
                <w:sz w:val="20"/>
              </w:rPr>
            </w:pPr>
            <w:r>
              <w:rPr>
                <w:sz w:val="20"/>
              </w:rPr>
              <w:t>0.4881</w:t>
            </w:r>
          </w:p>
        </w:tc>
        <w:tc>
          <w:tcPr>
            <w:tcW w:w="1176" w:type="dxa"/>
          </w:tcPr>
          <w:p>
            <w:pPr>
              <w:pStyle w:val="TableParagraph"/>
              <w:spacing w:line="240" w:lineRule="auto" w:before="0"/>
              <w:ind w:left="237" w:right="231"/>
              <w:jc w:val="center"/>
              <w:rPr>
                <w:sz w:val="20"/>
              </w:rPr>
            </w:pPr>
            <w:r>
              <w:rPr>
                <w:sz w:val="20"/>
              </w:rPr>
              <w:t>0.55</w:t>
            </w:r>
          </w:p>
        </w:tc>
        <w:tc>
          <w:tcPr>
            <w:tcW w:w="1251" w:type="dxa"/>
          </w:tcPr>
          <w:p>
            <w:pPr>
              <w:pStyle w:val="TableParagraph"/>
              <w:spacing w:line="240" w:lineRule="auto" w:before="0"/>
              <w:ind w:left="159" w:right="152"/>
              <w:jc w:val="center"/>
              <w:rPr>
                <w:sz w:val="20"/>
              </w:rPr>
            </w:pPr>
            <w:r>
              <w:rPr>
                <w:sz w:val="20"/>
              </w:rPr>
              <w:t>0.766</w:t>
            </w:r>
          </w:p>
        </w:tc>
        <w:tc>
          <w:tcPr>
            <w:tcW w:w="1215" w:type="dxa"/>
          </w:tcPr>
          <w:p>
            <w:pPr>
              <w:pStyle w:val="TableParagraph"/>
              <w:spacing w:line="240" w:lineRule="auto" w:before="0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0.02</w:t>
            </w:r>
          </w:p>
        </w:tc>
        <w:tc>
          <w:tcPr>
            <w:tcW w:w="1175" w:type="dxa"/>
          </w:tcPr>
          <w:p>
            <w:pPr>
              <w:pStyle w:val="TableParagraph"/>
              <w:spacing w:line="240" w:lineRule="auto" w:before="0"/>
              <w:ind w:left="178" w:right="171"/>
              <w:jc w:val="center"/>
              <w:rPr>
                <w:sz w:val="20"/>
              </w:rPr>
            </w:pPr>
            <w:r>
              <w:rPr>
                <w:sz w:val="20"/>
              </w:rPr>
              <w:t>0.2617</w:t>
            </w:r>
          </w:p>
        </w:tc>
        <w:tc>
          <w:tcPr>
            <w:tcW w:w="1515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207" w:right="206"/>
              <w:jc w:val="center"/>
              <w:rPr>
                <w:sz w:val="20"/>
              </w:rPr>
            </w:pPr>
            <w:r>
              <w:rPr>
                <w:sz w:val="20"/>
              </w:rPr>
              <w:t>41.220</w:t>
            </w:r>
          </w:p>
        </w:tc>
      </w:tr>
    </w:tbl>
    <w:p>
      <w:pPr>
        <w:pStyle w:val="BodyText"/>
      </w:pPr>
      <w:r>
        <w:rPr>
          <w:b/>
        </w:rPr>
        <w:t>Source:</w:t>
      </w:r>
      <w:r>
        <w:rPr>
          <w:b/>
          <w:spacing w:val="-3"/>
        </w:rPr>
        <w:t> </w:t>
      </w:r>
      <w:r>
        <w:rPr/>
        <w:t>Researcher’s</w:t>
      </w:r>
      <w:r>
        <w:rPr>
          <w:spacing w:val="1"/>
        </w:rPr>
        <w:t> </w:t>
      </w:r>
      <w:r>
        <w:rPr/>
        <w:t>compilation</w:t>
      </w:r>
      <w:r>
        <w:rPr>
          <w:spacing w:val="-1"/>
        </w:rPr>
        <w:t> </w:t>
      </w:r>
      <w:r>
        <w:rPr/>
        <w:t>(2020)</w:t>
      </w:r>
      <w:r>
        <w:rPr>
          <w:spacing w:val="-2"/>
        </w:rPr>
        <w:t> </w:t>
      </w:r>
      <w:r>
        <w:rPr/>
        <w:t>using</w:t>
      </w:r>
      <w:r>
        <w:rPr>
          <w:spacing w:val="-2"/>
        </w:rPr>
        <w:t> </w:t>
      </w:r>
      <w:r>
        <w:rPr/>
        <w:t>Eviews</w:t>
      </w:r>
      <w:r>
        <w:rPr>
          <w:spacing w:val="-2"/>
        </w:rPr>
        <w:t> </w:t>
      </w:r>
      <w:r>
        <w:rPr/>
        <w:t>10.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5286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0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4.1 shows the descriptive statistics for the variables and as observed, TAG measured 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tax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paid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pre-tax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value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0.409</w:t>
      </w:r>
      <w:r>
        <w:rPr>
          <w:spacing w:val="-58"/>
        </w:rPr>
        <w:t> </w:t>
      </w:r>
      <w:r>
        <w:rPr/>
        <w:t>with a standard deviation of 0.231. The maximum and minimum values stood at 0.609 and 0</w:t>
      </w:r>
      <w:r>
        <w:rPr>
          <w:spacing w:val="1"/>
        </w:rPr>
        <w:t> </w:t>
      </w:r>
      <w:r>
        <w:rPr/>
        <w:t>respectively. As observed, board size has an average value of approximately 9 which implies</w:t>
      </w:r>
      <w:r>
        <w:rPr>
          <w:spacing w:val="1"/>
        </w:rPr>
        <w:t> </w:t>
      </w:r>
      <w:r>
        <w:rPr/>
        <w:t>that the average board size for the sample is 9 members. There is still a lot of controversy in</w:t>
      </w:r>
      <w:r>
        <w:rPr>
          <w:spacing w:val="1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literature</w:t>
      </w:r>
      <w:r>
        <w:rPr>
          <w:spacing w:val="-4"/>
        </w:rPr>
        <w:t> </w:t>
      </w:r>
      <w:r>
        <w:rPr/>
        <w:t>regarding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individuals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should</w:t>
      </w:r>
      <w:r>
        <w:rPr>
          <w:spacing w:val="-3"/>
        </w:rPr>
        <w:t> </w:t>
      </w:r>
      <w:r>
        <w:rPr/>
        <w:t>make</w:t>
      </w:r>
      <w:r>
        <w:rPr>
          <w:spacing w:val="-5"/>
        </w:rPr>
        <w:t> </w:t>
      </w:r>
      <w:r>
        <w:rPr/>
        <w:t>up</w:t>
      </w:r>
      <w:r>
        <w:rPr>
          <w:spacing w:val="-3"/>
        </w:rPr>
        <w:t> </w:t>
      </w:r>
      <w:r>
        <w:rPr/>
        <w:t>an</w:t>
      </w:r>
      <w:r>
        <w:rPr>
          <w:spacing w:val="-58"/>
        </w:rPr>
        <w:t> </w:t>
      </w:r>
      <w:r>
        <w:rPr/>
        <w:t>ideal board size. The conclusions seem to be that a company should select a board size that is</w:t>
      </w:r>
      <w:r>
        <w:rPr>
          <w:spacing w:val="1"/>
        </w:rPr>
        <w:t> </w:t>
      </w:r>
      <w:r>
        <w:rPr/>
        <w:t>representative of all stakeholder interest. The mean for board gender diversity is 0.0909 which</w:t>
      </w:r>
      <w:r>
        <w:rPr>
          <w:spacing w:val="-57"/>
        </w:rPr>
        <w:t> </w:t>
      </w:r>
      <w:r>
        <w:rPr/>
        <w:t>suggest that on the average about 9% of board members are females. The maximum and</w:t>
      </w:r>
      <w:r>
        <w:rPr>
          <w:spacing w:val="1"/>
        </w:rPr>
        <w:t> </w:t>
      </w:r>
      <w:r>
        <w:rPr/>
        <w:t>minimum values are 44% and 0 respectively. The mean for BDIND stood at 0.658 which is</w:t>
      </w:r>
      <w:r>
        <w:rPr>
          <w:spacing w:val="1"/>
        </w:rPr>
        <w:t> </w:t>
      </w:r>
      <w:r>
        <w:rPr/>
        <w:t>quite commendable with a standard deviation of 0.160. The maximum and minimum values</w:t>
      </w:r>
      <w:r>
        <w:rPr>
          <w:spacing w:val="1"/>
        </w:rPr>
        <w:t> </w:t>
      </w:r>
      <w:r>
        <w:rPr/>
        <w:t>stood</w:t>
      </w:r>
      <w:r>
        <w:rPr>
          <w:spacing w:val="-1"/>
        </w:rPr>
        <w:t> </w:t>
      </w:r>
      <w:r>
        <w:rPr/>
        <w:t>at 0.782 and 0 respectively.</w:t>
      </w:r>
    </w:p>
    <w:p>
      <w:pPr>
        <w:pStyle w:val="BodyText"/>
        <w:spacing w:line="480" w:lineRule="auto" w:before="203"/>
        <w:ind w:right="828"/>
      </w:pPr>
      <w:r>
        <w:rPr/>
        <w:t>The</w:t>
      </w:r>
      <w:r>
        <w:rPr>
          <w:spacing w:val="-10"/>
        </w:rPr>
        <w:t> </w:t>
      </w:r>
      <w:r>
        <w:rPr/>
        <w:t>mean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BDOWN</w:t>
      </w:r>
      <w:r>
        <w:rPr>
          <w:spacing w:val="-9"/>
        </w:rPr>
        <w:t> </w:t>
      </w:r>
      <w:r>
        <w:rPr/>
        <w:t>stood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0.1458</w:t>
      </w:r>
      <w:r>
        <w:rPr>
          <w:spacing w:val="-9"/>
        </w:rPr>
        <w:t> </w:t>
      </w:r>
      <w:r>
        <w:rPr/>
        <w:t>with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standard</w:t>
      </w:r>
      <w:r>
        <w:rPr>
          <w:spacing w:val="-9"/>
        </w:rPr>
        <w:t> </w:t>
      </w:r>
      <w:r>
        <w:rPr/>
        <w:t>deviation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0.2015.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maximum</w:t>
      </w:r>
      <w:r>
        <w:rPr>
          <w:spacing w:val="-8"/>
        </w:rPr>
        <w:t> </w:t>
      </w:r>
      <w:r>
        <w:rPr/>
        <w:t>and</w:t>
      </w:r>
      <w:r>
        <w:rPr>
          <w:spacing w:val="-57"/>
        </w:rPr>
        <w:t> </w:t>
      </w:r>
      <w:r>
        <w:rPr/>
        <w:t>minimum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stood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0.84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0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CEO-Age</w:t>
      </w:r>
      <w:r>
        <w:rPr>
          <w:spacing w:val="1"/>
        </w:rPr>
        <w:t> </w:t>
      </w:r>
      <w:r>
        <w:rPr/>
        <w:t>stood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approximately</w:t>
      </w:r>
      <w:r>
        <w:rPr>
          <w:spacing w:val="-11"/>
        </w:rPr>
        <w:t> </w:t>
      </w:r>
      <w:r>
        <w:rPr/>
        <w:t>49</w:t>
      </w:r>
      <w:r>
        <w:rPr>
          <w:spacing w:val="-10"/>
        </w:rPr>
        <w:t> </w:t>
      </w:r>
      <w:r>
        <w:rPr/>
        <w:t>years</w:t>
      </w:r>
      <w:r>
        <w:rPr>
          <w:spacing w:val="-7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standard</w:t>
      </w:r>
      <w:r>
        <w:rPr>
          <w:spacing w:val="-11"/>
        </w:rPr>
        <w:t> </w:t>
      </w:r>
      <w:r>
        <w:rPr/>
        <w:t>deviation</w:t>
      </w:r>
      <w:r>
        <w:rPr>
          <w:spacing w:val="-7"/>
        </w:rPr>
        <w:t> </w:t>
      </w:r>
      <w:r>
        <w:rPr/>
        <w:t>of</w:t>
      </w:r>
      <w:r>
        <w:rPr>
          <w:spacing w:val="-11"/>
        </w:rPr>
        <w:t> </w:t>
      </w:r>
      <w:r>
        <w:rPr/>
        <w:t>25.65.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maximum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minimum</w:t>
      </w:r>
      <w:r>
        <w:rPr>
          <w:spacing w:val="-11"/>
        </w:rPr>
        <w:t> </w:t>
      </w:r>
      <w:r>
        <w:rPr/>
        <w:t>values</w:t>
      </w:r>
      <w:r>
        <w:rPr>
          <w:spacing w:val="-57"/>
        </w:rPr>
        <w:t> </w:t>
      </w:r>
      <w:r>
        <w:rPr/>
        <w:t>stood at 66 and 43 respectively. The mean for CEOOWN stood at 4.352 with a standard</w:t>
      </w:r>
      <w:r>
        <w:rPr>
          <w:spacing w:val="1"/>
        </w:rPr>
        <w:t> </w:t>
      </w:r>
      <w:r>
        <w:rPr/>
        <w:t>deviation of 10.473. The maximum and minimum values stood at 50.408 and 0 respectively.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mean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CEOT</w:t>
      </w:r>
      <w:r>
        <w:rPr>
          <w:spacing w:val="-3"/>
        </w:rPr>
        <w:t> </w:t>
      </w:r>
      <w:r>
        <w:rPr/>
        <w:t>stood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0.544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suggest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about</w:t>
      </w:r>
      <w:r>
        <w:rPr>
          <w:spacing w:val="-2"/>
        </w:rPr>
        <w:t> </w:t>
      </w:r>
      <w:r>
        <w:rPr/>
        <w:t>54%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CEO’s</w:t>
      </w:r>
      <w:r>
        <w:rPr>
          <w:spacing w:val="1"/>
        </w:rPr>
        <w:t> </w:t>
      </w:r>
      <w:r>
        <w:rPr/>
        <w:t>have</w:t>
      </w:r>
      <w:r>
        <w:rPr>
          <w:spacing w:val="-5"/>
        </w:rPr>
        <w:t> </w:t>
      </w:r>
      <w:r>
        <w:rPr/>
        <w:t>occupied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position for at least 4 years with a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 of 0.498.</w:t>
      </w:r>
    </w:p>
    <w:p>
      <w:pPr>
        <w:pStyle w:val="BodyText"/>
        <w:spacing w:line="480" w:lineRule="auto" w:before="201"/>
        <w:ind w:right="830"/>
      </w:pPr>
      <w:r>
        <w:rPr/>
        <w:t>Looking</w:t>
      </w:r>
      <w:r>
        <w:rPr>
          <w:spacing w:val="-11"/>
        </w:rPr>
        <w:t> </w:t>
      </w:r>
      <w:r>
        <w:rPr/>
        <w:t>at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control</w:t>
      </w:r>
      <w:r>
        <w:rPr>
          <w:spacing w:val="-10"/>
        </w:rPr>
        <w:t> </w:t>
      </w:r>
      <w:r>
        <w:rPr/>
        <w:t>variables,</w:t>
      </w:r>
      <w:r>
        <w:rPr>
          <w:spacing w:val="-9"/>
        </w:rPr>
        <w:t> </w:t>
      </w:r>
      <w:r>
        <w:rPr/>
        <w:t>it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observed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FSIZE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mean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7.0452</w:t>
      </w:r>
      <w:r>
        <w:rPr>
          <w:spacing w:val="-10"/>
        </w:rPr>
        <w:t> </w:t>
      </w:r>
      <w:r>
        <w:rPr/>
        <w:t>with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deviation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0.754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maximum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minimum</w:t>
      </w:r>
      <w:r>
        <w:rPr>
          <w:spacing w:val="-8"/>
        </w:rPr>
        <w:t> </w:t>
      </w:r>
      <w:r>
        <w:rPr/>
        <w:t>values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9.02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5.09</w:t>
      </w:r>
      <w:r>
        <w:rPr>
          <w:spacing w:val="-8"/>
        </w:rPr>
        <w:t> </w:t>
      </w:r>
      <w:r>
        <w:rPr/>
        <w:t>respectively.</w:t>
      </w:r>
      <w:r>
        <w:rPr>
          <w:spacing w:val="-8"/>
        </w:rPr>
        <w:t> </w:t>
      </w:r>
      <w:r>
        <w:rPr/>
        <w:t>LEV</w:t>
      </w:r>
      <w:r>
        <w:rPr>
          <w:spacing w:val="-58"/>
        </w:rPr>
        <w:t> </w:t>
      </w:r>
      <w:r>
        <w:rPr/>
        <w:t>has a mean of 0.551 with a standard deviation of 0.25.558 and with maximum and minimum</w:t>
      </w:r>
      <w:r>
        <w:rPr>
          <w:spacing w:val="1"/>
        </w:rPr>
        <w:t> </w:t>
      </w:r>
      <w:r>
        <w:rPr/>
        <w:t>values of 0.80 and 0.05 respectively. ROA has a mean of 0.4881 with a standard deviation of</w:t>
      </w:r>
      <w:r>
        <w:rPr>
          <w:spacing w:val="1"/>
        </w:rPr>
        <w:t> </w:t>
      </w:r>
      <w:r>
        <w:rPr/>
        <w:t>0.2617</w:t>
      </w:r>
      <w:r>
        <w:rPr>
          <w:spacing w:val="-1"/>
        </w:rPr>
        <w:t> </w:t>
      </w:r>
      <w:r>
        <w:rPr/>
        <w:t>and with maximum and minimum values of</w:t>
      </w:r>
      <w:r>
        <w:rPr>
          <w:spacing w:val="-1"/>
        </w:rPr>
        <w:t> </w:t>
      </w:r>
      <w:r>
        <w:rPr/>
        <w:t>0.766 and 0.02 respectively.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ind w:left="822"/>
      </w:pPr>
      <w:bookmarkStart w:name="_bookmark77" w:id="127"/>
      <w:bookmarkEnd w:id="127"/>
      <w:r>
        <w:rPr>
          <w:b w:val="0"/>
        </w:rPr>
      </w:r>
      <w:r>
        <w:rPr/>
        <w:t>4.2.2:</w:t>
      </w:r>
      <w:r>
        <w:rPr>
          <w:spacing w:val="-3"/>
        </w:rPr>
        <w:t> </w:t>
      </w:r>
      <w:r>
        <w:rPr/>
        <w:t>Pearson</w:t>
      </w:r>
      <w:r>
        <w:rPr>
          <w:spacing w:val="-2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Statistics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2"/>
      </w:pPr>
      <w:r>
        <w:rPr/>
        <w:pict>
          <v:group style="position:absolute;margin-left:113.07pt;margin-top:109.32312pt;width:390.5pt;height:393.9pt;mso-position-horizontal-relative:page;mso-position-vertical-relative:paragraph;z-index:-49262592" coordorigin="2261,2186" coordsize="7810,7878">
            <v:shape style="position:absolute;left:2261;top:8035;width:2154;height:2029" coordorigin="2261,8035" coordsize="2154,2029" path="m3691,9754l3689,9713,3682,9669,3670,9625,3654,9580,3632,9534,3605,9486,3574,9439,3538,9391,3496,9343,3450,9294,2792,8636,2787,8632,2777,8629,2772,8629,2766,8630,2761,8632,2747,8639,2732,8651,2715,8668,2703,8683,2696,8697,2694,8702,2693,8708,2693,8713,2696,8723,2700,8728,3359,9387,3393,9422,3424,9457,3450,9491,3474,9524,3493,9556,3509,9588,3521,9618,3531,9647,3536,9676,3538,9703,3537,9730,3532,9755,3524,9780,3512,9803,3497,9825,3478,9845,3458,9863,3437,9878,3414,9889,3389,9896,3364,9901,3337,9903,3309,9900,3280,9894,3250,9886,3219,9873,3187,9857,3154,9837,3120,9813,3085,9785,3049,9754,3012,9719,2360,9067,2356,9063,2346,9060,2341,9060,2336,9060,2330,9062,2316,9070,2301,9082,2284,9099,2272,9114,2265,9128,2263,9133,2261,9140,2262,9144,2265,9154,2269,9159,2938,9828,2987,9874,3035,9916,3083,9952,3130,9983,3176,10010,3221,10030,3265,10046,3307,10056,3348,10063,3388,10064,3427,10060,3464,10052,3500,10039,3533,10021,3565,9999,3594,9973,3623,9941,3647,9907,3666,9871,3679,9833,3687,9795,3691,9754xm4415,8978l4408,8924,4394,8868,4374,8812,4347,8753,4315,8694,4276,8632,4257,8606,4257,8956,4256,8994,4250,9032,4236,9067,4216,9100,4189,9131,4158,9158,4125,9179,4091,9193,4056,9200,4019,9202,3981,9199,3942,9190,3901,9175,3860,9157,3818,9133,3775,9105,3731,9073,3686,9036,3640,8997,3594,8955,3547,8909,3505,8866,3466,8823,3430,8779,3395,8735,3363,8692,3337,8649,3315,8606,3296,8564,3282,8523,3273,8483,3269,8443,3269,8405,3275,8368,3288,8333,3308,8301,3335,8269,3366,8243,3398,8222,3432,8208,3468,8201,3505,8199,3544,8203,3583,8211,3623,8225,3665,8244,3707,8267,3750,8294,3794,8326,3838,8362,3883,8400,3928,8442,3974,8486,4016,8529,4055,8573,4093,8617,4128,8661,4159,8705,4187,8749,4210,8792,4228,8834,4243,8875,4253,8916,4257,8956,4257,8606,4231,8570,4180,8507,4124,8443,4061,8378,3997,8316,3934,8260,3872,8210,3859,8199,3812,8165,3753,8127,3696,8096,3641,8071,3587,8053,3535,8041,3485,8035,3436,8037,3388,8044,3343,8058,3300,8079,3259,8107,3219,8142,3183,8183,3155,8226,3133,8272,3119,8320,3113,8370,3113,8422,3119,8476,3132,8531,3152,8588,3178,8646,3210,8706,3249,8766,3293,8828,3343,8891,3399,8953,3459,9016,3525,9080,3589,9137,3651,9188,3712,9233,3771,9271,3829,9303,3884,9329,3938,9347,3990,9360,4040,9366,4089,9364,4137,9357,4183,9344,4227,9323,4268,9294,4308,9259,4344,9218,4355,9202,4373,9174,4394,9129,4407,9080,4414,9030,4415,8978xe" filled="true" fillcolor="#c0c0c0" stroked="false">
              <v:path arrowok="t"/>
              <v:fill opacity="32896f" type="solid"/>
            </v:shape>
            <v:shape style="position:absolute;left:4237;top:8111;width:352;height:351" type="#_x0000_t75" stroked="false">
              <v:imagedata r:id="rId11" o:title=""/>
            </v:shape>
            <v:shape style="position:absolute;left:4030;top:2186;width:6040;height:6248" coordorigin="4031,2186" coordsize="6040,6248" path="m5174,8354l5173,8349,5170,8339,5166,8335,5162,8330,4130,7298,4125,7294,4115,7291,4110,7291,4104,7292,4099,7294,4093,7297,4085,7301,4070,7313,4053,7330,4042,7344,4034,7358,4032,7364,4031,7370,4031,7375,4034,7385,4037,7390,5074,8427,5079,8430,5088,8434,5093,8434,5099,8432,5105,8431,5119,8423,5134,8412,5151,8394,5163,8379,5170,8365,5171,8359,5174,8354xm5450,8072l5448,8067,5446,8063,5443,8058,5053,7668,5132,7589,5161,7557,5165,7551,5186,7523,5204,7489,5218,7453,5226,7418,5230,7382,5230,7343,5226,7305,5216,7266,5203,7226,5186,7186,5164,7146,5138,7105,5109,7065,5078,7028,5078,7337,5076,7360,5072,7382,5065,7404,5053,7426,5038,7447,5019,7468,4936,7551,4506,7122,4592,7036,4604,7025,4617,7014,4631,7003,4646,6993,4663,6985,4681,6979,4700,6975,4722,6972,4745,6973,4770,6978,4797,6987,4826,6999,4856,7015,4887,7036,4919,7062,4951,7092,4974,7117,4995,7141,5013,7166,5030,7191,5045,7216,5056,7241,5065,7266,5072,7289,5076,7313,5078,7337,5078,7028,5075,7024,5037,6984,5025,6972,5006,6955,4976,6929,4945,6905,4915,6884,4885,6866,4855,6851,4825,6838,4796,6827,4767,6820,4738,6815,4709,6812,4682,6812,4655,6815,4631,6819,4609,6826,4589,6834,4571,6844,4555,6853,4540,6862,4527,6870,4516,6880,4504,6890,4493,6900,4482,6911,4333,7060,4327,7067,4323,7077,4322,7087,4322,7099,4325,7112,4332,7126,4343,7141,4358,7157,5351,8150,5355,8154,5360,8155,5365,8157,5370,8157,5375,8155,5381,8154,5395,8147,5402,8142,5410,8135,5419,8126,5428,8117,5435,8109,5440,8102,5444,8095,5447,8089,5448,8082,5450,8078,5450,8072xm6146,7381l6146,7376,6143,7366,6139,7362,5206,6428,5404,6231,5406,6227,5406,6222,5404,6212,5399,6200,5393,6192,5371,6166,5360,6155,5349,6145,5323,6121,5315,6116,5302,6109,5296,6108,5292,6108,5286,6108,5283,6110,4795,6598,4793,6601,4794,6606,4793,6611,4795,6616,4802,6629,4807,6637,4814,6645,4821,6654,4830,6664,4852,6685,4861,6694,4870,6700,4878,6707,4886,6713,4898,6718,4903,6720,4908,6720,4913,6720,4916,6718,5114,6521,6047,7454,6052,7457,6061,7461,6066,7461,6072,7459,6078,7458,6092,7450,6107,7439,6125,7421,6136,7406,6143,7392,6144,7386,6146,7381xm6681,6846l6681,6841,6678,6831,6674,6827,5741,5893,5939,5696,5941,5692,5941,5687,5941,5682,5940,5677,5936,5670,5934,5665,5928,5657,5906,5631,5895,5620,5884,5610,5858,5586,5850,5581,5837,5574,5831,5573,5827,5573,5821,5573,5818,5575,5330,6063,5328,6066,5329,6071,5328,6076,5330,6081,5337,6094,5342,6102,5349,6110,5357,6119,5365,6129,5387,6150,5396,6159,5405,6165,5413,6172,5421,6178,5433,6183,5438,6185,5443,6185,5448,6185,5451,6183,5649,5986,6582,6919,6587,6922,6597,6926,6601,6926,6607,6924,6613,6923,6627,6915,6634,6910,6642,6904,6660,6886,6671,6871,6678,6857,6679,6851,6681,6846xm7391,6001l7385,5947,7371,5892,7351,5835,7324,5776,7292,5717,7253,5655,7234,5629,7234,5979,7233,6018,7227,6055,7213,6090,7193,6123,7166,6154,7135,6182,7102,6202,7068,6216,7033,6223,6996,6225,6958,6222,6919,6213,6878,6199,6837,6180,6795,6156,6752,6129,6708,6096,6663,6060,6617,6020,6571,5978,6524,5932,6482,5889,6443,5846,6406,5802,6371,5758,6340,5715,6314,5672,6291,5629,6273,5587,6259,5546,6250,5506,6245,5467,6246,5428,6252,5391,6265,5357,6285,5324,6312,5293,6343,5266,6375,5245,6409,5231,6445,5224,6482,5223,6521,5226,6560,5234,6600,5248,6641,5267,6684,5290,6727,5318,6771,5349,6815,5385,6860,5423,6905,5465,6951,5509,6993,5552,7032,5596,7069,5640,7104,5684,7136,5728,7163,5772,7186,5815,7205,5857,7220,5898,7229,5939,7234,5979,7234,5629,7208,5593,7157,5530,7100,5466,7038,5401,6974,5339,6911,5283,6849,5233,6835,5223,6789,5188,6730,5151,6673,5119,6618,5094,6564,5076,6512,5064,6461,5059,6413,5060,6365,5067,6320,5081,6277,5102,6235,5130,6196,5165,6160,5206,6131,5249,6110,5295,6096,5343,6090,5393,6090,5445,6096,5499,6109,5554,6129,5611,6155,5669,6187,5729,6226,5790,6270,5851,6320,5914,6375,5976,6436,6040,6502,6103,6566,6160,6628,6211,6689,6256,6748,6294,6806,6326,6861,6352,6915,6370,6967,6383,7017,6389,7066,6388,7114,6380,7160,6367,7204,6346,7245,6317,7285,6282,7321,6241,7331,6225,7350,6197,7371,6152,7384,6103,7391,6053,7391,6001xm8349,5069l8349,5041,8348,5030,8347,5022,8344,5012,8342,5006,8337,4994,8334,4989,8330,4983,8321,4971,8308,4957,8292,4941,8274,4924,8251,4902,8243,4897,8232,4890,8227,4888,8220,4888,8217,4889,8209,4897,8206,4910,8208,4930,8209,4945,8209,4962,8209,4981,8208,5000,8206,5021,8202,5043,8197,5065,8190,5089,8181,5112,8169,5134,8153,5156,8134,5177,8108,5199,8080,5217,8050,5230,8018,5237,7985,5241,7949,5240,7912,5234,7873,5223,7833,5208,7791,5188,7747,5163,7702,5133,7655,5099,7607,5060,7558,5016,7508,4968,7459,4917,7414,4867,7375,4818,7340,4770,7310,4724,7284,4679,7263,4636,7246,4594,7234,4554,7227,4515,7224,4479,7227,4444,7233,4413,7245,4383,7262,4356,7283,4332,7305,4312,7326,4296,7349,4283,7372,4274,7395,4268,7417,4263,7439,4260,7459,4258,7479,4258,7514,4258,7529,4259,7549,4261,7562,4260,7569,4252,7570,4248,7570,4243,7568,4234,7560,4220,7548,4204,7529,4183,7503,4157,7487,4143,7480,4138,7474,4133,7468,4129,7462,4126,7451,4121,7442,4118,7430,4115,7420,4114,7407,4113,7376,4113,7358,4115,7339,4117,7321,4121,7302,4125,7283,4131,7264,4138,7246,4147,7227,4156,7209,4166,7192,4178,7176,4191,7161,4206,7129,4242,7105,4280,7086,4322,7075,4368,7069,4416,7069,4467,7075,4519,7088,4574,7108,4632,7134,4691,7165,4752,7203,4814,7248,4877,7298,4942,7355,5008,7419,5074,7483,5136,7546,5191,7608,5240,7669,5282,7728,5319,7786,5349,7842,5373,7896,5391,7948,5404,7998,5409,8045,5408,8091,5401,8134,5389,8175,5370,8213,5345,8248,5314,8266,5295,8283,5274,8297,5253,8309,5231,8319,5209,8327,5187,8334,5166,8340,5145,8343,5125,8347,5105,8348,5087,8349,5069xm8952,4440l8945,4386,8932,4331,8911,4274,8885,4216,8852,4156,8813,4095,8794,4069,8794,4418,8794,4457,8787,4494,8774,4529,8754,4562,8727,4594,8695,4621,8663,4642,8629,4656,8593,4663,8556,4665,8518,4661,8479,4653,8439,4638,8398,4619,8356,4596,8312,4568,8268,4535,8223,4499,8177,4460,8131,4417,8084,4372,8043,4329,8004,4286,7967,4242,7932,4198,7901,4154,7874,4111,7852,4069,7833,4026,7819,3985,7810,3945,7806,3906,7807,3868,7813,3831,7826,3796,7846,3763,7873,3732,7903,3705,7936,3685,7970,3671,8006,3664,8043,3662,8081,3665,8120,3674,8161,3688,8202,3707,8244,3730,8287,3757,8331,3789,8376,3824,8421,3863,8466,3904,8511,3948,8553,3992,8593,4035,8630,4079,8665,4123,8697,4168,8724,4211,8747,4254,8766,4296,8781,4338,8790,4379,8794,4418,8794,4069,8768,4032,8717,3969,8661,3905,8599,3841,8534,3779,8471,3722,8410,3672,8396,3662,8350,3628,8291,3590,8234,3559,8178,3534,8124,3515,8072,3503,8022,3498,7973,3499,7926,3507,7880,3520,7837,3542,7796,3570,7757,3604,7721,3646,7692,3689,7671,3734,7657,3782,7650,3833,7650,3885,7656,3938,7670,3993,7690,4050,7716,4109,7748,4168,7786,4229,7831,4291,7881,4353,7936,4416,7997,4479,8062,4542,8126,4599,8188,4650,8249,4695,8308,4734,8366,4766,8422,4791,8476,4810,8527,4823,8578,4828,8627,4827,8674,4820,8720,4806,8764,4785,8806,4757,8846,4721,8882,4680,8892,4665,8910,4637,8931,4591,8945,4543,8952,4493,8952,4440xm9374,4148l9373,4143,9371,4138,9367,4133,8977,3743,9056,3665,9086,3632,9090,3627,9110,3598,9129,3564,9142,3529,9151,3493,9155,3457,9155,3419,9150,3380,9141,3341,9128,3302,9111,3262,9089,3221,9063,3181,9033,3140,9002,3103,9002,3412,9001,3435,8997,3457,8989,3479,8978,3501,8963,3522,8944,3543,8861,3627,8431,3197,8517,3112,8528,3100,8542,3089,8556,3078,8571,3069,8587,3060,8605,3054,8625,3050,8646,3048,8670,3049,8695,3053,8722,3062,8751,3074,8781,3091,8812,3112,8843,3137,8876,3168,8899,3192,8919,3216,8938,3241,8955,3266,8969,3291,8981,3316,8990,3341,8997,3365,9001,3389,9002,3412,9002,3103,8999,3100,8961,3059,8949,3048,8931,3030,8900,3004,8870,2980,8840,2959,8809,2941,8779,2926,8750,2913,8720,2903,8691,2895,8662,2890,8634,2888,8606,2887,8580,2890,8555,2895,8533,2901,8513,2909,8496,2919,8479,2928,8465,2937,8452,2946,8441,2955,8429,2965,8418,2976,8406,2987,8258,3135,8252,3143,8248,3152,8246,3163,8247,3174,8250,3187,8257,3201,8268,3217,8282,3233,9275,4225,9280,4229,9285,4231,9290,4233,9294,4233,9300,4231,9306,4230,9312,4226,9320,4222,9335,4211,9353,4193,9360,4184,9365,4178,9369,4170,9371,4164,9373,4158,9374,4153,9374,4148xm10071,3457l10070,3452,10067,3442,10063,3437,9664,3038,9590,2893,9368,2456,9256,2238,9250,2226,9239,2208,9235,2201,9228,2193,9222,2189,9208,2186,9200,2189,9191,2195,9185,2200,9169,2215,9150,2233,9133,2255,9129,2261,9128,2266,9127,2273,9127,2278,9129,2284,9131,2290,9134,2296,9138,2302,9174,2370,9351,2709,9401,2797,9468,2917,9486,2947,9485,2948,9242,2813,9175,2777,8838,2601,8831,2596,8825,2595,8819,2592,8814,2591,8802,2593,8796,2595,8789,2599,8782,2604,8765,2618,8742,2641,8734,2651,8722,2666,8719,2673,8722,2687,8726,2693,8741,2705,8750,2710,8771,2722,8917,2797,9354,3019,9572,3130,9971,3530,9976,3533,9981,3535,9985,3537,9990,3537,9996,3535,10002,3534,10016,3526,10030,3515,10048,3497,10060,3482,10067,3468,10069,3462,10071,3457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The correlation results provide some preliminary insight into the nature and direction of 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-14"/>
        </w:rPr>
        <w:t> </w:t>
      </w:r>
      <w:r>
        <w:rPr/>
        <w:t>does</w:t>
      </w:r>
      <w:r>
        <w:rPr>
          <w:spacing w:val="-14"/>
        </w:rPr>
        <w:t> </w:t>
      </w:r>
      <w:r>
        <w:rPr/>
        <w:t>not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itself</w:t>
      </w:r>
      <w:r>
        <w:rPr>
          <w:spacing w:val="-14"/>
        </w:rPr>
        <w:t> </w:t>
      </w:r>
      <w:r>
        <w:rPr/>
        <w:t>imply</w:t>
      </w:r>
      <w:r>
        <w:rPr>
          <w:spacing w:val="-14"/>
        </w:rPr>
        <w:t> </w:t>
      </w:r>
      <w:r>
        <w:rPr/>
        <w:t>functional</w:t>
      </w:r>
      <w:r>
        <w:rPr>
          <w:spacing w:val="-13"/>
        </w:rPr>
        <w:t> </w:t>
      </w:r>
      <w:r>
        <w:rPr/>
        <w:t>dependence</w:t>
      </w:r>
      <w:r>
        <w:rPr>
          <w:spacing w:val="-15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variables,</w:t>
      </w:r>
      <w:r>
        <w:rPr>
          <w:spacing w:val="-15"/>
        </w:rPr>
        <w:t> </w:t>
      </w:r>
      <w:r>
        <w:rPr/>
        <w:t>it</w:t>
      </w:r>
      <w:r>
        <w:rPr>
          <w:spacing w:val="-13"/>
        </w:rPr>
        <w:t> </w:t>
      </w:r>
      <w:r>
        <w:rPr/>
        <w:t>nevertheless,</w:t>
      </w:r>
      <w:r>
        <w:rPr>
          <w:spacing w:val="-58"/>
        </w:rPr>
        <w:t> </w:t>
      </w:r>
      <w:r>
        <w:rPr/>
        <w:t>is a good starting point to examine the degree and direction of relationship between the</w:t>
      </w:r>
      <w:r>
        <w:rPr>
          <w:spacing w:val="1"/>
        </w:rPr>
        <w:t> </w:t>
      </w:r>
      <w:r>
        <w:rPr/>
        <w:t>variables.</w:t>
      </w:r>
      <w:r>
        <w:rPr>
          <w:spacing w:val="-1"/>
        </w:rPr>
        <w:t> </w:t>
      </w:r>
      <w:r>
        <w:rPr/>
        <w:t>The results 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interpreted</w:t>
      </w:r>
      <w:r>
        <w:rPr>
          <w:spacing w:val="2"/>
        </w:rPr>
        <w:t> </w:t>
      </w:r>
      <w:r>
        <w:rPr/>
        <w:t>below;</w:t>
      </w:r>
    </w:p>
    <w:p>
      <w:pPr>
        <w:spacing w:before="200"/>
        <w:ind w:left="822" w:right="0" w:firstLine="0"/>
        <w:jc w:val="both"/>
        <w:rPr>
          <w:sz w:val="24"/>
        </w:rPr>
      </w:pPr>
      <w:bookmarkStart w:name="_bookmark78" w:id="128"/>
      <w:bookmarkEnd w:id="128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4.2:</w:t>
      </w:r>
      <w:r>
        <w:rPr>
          <w:b/>
          <w:spacing w:val="-2"/>
          <w:sz w:val="24"/>
        </w:rPr>
        <w:t> </w:t>
      </w:r>
      <w:r>
        <w:rPr>
          <w:sz w:val="24"/>
        </w:rPr>
        <w:t>Pearson</w:t>
      </w:r>
      <w:r>
        <w:rPr>
          <w:spacing w:val="-1"/>
          <w:sz w:val="24"/>
        </w:rPr>
        <w:t> </w:t>
      </w:r>
      <w:r>
        <w:rPr>
          <w:sz w:val="24"/>
        </w:rPr>
        <w:t>Correlation Result</w:t>
      </w:r>
    </w:p>
    <w:tbl>
      <w:tblPr>
        <w:tblW w:w="0" w:type="auto"/>
        <w:jc w:val="left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783"/>
        <w:gridCol w:w="829"/>
        <w:gridCol w:w="845"/>
        <w:gridCol w:w="694"/>
        <w:gridCol w:w="754"/>
        <w:gridCol w:w="938"/>
        <w:gridCol w:w="1102"/>
        <w:gridCol w:w="756"/>
        <w:gridCol w:w="833"/>
        <w:gridCol w:w="667"/>
        <w:gridCol w:w="639"/>
      </w:tblGrid>
      <w:tr>
        <w:trPr>
          <w:trHeight w:val="438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2"/>
              <w:ind w:left="127" w:right="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Probability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2"/>
              <w:ind w:left="215" w:right="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TAG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2"/>
              <w:ind w:left="50" w:right="4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BDIND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2"/>
              <w:ind w:left="66" w:right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BDOWN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2"/>
              <w:ind w:left="7" w:right="0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BDS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2"/>
              <w:ind w:left="27" w:right="25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BGD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2"/>
              <w:ind w:left="62" w:right="2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CEOAGE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2"/>
              <w:ind w:left="84" w:right="8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CEOOWN</w:t>
            </w:r>
          </w:p>
        </w:tc>
        <w:tc>
          <w:tcPr>
            <w:tcW w:w="756" w:type="dxa"/>
          </w:tcPr>
          <w:p>
            <w:pPr>
              <w:pStyle w:val="TableParagraph"/>
              <w:spacing w:line="220" w:lineRule="atLeast" w:before="0"/>
              <w:ind w:left="312" w:right="115" w:hanging="176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CEO-</w:t>
            </w:r>
            <w:r>
              <w:rPr>
                <w:b/>
                <w:spacing w:val="-46"/>
                <w:sz w:val="19"/>
              </w:rPr>
              <w:t> </w:t>
            </w:r>
            <w:r>
              <w:rPr>
                <w:b/>
                <w:sz w:val="19"/>
              </w:rPr>
              <w:t>T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2"/>
              <w:ind w:right="132"/>
              <w:rPr>
                <w:b/>
                <w:sz w:val="19"/>
              </w:rPr>
            </w:pPr>
            <w:r>
              <w:rPr>
                <w:b/>
                <w:sz w:val="19"/>
              </w:rPr>
              <w:t>FSIZE</w:t>
            </w: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2"/>
              <w:ind w:left="83" w:right="79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LEV</w:t>
            </w: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2"/>
              <w:ind w:right="105"/>
              <w:rPr>
                <w:b/>
                <w:sz w:val="19"/>
              </w:rPr>
            </w:pPr>
            <w:r>
              <w:rPr>
                <w:b/>
                <w:sz w:val="19"/>
              </w:rPr>
              <w:t>ROA</w:t>
            </w:r>
          </w:p>
        </w:tc>
      </w:tr>
      <w:tr>
        <w:trPr>
          <w:trHeight w:val="298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17" w:lineRule="exact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TAG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BDIND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28" w:right="0"/>
              <w:jc w:val="left"/>
              <w:rPr>
                <w:sz w:val="19"/>
              </w:rPr>
            </w:pPr>
            <w:r>
              <w:rPr>
                <w:sz w:val="19"/>
              </w:rPr>
              <w:t>-0.0564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66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0.1309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68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BDOWN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0.0230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-0.0453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7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301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2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2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0.5376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2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0.2247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BDS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28" w:right="0"/>
              <w:jc w:val="left"/>
              <w:rPr>
                <w:sz w:val="19"/>
              </w:rPr>
            </w:pPr>
            <w:r>
              <w:rPr>
                <w:sz w:val="19"/>
              </w:rPr>
              <w:t>-0.0727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5"/>
              <w:jc w:val="center"/>
              <w:rPr>
                <w:sz w:val="19"/>
              </w:rPr>
            </w:pPr>
            <w:r>
              <w:rPr>
                <w:sz w:val="19"/>
              </w:rPr>
              <w:t>0.1405*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-0.1702*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0.0515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BGD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28" w:right="0"/>
              <w:jc w:val="left"/>
              <w:rPr>
                <w:sz w:val="19"/>
              </w:rPr>
            </w:pPr>
            <w:r>
              <w:rPr>
                <w:sz w:val="19"/>
              </w:rPr>
              <w:t>-0.0218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-0.0233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0.0511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0.076*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67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1150" w:type="dxa"/>
            <w:tcBorders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left="253" w:right="0"/>
              <w:jc w:val="left"/>
              <w:rPr>
                <w:sz w:val="19"/>
              </w:rPr>
            </w:pPr>
            <w:r>
              <w:rPr>
                <w:sz w:val="19"/>
              </w:rPr>
              <w:t>0.56</w:t>
            </w:r>
          </w:p>
        </w:tc>
        <w:tc>
          <w:tcPr>
            <w:tcW w:w="8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0.5321</w:t>
            </w:r>
          </w:p>
        </w:tc>
        <w:tc>
          <w:tcPr>
            <w:tcW w:w="8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0.171</w:t>
            </w:r>
          </w:p>
        </w:tc>
        <w:tc>
          <w:tcPr>
            <w:tcW w:w="69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left="71" w:right="0"/>
              <w:jc w:val="center"/>
              <w:rPr>
                <w:sz w:val="19"/>
              </w:rPr>
            </w:pPr>
            <w:r>
              <w:rPr>
                <w:sz w:val="19"/>
              </w:rPr>
              <w:t>0.041</w:t>
            </w:r>
          </w:p>
        </w:tc>
        <w:tc>
          <w:tcPr>
            <w:tcW w:w="7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3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1150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spacing w:line="216" w:lineRule="exact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CEOAGE</w:t>
            </w:r>
          </w:p>
        </w:tc>
        <w:tc>
          <w:tcPr>
            <w:tcW w:w="78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6" w:lineRule="exact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0.086*</w:t>
            </w:r>
          </w:p>
        </w:tc>
        <w:tc>
          <w:tcPr>
            <w:tcW w:w="8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6" w:lineRule="exact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-0.0413</w:t>
            </w:r>
          </w:p>
        </w:tc>
        <w:tc>
          <w:tcPr>
            <w:tcW w:w="8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6" w:lineRule="exact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-0.2117*</w:t>
            </w:r>
          </w:p>
        </w:tc>
        <w:tc>
          <w:tcPr>
            <w:tcW w:w="69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6" w:lineRule="exact" w:before="0"/>
              <w:ind w:left="71" w:right="0"/>
              <w:jc w:val="center"/>
              <w:rPr>
                <w:sz w:val="19"/>
              </w:rPr>
            </w:pPr>
            <w:r>
              <w:rPr>
                <w:sz w:val="19"/>
              </w:rPr>
              <w:t>0.086*</w:t>
            </w:r>
          </w:p>
        </w:tc>
        <w:tc>
          <w:tcPr>
            <w:tcW w:w="7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6" w:lineRule="exact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-0.0072</w:t>
            </w:r>
          </w:p>
        </w:tc>
        <w:tc>
          <w:tcPr>
            <w:tcW w:w="93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6" w:lineRule="exact" w:before="0"/>
              <w:ind w:left="64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11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301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2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2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0.0203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2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0.2678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2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2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0.0206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2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0.8477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CEOOWN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0.0632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-0.0037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-0.0184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0.0629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0.084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8" w:right="2"/>
              <w:jc w:val="center"/>
              <w:rPr>
                <w:sz w:val="19"/>
              </w:rPr>
            </w:pPr>
            <w:r>
              <w:rPr>
                <w:sz w:val="19"/>
              </w:rPr>
              <w:t>-0.0732*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0.0905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0.9197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0.6221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0.0921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0.0245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8" w:right="2"/>
              <w:jc w:val="center"/>
              <w:rPr>
                <w:sz w:val="19"/>
              </w:rPr>
            </w:pPr>
            <w:r>
              <w:rPr>
                <w:sz w:val="19"/>
              </w:rPr>
              <w:t>0.0496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CEO-T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28" w:right="0"/>
              <w:jc w:val="left"/>
              <w:rPr>
                <w:sz w:val="19"/>
              </w:rPr>
            </w:pPr>
            <w:r>
              <w:rPr>
                <w:sz w:val="19"/>
              </w:rPr>
              <w:t>-0.132*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-0.0222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-0.0833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1" w:right="0"/>
              <w:jc w:val="center"/>
              <w:rPr>
                <w:sz w:val="19"/>
              </w:rPr>
            </w:pPr>
            <w:r>
              <w:rPr>
                <w:sz w:val="19"/>
              </w:rPr>
              <w:t>0.020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0.0519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8" w:right="2"/>
              <w:jc w:val="center"/>
              <w:rPr>
                <w:sz w:val="19"/>
              </w:rPr>
            </w:pPr>
            <w:r>
              <w:rPr>
                <w:sz w:val="19"/>
              </w:rPr>
              <w:t>0.080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left="84" w:right="16"/>
              <w:jc w:val="center"/>
              <w:rPr>
                <w:sz w:val="19"/>
              </w:rPr>
            </w:pPr>
            <w:r>
              <w:rPr>
                <w:sz w:val="19"/>
              </w:rPr>
              <w:t>0.02807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left="65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208" w:right="0"/>
              <w:jc w:val="left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0.5516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0.026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0.5843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0.1645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8" w:right="2"/>
              <w:jc w:val="center"/>
              <w:rPr>
                <w:sz w:val="19"/>
              </w:rPr>
            </w:pPr>
            <w:r>
              <w:rPr>
                <w:sz w:val="19"/>
              </w:rPr>
              <w:t>0.0313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left="84" w:right="14"/>
              <w:jc w:val="center"/>
              <w:rPr>
                <w:sz w:val="19"/>
              </w:rPr>
            </w:pPr>
            <w:r>
              <w:rPr>
                <w:sz w:val="19"/>
              </w:rPr>
              <w:t>0.4523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FSIZE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0.096*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-0.0584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-0.1833*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1" w:right="0"/>
              <w:jc w:val="center"/>
              <w:rPr>
                <w:sz w:val="19"/>
              </w:rPr>
            </w:pPr>
            <w:r>
              <w:rPr>
                <w:sz w:val="19"/>
              </w:rPr>
              <w:t>0.445*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0.1295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8" w:right="2"/>
              <w:jc w:val="center"/>
              <w:rPr>
                <w:sz w:val="19"/>
              </w:rPr>
            </w:pPr>
            <w:r>
              <w:rPr>
                <w:sz w:val="19"/>
              </w:rPr>
              <w:t>0.069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left="84" w:right="13"/>
              <w:jc w:val="center"/>
              <w:rPr>
                <w:sz w:val="19"/>
              </w:rPr>
            </w:pPr>
            <w:r>
              <w:rPr>
                <w:sz w:val="19"/>
              </w:rPr>
              <w:t>0.070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left="93" w:right="27"/>
              <w:jc w:val="center"/>
              <w:rPr>
                <w:sz w:val="19"/>
              </w:rPr>
            </w:pPr>
            <w:r>
              <w:rPr>
                <w:sz w:val="19"/>
              </w:rPr>
              <w:t>0.0653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left="2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301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2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2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0.0104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2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0.1176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2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2"/>
              <w:ind w:left="71" w:right="0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2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2"/>
              <w:ind w:left="68" w:right="2"/>
              <w:jc w:val="center"/>
              <w:rPr>
                <w:sz w:val="19"/>
              </w:rPr>
            </w:pPr>
            <w:r>
              <w:rPr>
                <w:sz w:val="19"/>
              </w:rPr>
              <w:t>0.064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2"/>
              <w:ind w:left="84" w:right="14"/>
              <w:jc w:val="center"/>
              <w:rPr>
                <w:sz w:val="19"/>
              </w:rPr>
            </w:pPr>
            <w:r>
              <w:rPr>
                <w:sz w:val="19"/>
              </w:rPr>
              <w:t>0.0605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2"/>
              <w:ind w:left="93" w:right="27"/>
              <w:jc w:val="center"/>
              <w:rPr>
                <w:sz w:val="19"/>
              </w:rPr>
            </w:pPr>
            <w:r>
              <w:rPr>
                <w:sz w:val="19"/>
              </w:rPr>
              <w:t>0.0802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LEV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0.0548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6"/>
              <w:jc w:val="center"/>
              <w:rPr>
                <w:sz w:val="19"/>
              </w:rPr>
            </w:pPr>
            <w:r>
              <w:rPr>
                <w:sz w:val="19"/>
              </w:rPr>
              <w:t>-0.009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0.099*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-0.094*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0" w:right="25"/>
              <w:jc w:val="center"/>
              <w:rPr>
                <w:sz w:val="19"/>
              </w:rPr>
            </w:pPr>
            <w:r>
              <w:rPr>
                <w:sz w:val="19"/>
              </w:rPr>
              <w:t>-0.013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5" w:right="2"/>
              <w:jc w:val="center"/>
              <w:rPr>
                <w:sz w:val="19"/>
              </w:rPr>
            </w:pPr>
            <w:r>
              <w:rPr>
                <w:sz w:val="19"/>
              </w:rPr>
              <w:t>-0.017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left="84" w:right="13"/>
              <w:jc w:val="center"/>
              <w:rPr>
                <w:sz w:val="19"/>
              </w:rPr>
            </w:pPr>
            <w:r>
              <w:rPr>
                <w:sz w:val="19"/>
              </w:rPr>
              <w:t>-0.1462*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left="93" w:right="27"/>
              <w:jc w:val="center"/>
              <w:rPr>
                <w:sz w:val="19"/>
              </w:rPr>
            </w:pPr>
            <w:r>
              <w:rPr>
                <w:sz w:val="19"/>
              </w:rPr>
              <w:t>-0.0178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160"/>
              <w:rPr>
                <w:sz w:val="19"/>
              </w:rPr>
            </w:pPr>
            <w:r>
              <w:rPr>
                <w:sz w:val="19"/>
              </w:rPr>
              <w:t>-0.062</w:t>
            </w: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left="5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0.1423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0.792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0.0078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1" w:right="0"/>
              <w:jc w:val="center"/>
              <w:rPr>
                <w:sz w:val="19"/>
              </w:rPr>
            </w:pPr>
            <w:r>
              <w:rPr>
                <w:sz w:val="19"/>
              </w:rPr>
              <w:t>0.012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0.738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8" w:right="2"/>
              <w:jc w:val="center"/>
              <w:rPr>
                <w:sz w:val="19"/>
              </w:rPr>
            </w:pPr>
            <w:r>
              <w:rPr>
                <w:sz w:val="19"/>
              </w:rPr>
              <w:t>0.657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left="84" w:right="14"/>
              <w:jc w:val="center"/>
              <w:rPr>
                <w:sz w:val="19"/>
              </w:rPr>
            </w:pPr>
            <w:r>
              <w:rPr>
                <w:sz w:val="19"/>
              </w:rPr>
              <w:t>0.0001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left="93" w:right="26"/>
              <w:jc w:val="center"/>
              <w:rPr>
                <w:sz w:val="19"/>
              </w:rPr>
            </w:pPr>
            <w:r>
              <w:rPr>
                <w:sz w:val="19"/>
              </w:rPr>
              <w:t>0.633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145"/>
              <w:rPr>
                <w:sz w:val="19"/>
              </w:rPr>
            </w:pPr>
            <w:r>
              <w:rPr>
                <w:sz w:val="19"/>
              </w:rPr>
              <w:t>0.0944</w:t>
            </w: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300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ROA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19"/>
              </w:rPr>
            </w:pPr>
            <w:r>
              <w:rPr>
                <w:sz w:val="19"/>
              </w:rPr>
              <w:t>0.129*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5"/>
              <w:jc w:val="center"/>
              <w:rPr>
                <w:sz w:val="19"/>
              </w:rPr>
            </w:pPr>
            <w:r>
              <w:rPr>
                <w:sz w:val="19"/>
              </w:rPr>
              <w:t>0.1643*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-0.2302*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1" w:right="0"/>
              <w:jc w:val="center"/>
              <w:rPr>
                <w:sz w:val="19"/>
              </w:rPr>
            </w:pPr>
            <w:r>
              <w:rPr>
                <w:sz w:val="19"/>
              </w:rPr>
              <w:t>0.032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-0.0917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9" w:right="2"/>
              <w:jc w:val="center"/>
              <w:rPr>
                <w:sz w:val="19"/>
              </w:rPr>
            </w:pPr>
            <w:r>
              <w:rPr>
                <w:sz w:val="19"/>
              </w:rPr>
              <w:t>0.155*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left="84" w:right="13"/>
              <w:jc w:val="center"/>
              <w:rPr>
                <w:sz w:val="19"/>
              </w:rPr>
            </w:pPr>
            <w:r>
              <w:rPr>
                <w:sz w:val="19"/>
              </w:rPr>
              <w:t>-0.0549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left="93" w:right="26"/>
              <w:jc w:val="center"/>
              <w:rPr>
                <w:sz w:val="19"/>
              </w:rPr>
            </w:pPr>
            <w:r>
              <w:rPr>
                <w:sz w:val="19"/>
              </w:rPr>
              <w:t>0.048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96"/>
              <w:rPr>
                <w:sz w:val="19"/>
              </w:rPr>
            </w:pPr>
            <w:r>
              <w:rPr>
                <w:sz w:val="19"/>
              </w:rPr>
              <w:t>0.2461*</w:t>
            </w: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left="85" w:right="79"/>
              <w:jc w:val="center"/>
              <w:rPr>
                <w:sz w:val="19"/>
              </w:rPr>
            </w:pPr>
            <w:r>
              <w:rPr>
                <w:sz w:val="19"/>
              </w:rPr>
              <w:t>0.073</w:t>
            </w: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104"/>
              <w:rPr>
                <w:sz w:val="19"/>
              </w:rPr>
            </w:pPr>
            <w:r>
              <w:rPr>
                <w:w w:val="99"/>
                <w:sz w:val="19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115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7" w:right="0"/>
              <w:jc w:val="left"/>
              <w:rPr>
                <w:sz w:val="19"/>
              </w:rPr>
            </w:pPr>
            <w:r>
              <w:rPr>
                <w:sz w:val="19"/>
              </w:rPr>
              <w:t>Prob</w:t>
            </w:r>
          </w:p>
        </w:tc>
        <w:tc>
          <w:tcPr>
            <w:tcW w:w="783" w:type="dxa"/>
          </w:tcPr>
          <w:p>
            <w:pPr>
              <w:pStyle w:val="TableParagraph"/>
              <w:spacing w:line="240" w:lineRule="auto" w:before="0"/>
              <w:ind w:left="323" w:right="0"/>
              <w:jc w:val="left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829" w:type="dxa"/>
          </w:tcPr>
          <w:p>
            <w:pPr>
              <w:pStyle w:val="TableParagraph"/>
              <w:spacing w:line="240" w:lineRule="auto" w:before="0"/>
              <w:ind w:left="85" w:right="19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845" w:type="dxa"/>
          </w:tcPr>
          <w:p>
            <w:pPr>
              <w:pStyle w:val="TableParagraph"/>
              <w:spacing w:line="240" w:lineRule="auto" w:before="0"/>
              <w:ind w:left="69" w:right="0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694" w:type="dxa"/>
          </w:tcPr>
          <w:p>
            <w:pPr>
              <w:pStyle w:val="TableParagraph"/>
              <w:spacing w:line="240" w:lineRule="auto" w:before="0"/>
              <w:ind w:left="70" w:right="0"/>
              <w:jc w:val="center"/>
              <w:rPr>
                <w:sz w:val="19"/>
              </w:rPr>
            </w:pPr>
            <w:r>
              <w:rPr>
                <w:sz w:val="19"/>
              </w:rPr>
              <w:t>0.3976</w:t>
            </w:r>
          </w:p>
        </w:tc>
        <w:tc>
          <w:tcPr>
            <w:tcW w:w="754" w:type="dxa"/>
          </w:tcPr>
          <w:p>
            <w:pPr>
              <w:pStyle w:val="TableParagraph"/>
              <w:spacing w:line="240" w:lineRule="auto" w:before="0"/>
              <w:ind w:left="92" w:right="25"/>
              <w:jc w:val="center"/>
              <w:rPr>
                <w:sz w:val="19"/>
              </w:rPr>
            </w:pPr>
            <w:r>
              <w:rPr>
                <w:sz w:val="19"/>
              </w:rPr>
              <w:t>0.0139</w:t>
            </w:r>
          </w:p>
        </w:tc>
        <w:tc>
          <w:tcPr>
            <w:tcW w:w="938" w:type="dxa"/>
          </w:tcPr>
          <w:p>
            <w:pPr>
              <w:pStyle w:val="TableParagraph"/>
              <w:spacing w:line="240" w:lineRule="auto" w:before="0"/>
              <w:ind w:left="68" w:right="2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0"/>
              <w:ind w:left="84" w:right="14"/>
              <w:jc w:val="center"/>
              <w:rPr>
                <w:sz w:val="19"/>
              </w:rPr>
            </w:pPr>
            <w:r>
              <w:rPr>
                <w:sz w:val="19"/>
              </w:rPr>
              <w:t>0.1408</w:t>
            </w:r>
          </w:p>
        </w:tc>
        <w:tc>
          <w:tcPr>
            <w:tcW w:w="756" w:type="dxa"/>
          </w:tcPr>
          <w:p>
            <w:pPr>
              <w:pStyle w:val="TableParagraph"/>
              <w:spacing w:line="240" w:lineRule="auto" w:before="0"/>
              <w:ind w:left="93" w:right="27"/>
              <w:jc w:val="center"/>
              <w:rPr>
                <w:sz w:val="19"/>
              </w:rPr>
            </w:pPr>
            <w:r>
              <w:rPr>
                <w:sz w:val="19"/>
              </w:rPr>
              <w:t>0.1998</w:t>
            </w:r>
          </w:p>
        </w:tc>
        <w:tc>
          <w:tcPr>
            <w:tcW w:w="833" w:type="dxa"/>
          </w:tcPr>
          <w:p>
            <w:pPr>
              <w:pStyle w:val="TableParagraph"/>
              <w:spacing w:line="240" w:lineRule="auto" w:before="0"/>
              <w:ind w:right="97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667" w:type="dxa"/>
          </w:tcPr>
          <w:p>
            <w:pPr>
              <w:pStyle w:val="TableParagraph"/>
              <w:spacing w:line="240" w:lineRule="auto" w:before="0"/>
              <w:ind w:left="97" w:right="67"/>
              <w:jc w:val="center"/>
              <w:rPr>
                <w:sz w:val="19"/>
              </w:rPr>
            </w:pPr>
            <w:r>
              <w:rPr>
                <w:sz w:val="19"/>
              </w:rPr>
              <w:t>0.051</w:t>
            </w:r>
          </w:p>
        </w:tc>
        <w:tc>
          <w:tcPr>
            <w:tcW w:w="63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</w:tbl>
    <w:p>
      <w:pPr>
        <w:spacing w:before="1"/>
        <w:ind w:left="822" w:right="0" w:firstLine="0"/>
        <w:jc w:val="both"/>
        <w:rPr>
          <w:sz w:val="22"/>
        </w:rPr>
      </w:pPr>
      <w:r>
        <w:rPr/>
        <w:pict>
          <v:shape style="position:absolute;margin-left:99.338997pt;margin-top:-43.560463pt;width:57.15pt;height:57.2pt;mso-position-horizontal-relative:page;mso-position-vertical-relative:paragraph;z-index:-49263104" coordorigin="1987,-871" coordsize="1143,1144" path="m2066,-871l2009,-832,1987,-787,1990,-777,3030,265,3049,272,3054,270,3061,269,3119,217,3127,197,3129,192,2085,-864,2071,-871,2066,-871xe" filled="true" fillcolor="#c0c0c0" stroked="false">
            <v:path arrowok="t"/>
            <v:fill opacity="32896f" type="solid"/>
            <w10:wrap type="none"/>
          </v:shape>
        </w:pict>
      </w:r>
      <w:r>
        <w:rPr>
          <w:sz w:val="22"/>
        </w:rPr>
        <w:t>Source:</w:t>
      </w:r>
      <w:r>
        <w:rPr>
          <w:spacing w:val="-1"/>
          <w:sz w:val="22"/>
        </w:rPr>
        <w:t> </w:t>
      </w:r>
      <w:r>
        <w:rPr>
          <w:sz w:val="22"/>
        </w:rPr>
        <w:t>Researcher’s</w:t>
      </w:r>
      <w:r>
        <w:rPr>
          <w:spacing w:val="-1"/>
          <w:sz w:val="22"/>
        </w:rPr>
        <w:t> </w:t>
      </w:r>
      <w:r>
        <w:rPr>
          <w:sz w:val="22"/>
        </w:rPr>
        <w:t>compilation</w:t>
      </w:r>
      <w:r>
        <w:rPr>
          <w:spacing w:val="-1"/>
          <w:sz w:val="22"/>
        </w:rPr>
        <w:t> </w:t>
      </w:r>
      <w:r>
        <w:rPr>
          <w:sz w:val="22"/>
        </w:rPr>
        <w:t>(2020)</w:t>
      </w:r>
      <w:r>
        <w:rPr>
          <w:spacing w:val="-3"/>
          <w:sz w:val="22"/>
        </w:rPr>
        <w:t> </w:t>
      </w:r>
      <w:r>
        <w:rPr>
          <w:sz w:val="22"/>
        </w:rPr>
        <w:t>using</w:t>
      </w:r>
      <w:r>
        <w:rPr>
          <w:spacing w:val="-2"/>
          <w:sz w:val="22"/>
        </w:rPr>
        <w:t> </w:t>
      </w:r>
      <w:r>
        <w:rPr>
          <w:sz w:val="22"/>
        </w:rPr>
        <w:t>Eviews</w:t>
      </w:r>
      <w:r>
        <w:rPr>
          <w:spacing w:val="-4"/>
          <w:sz w:val="22"/>
        </w:rPr>
        <w:t> </w:t>
      </w:r>
      <w:r>
        <w:rPr>
          <w:sz w:val="22"/>
        </w:rPr>
        <w:t>10.</w:t>
      </w:r>
      <w:r>
        <w:rPr>
          <w:spacing w:val="2"/>
          <w:sz w:val="22"/>
        </w:rPr>
        <w:t> </w:t>
      </w:r>
      <w:r>
        <w:rPr>
          <w:sz w:val="22"/>
        </w:rPr>
        <w:t>*</w:t>
      </w:r>
      <w:r>
        <w:rPr>
          <w:spacing w:val="-1"/>
          <w:sz w:val="22"/>
        </w:rPr>
        <w:t> </w:t>
      </w:r>
      <w:r>
        <w:rPr>
          <w:sz w:val="22"/>
        </w:rPr>
        <w:t>sig</w:t>
      </w:r>
      <w:r>
        <w:rPr>
          <w:spacing w:val="-4"/>
          <w:sz w:val="22"/>
        </w:rPr>
        <w:t> </w:t>
      </w:r>
      <w:r>
        <w:rPr>
          <w:sz w:val="22"/>
        </w:rPr>
        <w:t>@</w:t>
      </w:r>
      <w:r>
        <w:rPr>
          <w:spacing w:val="-2"/>
          <w:sz w:val="22"/>
        </w:rPr>
        <w:t> </w:t>
      </w:r>
      <w:r>
        <w:rPr>
          <w:sz w:val="22"/>
        </w:rPr>
        <w:t>5%</w:t>
      </w:r>
    </w:p>
    <w:p>
      <w:pPr>
        <w:pStyle w:val="BodyText"/>
        <w:ind w:left="0"/>
        <w:jc w:val="left"/>
      </w:pPr>
    </w:p>
    <w:p>
      <w:pPr>
        <w:pStyle w:val="BodyText"/>
        <w:spacing w:line="480" w:lineRule="auto" w:before="177"/>
        <w:ind w:right="828"/>
      </w:pPr>
      <w:r>
        <w:rPr/>
        <w:t>From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4.2,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particular interest to the study is the correlation between the tax aggressiveness measure and</w:t>
      </w:r>
      <w:r>
        <w:rPr>
          <w:spacing w:val="1"/>
        </w:rPr>
        <w:t> </w:t>
      </w:r>
      <w:r>
        <w:rPr/>
        <w:t>the independent variables. As observed, BDIND is negatively correlated with TAG(r=-0.056)</w:t>
      </w:r>
      <w:r>
        <w:rPr>
          <w:spacing w:val="1"/>
        </w:rPr>
        <w:t> </w:t>
      </w:r>
      <w:r>
        <w:rPr/>
        <w:t>though</w:t>
      </w:r>
      <w:r>
        <w:rPr>
          <w:spacing w:val="7"/>
        </w:rPr>
        <w:t> </w:t>
      </w:r>
      <w:r>
        <w:rPr/>
        <w:t>not</w:t>
      </w:r>
      <w:r>
        <w:rPr>
          <w:spacing w:val="8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at</w:t>
      </w:r>
      <w:r>
        <w:rPr>
          <w:spacing w:val="7"/>
        </w:rPr>
        <w:t> </w:t>
      </w:r>
      <w:r>
        <w:rPr/>
        <w:t>5%</w:t>
      </w:r>
      <w:r>
        <w:rPr>
          <w:spacing w:val="7"/>
        </w:rPr>
        <w:t> </w:t>
      </w:r>
      <w:r>
        <w:rPr/>
        <w:t>(p=0.1309).</w:t>
      </w:r>
      <w:r>
        <w:rPr>
          <w:spacing w:val="8"/>
        </w:rPr>
        <w:t> </w:t>
      </w:r>
      <w:r>
        <w:rPr/>
        <w:t>BDS</w:t>
      </w:r>
      <w:r>
        <w:rPr>
          <w:spacing w:val="7"/>
        </w:rPr>
        <w:t> </w:t>
      </w:r>
      <w:r>
        <w:rPr/>
        <w:t>is</w:t>
      </w:r>
      <w:r>
        <w:rPr>
          <w:spacing w:val="11"/>
        </w:rPr>
        <w:t> </w:t>
      </w:r>
      <w:r>
        <w:rPr/>
        <w:t>negatively</w:t>
      </w:r>
      <w:r>
        <w:rPr>
          <w:spacing w:val="8"/>
        </w:rPr>
        <w:t> </w:t>
      </w:r>
      <w:r>
        <w:rPr/>
        <w:t>correlated</w:t>
      </w:r>
      <w:r>
        <w:rPr>
          <w:spacing w:val="14"/>
        </w:rPr>
        <w:t> </w:t>
      </w:r>
      <w:r>
        <w:rPr/>
        <w:t>with</w:t>
      </w:r>
      <w:r>
        <w:rPr>
          <w:spacing w:val="8"/>
        </w:rPr>
        <w:t> </w:t>
      </w:r>
      <w:r>
        <w:rPr/>
        <w:t>TAG</w:t>
      </w:r>
      <w:r>
        <w:rPr>
          <w:spacing w:val="7"/>
        </w:rPr>
        <w:t> </w:t>
      </w:r>
      <w:r>
        <w:rPr/>
        <w:t>(r=-0.0727)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drawing>
          <wp:anchor distT="0" distB="0" distL="0" distR="0" allowOverlap="1" layoutInCell="1" locked="0" behindDoc="1" simplePos="0" relativeHeight="45405440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0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 significant at 10% (p=0.052). The result thus suggests that increase in the board size is</w:t>
      </w:r>
      <w:r>
        <w:rPr>
          <w:spacing w:val="1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Tax</w:t>
      </w:r>
      <w:r>
        <w:rPr>
          <w:spacing w:val="-5"/>
        </w:rPr>
        <w:t> </w:t>
      </w:r>
      <w:r>
        <w:rPr/>
        <w:t>paid/pre-tax</w:t>
      </w:r>
      <w:r>
        <w:rPr>
          <w:spacing w:val="-7"/>
        </w:rPr>
        <w:t> </w:t>
      </w:r>
      <w:r>
        <w:rPr/>
        <w:t>income</w:t>
      </w:r>
      <w:r>
        <w:rPr>
          <w:spacing w:val="-7"/>
        </w:rPr>
        <w:t> </w:t>
      </w:r>
      <w:r>
        <w:rPr/>
        <w:t>ratio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hence</w:t>
      </w:r>
      <w:r>
        <w:rPr>
          <w:spacing w:val="-4"/>
        </w:rPr>
        <w:t> </w:t>
      </w:r>
      <w:r>
        <w:rPr/>
        <w:t>higher</w:t>
      </w:r>
      <w:r>
        <w:rPr>
          <w:spacing w:val="-7"/>
        </w:rPr>
        <w:t> </w:t>
      </w:r>
      <w:r>
        <w:rPr/>
        <w:t>tax</w:t>
      </w:r>
      <w:r>
        <w:rPr>
          <w:spacing w:val="-7"/>
        </w:rPr>
        <w:t> </w:t>
      </w:r>
      <w:r>
        <w:rPr/>
        <w:t>aggressiveness.</w:t>
      </w:r>
      <w:r>
        <w:rPr>
          <w:spacing w:val="-57"/>
        </w:rPr>
        <w:t> </w:t>
      </w:r>
      <w:r>
        <w:rPr/>
        <w:t>BGD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negatively</w:t>
      </w:r>
      <w:r>
        <w:rPr>
          <w:spacing w:val="-2"/>
        </w:rPr>
        <w:t> </w:t>
      </w:r>
      <w:r>
        <w:rPr/>
        <w:t>correlated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TAG</w:t>
      </w:r>
      <w:r>
        <w:rPr>
          <w:spacing w:val="-6"/>
        </w:rPr>
        <w:t> </w:t>
      </w:r>
      <w:r>
        <w:rPr/>
        <w:t>(r=-0.0218)</w:t>
      </w:r>
      <w:r>
        <w:rPr>
          <w:spacing w:val="-6"/>
        </w:rPr>
        <w:t> </w:t>
      </w:r>
      <w:r>
        <w:rPr/>
        <w:t>but</w:t>
      </w:r>
      <w:r>
        <w:rPr>
          <w:spacing w:val="-5"/>
        </w:rPr>
        <w:t> </w:t>
      </w:r>
      <w:r>
        <w:rPr/>
        <w:t>though</w:t>
      </w:r>
      <w:r>
        <w:rPr>
          <w:spacing w:val="-6"/>
        </w:rPr>
        <w:t> </w:t>
      </w:r>
      <w:r>
        <w:rPr/>
        <w:t>not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5%</w:t>
      </w:r>
      <w:r>
        <w:rPr>
          <w:spacing w:val="-5"/>
        </w:rPr>
        <w:t> </w:t>
      </w:r>
      <w:r>
        <w:rPr/>
        <w:t>(p=0.56).</w:t>
      </w:r>
      <w:r>
        <w:rPr>
          <w:spacing w:val="-57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2"/>
        </w:rPr>
        <w:t> </w:t>
      </w:r>
      <w:r>
        <w:rPr/>
        <w:t>thus</w:t>
      </w:r>
      <w:r>
        <w:rPr>
          <w:spacing w:val="-3"/>
        </w:rPr>
        <w:t> </w:t>
      </w:r>
      <w:r>
        <w:rPr/>
        <w:t>suggests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gender</w:t>
      </w:r>
      <w:r>
        <w:rPr>
          <w:spacing w:val="-2"/>
        </w:rPr>
        <w:t> </w:t>
      </w:r>
      <w:r>
        <w:rPr/>
        <w:t>diversity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4"/>
        </w:rPr>
        <w:t> </w:t>
      </w:r>
      <w:r>
        <w:rPr/>
        <w:t>decrease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Tax</w:t>
      </w:r>
      <w:r>
        <w:rPr>
          <w:spacing w:val="-57"/>
        </w:rPr>
        <w:t> </w:t>
      </w:r>
      <w:r>
        <w:rPr/>
        <w:t>paid/pre-tax income ratio and hence higher tax aggressiveness but again this is not significant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hence</w:t>
      </w:r>
      <w:r>
        <w:rPr>
          <w:spacing w:val="-7"/>
        </w:rPr>
        <w:t> </w:t>
      </w:r>
      <w:r>
        <w:rPr/>
        <w:t>caution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exercised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drawing</w:t>
      </w:r>
      <w:r>
        <w:rPr>
          <w:spacing w:val="-4"/>
        </w:rPr>
        <w:t> </w:t>
      </w:r>
      <w:r>
        <w:rPr/>
        <w:t>any</w:t>
      </w:r>
      <w:r>
        <w:rPr>
          <w:spacing w:val="-6"/>
        </w:rPr>
        <w:t> </w:t>
      </w:r>
      <w:r>
        <w:rPr/>
        <w:t>inference.</w:t>
      </w:r>
      <w:r>
        <w:rPr>
          <w:spacing w:val="-4"/>
        </w:rPr>
        <w:t> </w:t>
      </w:r>
      <w:r>
        <w:rPr/>
        <w:t>BDOWN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positively</w:t>
      </w:r>
      <w:r>
        <w:rPr>
          <w:spacing w:val="-5"/>
        </w:rPr>
        <w:t> </w:t>
      </w:r>
      <w:r>
        <w:rPr/>
        <w:t>correlated</w:t>
      </w:r>
      <w:r>
        <w:rPr>
          <w:spacing w:val="-6"/>
        </w:rPr>
        <w:t> </w:t>
      </w:r>
      <w:r>
        <w:rPr/>
        <w:t>with</w:t>
      </w:r>
      <w:r>
        <w:rPr>
          <w:spacing w:val="-58"/>
        </w:rPr>
        <w:t> </w:t>
      </w:r>
      <w:r>
        <w:rPr/>
        <w:t>TAG (r=0.0230) but though not significant at 5% (p=0.5376). The result thus suggests that</w:t>
      </w:r>
      <w:r>
        <w:rPr>
          <w:spacing w:val="1"/>
        </w:rPr>
        <w:t> </w:t>
      </w:r>
      <w:r>
        <w:rPr/>
        <w:t>increase in the board ownership is associated with increase in Tax paid/pre-tax income ratio</w:t>
      </w:r>
      <w:r>
        <w:rPr>
          <w:spacing w:val="1"/>
        </w:rPr>
        <w:t> </w:t>
      </w:r>
      <w:r>
        <w:rPr/>
        <w:t>and hence lower tax aggressiveness and vice-versa but again this is not significant and hence</w:t>
      </w:r>
      <w:r>
        <w:rPr>
          <w:spacing w:val="1"/>
        </w:rPr>
        <w:t> </w:t>
      </w:r>
      <w:r>
        <w:rPr/>
        <w:t>caution</w:t>
      </w:r>
      <w:r>
        <w:rPr>
          <w:spacing w:val="-1"/>
        </w:rPr>
        <w:t> </w:t>
      </w:r>
      <w:r>
        <w:rPr/>
        <w:t>is exercised in drawing any association</w:t>
      </w:r>
    </w:p>
    <w:p>
      <w:pPr>
        <w:pStyle w:val="BodyText"/>
        <w:spacing w:line="480" w:lineRule="auto" w:before="203"/>
        <w:ind w:right="829"/>
      </w:pPr>
      <w:r>
        <w:rPr/>
        <w:t>CEOAGE is positively correlated with TAG (r=0.086) and significant at 5% (p=0.0203). The</w:t>
      </w:r>
      <w:r>
        <w:rPr>
          <w:spacing w:val="1"/>
        </w:rPr>
        <w:t> </w:t>
      </w:r>
      <w:r>
        <w:rPr/>
        <w:t>result thus suggests that increase in CEO age is associated with increase in Tax paid/pre-tax</w:t>
      </w:r>
      <w:r>
        <w:rPr>
          <w:spacing w:val="1"/>
        </w:rPr>
        <w:t> </w:t>
      </w:r>
      <w:r>
        <w:rPr/>
        <w:t>income ratio and hence lower tax aggressiveness and vice-versa and this is significant. CEO-T</w:t>
      </w:r>
      <w:r>
        <w:rPr>
          <w:spacing w:val="-57"/>
        </w:rPr>
        <w:t> </w:t>
      </w:r>
      <w:r>
        <w:rPr/>
        <w:t>is</w:t>
      </w:r>
      <w:r>
        <w:rPr>
          <w:spacing w:val="-3"/>
        </w:rPr>
        <w:t> </w:t>
      </w:r>
      <w:r>
        <w:rPr/>
        <w:t>negatively</w:t>
      </w:r>
      <w:r>
        <w:rPr>
          <w:spacing w:val="-3"/>
        </w:rPr>
        <w:t> </w:t>
      </w:r>
      <w:r>
        <w:rPr/>
        <w:t>correlated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TAG</w:t>
      </w:r>
      <w:r>
        <w:rPr>
          <w:spacing w:val="-3"/>
        </w:rPr>
        <w:t> </w:t>
      </w:r>
      <w:r>
        <w:rPr/>
        <w:t>(r=-0.1315)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5%</w:t>
      </w:r>
      <w:r>
        <w:rPr>
          <w:spacing w:val="-5"/>
        </w:rPr>
        <w:t> </w:t>
      </w:r>
      <w:r>
        <w:rPr/>
        <w:t>(p=0.000).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2"/>
        </w:rPr>
        <w:t> </w:t>
      </w:r>
      <w:r>
        <w:rPr/>
        <w:t>thus</w:t>
      </w:r>
      <w:r>
        <w:rPr>
          <w:spacing w:val="-58"/>
        </w:rPr>
        <w:t> </w:t>
      </w:r>
      <w:r>
        <w:rPr/>
        <w:t>suggests that longer CEO tenure is associated with decrease in Tax paid/pre-tax income ratio</w:t>
      </w:r>
      <w:r>
        <w:rPr>
          <w:spacing w:val="1"/>
        </w:rPr>
        <w:t> </w:t>
      </w:r>
      <w:r>
        <w:rPr/>
        <w:t>and hence higher tax aggressiveness. CEOOWN is positively correlated with TAG (r=0.0632)</w:t>
      </w:r>
      <w:r>
        <w:rPr>
          <w:spacing w:val="-57"/>
        </w:rPr>
        <w:t> </w:t>
      </w:r>
      <w:r>
        <w:rPr/>
        <w:t>though not significant at 5% (p=0.0905). The result thus suggests that increase in the CEO</w:t>
      </w:r>
      <w:r>
        <w:rPr>
          <w:spacing w:val="1"/>
        </w:rPr>
        <w:t> </w:t>
      </w:r>
      <w:r>
        <w:rPr/>
        <w:t>ownership is associated with increase in Tax paid/pre-tax income ratio and hence lower 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and vice-versa.</w:t>
      </w:r>
    </w:p>
    <w:p>
      <w:pPr>
        <w:pStyle w:val="BodyText"/>
        <w:spacing w:line="480" w:lineRule="auto"/>
        <w:ind w:right="828"/>
      </w:pPr>
      <w:r>
        <w:rPr/>
        <w:t>Looking at the control variables, FSIZE is positively correlated with TAG (r=0.0955) and</w:t>
      </w:r>
      <w:r>
        <w:rPr>
          <w:spacing w:val="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5%</w:t>
      </w:r>
      <w:r>
        <w:rPr>
          <w:spacing w:val="-9"/>
        </w:rPr>
        <w:t> </w:t>
      </w:r>
      <w:r>
        <w:rPr/>
        <w:t>(p=0.0104),</w:t>
      </w:r>
      <w:r>
        <w:rPr>
          <w:spacing w:val="-11"/>
        </w:rPr>
        <w:t> </w:t>
      </w:r>
      <w:r>
        <w:rPr/>
        <w:t>LEV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positively</w:t>
      </w:r>
      <w:r>
        <w:rPr>
          <w:spacing w:val="-11"/>
        </w:rPr>
        <w:t> </w:t>
      </w:r>
      <w:r>
        <w:rPr/>
        <w:t>correlated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TAG</w:t>
      </w:r>
      <w:r>
        <w:rPr>
          <w:spacing w:val="-9"/>
        </w:rPr>
        <w:t> </w:t>
      </w:r>
      <w:r>
        <w:rPr/>
        <w:t>(r=0.0548)</w:t>
      </w:r>
      <w:r>
        <w:rPr>
          <w:spacing w:val="-12"/>
        </w:rPr>
        <w:t> </w:t>
      </w:r>
      <w:r>
        <w:rPr/>
        <w:t>but</w:t>
      </w:r>
      <w:r>
        <w:rPr>
          <w:spacing w:val="-10"/>
        </w:rPr>
        <w:t> </w:t>
      </w:r>
      <w:r>
        <w:rPr/>
        <w:t>though</w:t>
      </w:r>
      <w:r>
        <w:rPr>
          <w:spacing w:val="-11"/>
        </w:rPr>
        <w:t> </w:t>
      </w:r>
      <w:r>
        <w:rPr/>
        <w:t>not</w:t>
      </w:r>
      <w:r>
        <w:rPr>
          <w:spacing w:val="-58"/>
        </w:rPr>
        <w:t> </w:t>
      </w:r>
      <w:r>
        <w:rPr/>
        <w:t>significant at 5% (p=0.1423) and ROA is positively correlated with TAG (r=0.1290) and</w:t>
      </w:r>
      <w:r>
        <w:rPr>
          <w:spacing w:val="1"/>
        </w:rPr>
        <w:t> </w:t>
      </w:r>
      <w:r>
        <w:rPr>
          <w:spacing w:val="-1"/>
        </w:rPr>
        <w:t>significant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12"/>
        </w:rPr>
        <w:t> </w:t>
      </w:r>
      <w:r>
        <w:rPr>
          <w:spacing w:val="-1"/>
        </w:rPr>
        <w:t>5%</w:t>
      </w:r>
      <w:r>
        <w:rPr>
          <w:spacing w:val="-13"/>
        </w:rPr>
        <w:t> </w:t>
      </w:r>
      <w:r>
        <w:rPr/>
        <w:t>(p=0.00).</w:t>
      </w:r>
      <w:r>
        <w:rPr>
          <w:spacing w:val="-12"/>
        </w:rPr>
        <w:t> </w:t>
      </w:r>
      <w:r>
        <w:rPr/>
        <w:t>Though</w:t>
      </w:r>
      <w:r>
        <w:rPr>
          <w:spacing w:val="-13"/>
        </w:rPr>
        <w:t> </w:t>
      </w:r>
      <w:r>
        <w:rPr/>
        <w:t>providing</w:t>
      </w:r>
      <w:r>
        <w:rPr>
          <w:spacing w:val="-12"/>
        </w:rPr>
        <w:t> </w:t>
      </w:r>
      <w:r>
        <w:rPr/>
        <w:t>some</w:t>
      </w:r>
      <w:r>
        <w:rPr>
          <w:spacing w:val="-13"/>
        </w:rPr>
        <w:t> </w:t>
      </w:r>
      <w:r>
        <w:rPr/>
        <w:t>level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insight</w:t>
      </w:r>
      <w:r>
        <w:rPr>
          <w:spacing w:val="-14"/>
        </w:rPr>
        <w:t> </w:t>
      </w:r>
      <w:r>
        <w:rPr/>
        <w:t>into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degree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direction</w:t>
      </w:r>
      <w:r>
        <w:rPr>
          <w:spacing w:val="-57"/>
        </w:rPr>
        <w:t> </w:t>
      </w:r>
      <w:r>
        <w:rPr/>
        <w:t>of</w:t>
      </w:r>
      <w:r>
        <w:rPr>
          <w:spacing w:val="-5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variables,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limited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inferential ability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8"/>
      </w:pPr>
      <w:r>
        <w:rPr/>
        <w:t>mainly because it does not imply functional dependence and hence causality in a strict sense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regression analysis is better suited for this</w:t>
      </w:r>
      <w:r>
        <w:rPr>
          <w:spacing w:val="-1"/>
        </w:rPr>
        <w:t> </w:t>
      </w:r>
      <w:r>
        <w:rPr/>
        <w:t>purpose.</w:t>
      </w:r>
    </w:p>
    <w:p>
      <w:pPr>
        <w:pStyle w:val="Heading1"/>
        <w:numPr>
          <w:ilvl w:val="2"/>
          <w:numId w:val="30"/>
        </w:numPr>
        <w:tabs>
          <w:tab w:pos="1422" w:val="left" w:leader="none"/>
        </w:tabs>
        <w:spacing w:line="240" w:lineRule="auto" w:before="1" w:after="0"/>
        <w:ind w:left="1422" w:right="0" w:hanging="600"/>
        <w:jc w:val="left"/>
      </w:pPr>
      <w:bookmarkStart w:name="_bookmark79" w:id="129"/>
      <w:bookmarkEnd w:id="129"/>
      <w:r>
        <w:rPr>
          <w:b w:val="0"/>
        </w:rPr>
      </w:r>
      <w:bookmarkStart w:name="_bookmark79" w:id="130"/>
      <w:bookmarkEnd w:id="130"/>
      <w:r>
        <w:rPr/>
        <w:t>Pan</w:t>
      </w:r>
      <w:r>
        <w:rPr/>
        <w:t>el</w:t>
      </w:r>
      <w:r>
        <w:rPr>
          <w:spacing w:val="-2"/>
        </w:rPr>
        <w:t> </w:t>
      </w:r>
      <w:r>
        <w:rPr/>
        <w:t>Unit</w:t>
      </w:r>
      <w:r>
        <w:rPr>
          <w:spacing w:val="-1"/>
        </w:rPr>
        <w:t> </w:t>
      </w:r>
      <w:r>
        <w:rPr/>
        <w:t>Root</w:t>
      </w:r>
    </w:p>
    <w:p>
      <w:pPr>
        <w:pStyle w:val="BodyText"/>
        <w:ind w:left="0"/>
        <w:jc w:val="left"/>
        <w:rPr>
          <w:b/>
        </w:rPr>
      </w:pPr>
    </w:p>
    <w:p>
      <w:pPr>
        <w:pStyle w:val="BodyText"/>
        <w:spacing w:line="480" w:lineRule="auto"/>
        <w:ind w:right="827"/>
      </w:pPr>
      <w:r>
        <w:rPr/>
        <w:drawing>
          <wp:anchor distT="0" distB="0" distL="0" distR="0" allowOverlap="1" layoutInCell="1" locked="0" behindDoc="1" simplePos="0" relativeHeight="454054912">
            <wp:simplePos x="0" y="0"/>
            <wp:positionH relativeFrom="page">
              <wp:posOffset>1128064</wp:posOffset>
            </wp:positionH>
            <wp:positionV relativeFrom="paragraph">
              <wp:posOffset>726352</wp:posOffset>
            </wp:positionV>
            <wp:extent cx="5266766" cy="5265293"/>
            <wp:effectExtent l="0" t="0" r="0" b="0"/>
            <wp:wrapNone/>
            <wp:docPr id="20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66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Before</w:t>
      </w:r>
      <w:r>
        <w:rPr>
          <w:spacing w:val="-12"/>
        </w:rPr>
        <w:t> </w:t>
      </w:r>
      <w:r>
        <w:rPr/>
        <w:t>proceeding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identification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possible</w:t>
      </w:r>
      <w:r>
        <w:rPr>
          <w:spacing w:val="-12"/>
        </w:rPr>
        <w:t> </w:t>
      </w:r>
      <w:r>
        <w:rPr/>
        <w:t>long</w:t>
      </w:r>
      <w:r>
        <w:rPr>
          <w:spacing w:val="-10"/>
        </w:rPr>
        <w:t> </w:t>
      </w:r>
      <w:r>
        <w:rPr/>
        <w:t>run</w:t>
      </w:r>
      <w:r>
        <w:rPr>
          <w:spacing w:val="-9"/>
        </w:rPr>
        <w:t> </w:t>
      </w:r>
      <w:r>
        <w:rPr/>
        <w:t>relationship</w:t>
      </w:r>
      <w:r>
        <w:rPr>
          <w:spacing w:val="-10"/>
        </w:rPr>
        <w:t> </w:t>
      </w:r>
      <w:r>
        <w:rPr/>
        <w:t>we</w:t>
      </w:r>
      <w:r>
        <w:rPr>
          <w:spacing w:val="-12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verify</w:t>
      </w:r>
      <w:r>
        <w:rPr>
          <w:spacing w:val="-10"/>
        </w:rPr>
        <w:t> </w:t>
      </w:r>
      <w:r>
        <w:rPr/>
        <w:t>that</w:t>
      </w:r>
      <w:r>
        <w:rPr>
          <w:spacing w:val="-58"/>
        </w:rPr>
        <w:t> </w:t>
      </w:r>
      <w:r>
        <w:rPr/>
        <w:t>all variables are integrated of order one in levels. However, since the power of individual unit</w:t>
      </w:r>
      <w:r>
        <w:rPr>
          <w:spacing w:val="1"/>
        </w:rPr>
        <w:t> </w:t>
      </w:r>
      <w:r>
        <w:rPr/>
        <w:t>root tests can be distorted when the span of the data is short (Pierse &amp; Shell, 1995), the study</w:t>
      </w:r>
      <w:r>
        <w:rPr>
          <w:spacing w:val="1"/>
        </w:rPr>
        <w:t> </w:t>
      </w:r>
      <w:r>
        <w:rPr/>
        <w:t>made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panel unit root tests.</w:t>
      </w:r>
    </w:p>
    <w:p>
      <w:pPr>
        <w:spacing w:before="1" w:after="3"/>
        <w:ind w:left="822" w:right="0" w:firstLine="0"/>
        <w:jc w:val="both"/>
        <w:rPr>
          <w:sz w:val="24"/>
        </w:rPr>
      </w:pPr>
      <w:bookmarkStart w:name="_bookmark80" w:id="131"/>
      <w:bookmarkEnd w:id="131"/>
      <w:r>
        <w:rPr/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2"/>
          <w:sz w:val="24"/>
        </w:rPr>
        <w:t> </w:t>
      </w:r>
      <w:r>
        <w:rPr>
          <w:sz w:val="24"/>
        </w:rPr>
        <w:t>Panel</w:t>
      </w:r>
      <w:r>
        <w:rPr>
          <w:spacing w:val="-1"/>
          <w:sz w:val="24"/>
        </w:rPr>
        <w:t> </w:t>
      </w:r>
      <w:r>
        <w:rPr>
          <w:sz w:val="24"/>
        </w:rPr>
        <w:t>Unit</w:t>
      </w:r>
      <w:r>
        <w:rPr>
          <w:spacing w:val="-1"/>
          <w:sz w:val="24"/>
        </w:rPr>
        <w:t> </w:t>
      </w:r>
      <w:r>
        <w:rPr>
          <w:sz w:val="24"/>
        </w:rPr>
        <w:t>root</w:t>
      </w:r>
      <w:r>
        <w:rPr>
          <w:spacing w:val="-1"/>
          <w:sz w:val="24"/>
        </w:rPr>
        <w:t> </w:t>
      </w:r>
      <w:r>
        <w:rPr>
          <w:sz w:val="24"/>
        </w:rPr>
        <w:t>Test</w:t>
      </w:r>
    </w:p>
    <w:tbl>
      <w:tblPr>
        <w:tblW w:w="0" w:type="auto"/>
        <w:jc w:val="left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4"/>
        <w:gridCol w:w="1693"/>
        <w:gridCol w:w="1021"/>
        <w:gridCol w:w="1417"/>
        <w:gridCol w:w="978"/>
        <w:gridCol w:w="982"/>
        <w:gridCol w:w="1364"/>
      </w:tblGrid>
      <w:tr>
        <w:trPr>
          <w:trHeight w:val="314" w:hRule="atLeast"/>
        </w:trPr>
        <w:tc>
          <w:tcPr>
            <w:tcW w:w="1474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4131" w:type="dxa"/>
            <w:gridSpan w:val="3"/>
          </w:tcPr>
          <w:p>
            <w:pPr>
              <w:pStyle w:val="TableParagraph"/>
              <w:spacing w:line="240" w:lineRule="auto" w:before="0"/>
              <w:ind w:left="1678" w:right="167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 levels</w:t>
            </w:r>
          </w:p>
        </w:tc>
        <w:tc>
          <w:tcPr>
            <w:tcW w:w="3324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933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1st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Difference</w:t>
            </w:r>
          </w:p>
        </w:tc>
      </w:tr>
      <w:tr>
        <w:trPr>
          <w:trHeight w:val="551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480" w:right="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ADF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363" w:right="3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PP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132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Levin,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</w:p>
          <w:p>
            <w:pPr>
              <w:pStyle w:val="TableParagraph"/>
              <w:spacing w:line="240" w:lineRule="auto" w:before="46"/>
              <w:ind w:left="131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Chu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280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ADF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343" w:right="3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PP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105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Levin,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Lin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&amp;</w:t>
            </w:r>
          </w:p>
          <w:p>
            <w:pPr>
              <w:pStyle w:val="TableParagraph"/>
              <w:spacing w:line="240" w:lineRule="auto" w:before="46"/>
              <w:ind w:left="101" w:right="1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Chu</w:t>
            </w:r>
          </w:p>
        </w:tc>
      </w:tr>
      <w:tr>
        <w:trPr>
          <w:trHeight w:val="551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8" w:right="263"/>
              <w:jc w:val="center"/>
              <w:rPr>
                <w:sz w:val="20"/>
              </w:rPr>
            </w:pPr>
            <w:r>
              <w:rPr>
                <w:sz w:val="20"/>
              </w:rPr>
              <w:t>TAG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518" w:right="0"/>
              <w:jc w:val="left"/>
              <w:rPr>
                <w:sz w:val="20"/>
              </w:rPr>
            </w:pPr>
            <w:r>
              <w:rPr>
                <w:sz w:val="20"/>
              </w:rPr>
              <w:t>203.77*</w:t>
            </w:r>
          </w:p>
          <w:p>
            <w:pPr>
              <w:pStyle w:val="TableParagraph"/>
              <w:spacing w:line="240" w:lineRule="auto" w:before="46"/>
              <w:ind w:left="501" w:right="0"/>
              <w:jc w:val="left"/>
              <w:rPr>
                <w:sz w:val="20"/>
              </w:rPr>
            </w:pPr>
            <w:r>
              <w:rPr>
                <w:sz w:val="20"/>
              </w:rPr>
              <w:t>(0.0011)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181" w:right="0"/>
              <w:jc w:val="left"/>
              <w:rPr>
                <w:sz w:val="20"/>
              </w:rPr>
            </w:pPr>
            <w:r>
              <w:rPr>
                <w:sz w:val="20"/>
              </w:rPr>
              <w:t>277.08*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377" w:right="0"/>
              <w:jc w:val="left"/>
              <w:rPr>
                <w:sz w:val="20"/>
              </w:rPr>
            </w:pPr>
            <w:r>
              <w:rPr>
                <w:sz w:val="20"/>
              </w:rPr>
              <w:t>13.866*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344.8*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  <w:t>511.57*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28.11*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3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2"/>
              <w:ind w:left="288" w:right="263"/>
              <w:jc w:val="center"/>
              <w:rPr>
                <w:sz w:val="20"/>
              </w:rPr>
            </w:pPr>
            <w:r>
              <w:rPr>
                <w:sz w:val="20"/>
              </w:rPr>
              <w:t>BDIND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2"/>
              <w:ind w:left="467" w:right="0"/>
              <w:jc w:val="left"/>
              <w:rPr>
                <w:sz w:val="20"/>
              </w:rPr>
            </w:pPr>
            <w:r>
              <w:rPr>
                <w:sz w:val="20"/>
              </w:rPr>
              <w:t>184.359*</w:t>
            </w:r>
          </w:p>
          <w:p>
            <w:pPr>
              <w:pStyle w:val="TableParagraph"/>
              <w:spacing w:line="240" w:lineRule="auto" w:before="46"/>
              <w:ind w:left="551" w:right="0"/>
              <w:jc w:val="left"/>
              <w:rPr>
                <w:sz w:val="20"/>
              </w:rPr>
            </w:pPr>
            <w:r>
              <w:rPr>
                <w:sz w:val="20"/>
              </w:rPr>
              <w:t>(0.009)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2"/>
              <w:ind w:left="231" w:right="0"/>
              <w:jc w:val="left"/>
              <w:rPr>
                <w:sz w:val="20"/>
              </w:rPr>
            </w:pPr>
            <w:r>
              <w:rPr>
                <w:sz w:val="20"/>
              </w:rPr>
              <w:t>197.2*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(0.002)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2"/>
              <w:ind w:left="377" w:right="0"/>
              <w:jc w:val="left"/>
              <w:rPr>
                <w:sz w:val="20"/>
              </w:rPr>
            </w:pPr>
            <w:r>
              <w:rPr>
                <w:sz w:val="20"/>
              </w:rPr>
              <w:t>29.322*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2"/>
              <w:ind w:left="110" w:right="0"/>
              <w:jc w:val="left"/>
              <w:rPr>
                <w:sz w:val="20"/>
              </w:rPr>
            </w:pPr>
            <w:r>
              <w:rPr>
                <w:sz w:val="20"/>
              </w:rPr>
              <w:t>457.754*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2"/>
              <w:ind w:left="109" w:right="0"/>
              <w:jc w:val="left"/>
              <w:rPr>
                <w:sz w:val="20"/>
              </w:rPr>
            </w:pPr>
            <w:r>
              <w:rPr>
                <w:sz w:val="20"/>
              </w:rPr>
              <w:t>176.002*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2"/>
              <w:ind w:left="349" w:right="0"/>
              <w:jc w:val="left"/>
              <w:rPr>
                <w:sz w:val="20"/>
              </w:rPr>
            </w:pPr>
            <w:r>
              <w:rPr>
                <w:sz w:val="20"/>
              </w:rPr>
              <w:t>108.55*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1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6" w:right="263"/>
              <w:jc w:val="center"/>
              <w:rPr>
                <w:sz w:val="20"/>
              </w:rPr>
            </w:pPr>
            <w:r>
              <w:rPr>
                <w:sz w:val="20"/>
              </w:rPr>
              <w:t>BDOWN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518" w:right="0"/>
              <w:jc w:val="left"/>
              <w:rPr>
                <w:sz w:val="20"/>
              </w:rPr>
            </w:pPr>
            <w:r>
              <w:rPr>
                <w:sz w:val="20"/>
              </w:rPr>
              <w:t>213.61*</w:t>
            </w:r>
          </w:p>
          <w:p>
            <w:pPr>
              <w:pStyle w:val="TableParagraph"/>
              <w:spacing w:line="240" w:lineRule="auto" w:before="46"/>
              <w:ind w:left="55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181" w:right="0"/>
              <w:jc w:val="left"/>
              <w:rPr>
                <w:sz w:val="20"/>
              </w:rPr>
            </w:pPr>
            <w:r>
              <w:rPr>
                <w:sz w:val="20"/>
              </w:rPr>
              <w:t>186.11*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(0.006)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427" w:right="0"/>
              <w:jc w:val="left"/>
              <w:rPr>
                <w:sz w:val="20"/>
              </w:rPr>
            </w:pPr>
            <w:r>
              <w:rPr>
                <w:sz w:val="20"/>
              </w:rPr>
              <w:t>133.9*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304.6*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508.9*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49" w:right="0"/>
              <w:jc w:val="left"/>
              <w:rPr>
                <w:sz w:val="20"/>
              </w:rPr>
            </w:pPr>
            <w:r>
              <w:rPr>
                <w:sz w:val="20"/>
              </w:rPr>
              <w:t>3432.5*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2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8" w:right="262"/>
              <w:jc w:val="center"/>
              <w:rPr>
                <w:sz w:val="20"/>
              </w:rPr>
            </w:pPr>
            <w:r>
              <w:rPr>
                <w:sz w:val="20"/>
              </w:rPr>
              <w:t>BDS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518" w:right="0"/>
              <w:jc w:val="left"/>
              <w:rPr>
                <w:sz w:val="20"/>
              </w:rPr>
            </w:pPr>
            <w:r>
              <w:rPr>
                <w:sz w:val="20"/>
              </w:rPr>
              <w:t>457.754</w:t>
            </w:r>
          </w:p>
          <w:p>
            <w:pPr>
              <w:pStyle w:val="TableParagraph"/>
              <w:spacing w:line="240" w:lineRule="auto" w:before="46"/>
              <w:ind w:left="55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279" w:right="0"/>
              <w:jc w:val="left"/>
              <w:rPr>
                <w:sz w:val="20"/>
              </w:rPr>
            </w:pPr>
            <w:r>
              <w:rPr>
                <w:sz w:val="20"/>
              </w:rPr>
              <w:t>89.76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427" w:right="0"/>
              <w:jc w:val="left"/>
              <w:rPr>
                <w:sz w:val="20"/>
              </w:rPr>
            </w:pPr>
            <w:r>
              <w:rPr>
                <w:sz w:val="20"/>
              </w:rPr>
              <w:t>112.87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98.656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88.087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132.08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1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8" w:right="263"/>
              <w:jc w:val="center"/>
              <w:rPr>
                <w:sz w:val="20"/>
              </w:rPr>
            </w:pPr>
            <w:r>
              <w:rPr>
                <w:sz w:val="20"/>
              </w:rPr>
              <w:t>BGD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481" w:right="477"/>
              <w:jc w:val="center"/>
              <w:rPr>
                <w:sz w:val="20"/>
              </w:rPr>
            </w:pPr>
            <w:r>
              <w:rPr>
                <w:sz w:val="20"/>
              </w:rPr>
              <w:t>136.05</w:t>
            </w:r>
          </w:p>
          <w:p>
            <w:pPr>
              <w:pStyle w:val="TableParagraph"/>
              <w:spacing w:line="240" w:lineRule="auto" w:before="46"/>
              <w:ind w:left="481" w:right="477"/>
              <w:jc w:val="center"/>
              <w:rPr>
                <w:sz w:val="20"/>
              </w:rPr>
            </w:pPr>
            <w:r>
              <w:rPr>
                <w:sz w:val="20"/>
              </w:rPr>
              <w:t>(0.061)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231" w:right="0"/>
              <w:jc w:val="left"/>
              <w:rPr>
                <w:sz w:val="20"/>
              </w:rPr>
            </w:pPr>
            <w:r>
              <w:rPr>
                <w:sz w:val="20"/>
              </w:rPr>
              <w:t>140.9*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(0.034)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427" w:right="0"/>
              <w:jc w:val="left"/>
              <w:rPr>
                <w:sz w:val="20"/>
              </w:rPr>
            </w:pPr>
            <w:r>
              <w:rPr>
                <w:sz w:val="20"/>
              </w:rPr>
              <w:t>7.390*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20"/>
              </w:rPr>
            </w:pPr>
            <w:r>
              <w:rPr>
                <w:sz w:val="20"/>
              </w:rPr>
              <w:t>189.76*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300.2*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11.17*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1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7" w:right="263"/>
              <w:jc w:val="center"/>
              <w:rPr>
                <w:sz w:val="20"/>
              </w:rPr>
            </w:pPr>
            <w:r>
              <w:rPr>
                <w:sz w:val="20"/>
              </w:rPr>
              <w:t>CEOAGE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481" w:right="477"/>
              <w:jc w:val="center"/>
              <w:rPr>
                <w:sz w:val="20"/>
              </w:rPr>
            </w:pPr>
            <w:r>
              <w:rPr>
                <w:sz w:val="20"/>
              </w:rPr>
              <w:t>0.2992</w:t>
            </w:r>
          </w:p>
          <w:p>
            <w:pPr>
              <w:pStyle w:val="TableParagraph"/>
              <w:spacing w:line="240" w:lineRule="auto" w:before="46"/>
              <w:ind w:left="481" w:right="477"/>
              <w:jc w:val="center"/>
              <w:rPr>
                <w:sz w:val="20"/>
              </w:rPr>
            </w:pPr>
            <w:r>
              <w:rPr>
                <w:sz w:val="20"/>
              </w:rPr>
              <w:t>(0.8610)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231" w:right="0"/>
              <w:jc w:val="left"/>
              <w:rPr>
                <w:sz w:val="20"/>
              </w:rPr>
            </w:pPr>
            <w:r>
              <w:rPr>
                <w:sz w:val="20"/>
              </w:rPr>
              <w:t>0.0012</w:t>
            </w:r>
          </w:p>
          <w:p>
            <w:pPr>
              <w:pStyle w:val="TableParagraph"/>
              <w:spacing w:line="240" w:lineRule="auto" w:before="46"/>
              <w:ind w:left="164" w:right="0"/>
              <w:jc w:val="left"/>
              <w:rPr>
                <w:sz w:val="20"/>
              </w:rPr>
            </w:pPr>
            <w:r>
              <w:rPr>
                <w:sz w:val="20"/>
              </w:rPr>
              <w:t>(0.9994)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377" w:right="0"/>
              <w:jc w:val="left"/>
              <w:rPr>
                <w:sz w:val="20"/>
              </w:rPr>
            </w:pPr>
            <w:r>
              <w:rPr>
                <w:sz w:val="20"/>
              </w:rPr>
              <w:t>33.229*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0.5959</w:t>
            </w:r>
          </w:p>
          <w:p>
            <w:pPr>
              <w:pStyle w:val="TableParagraph"/>
              <w:spacing w:line="240" w:lineRule="auto" w:before="46"/>
              <w:ind w:left="143" w:right="0"/>
              <w:jc w:val="left"/>
              <w:rPr>
                <w:sz w:val="20"/>
              </w:rPr>
            </w:pPr>
            <w:r>
              <w:rPr>
                <w:sz w:val="20"/>
              </w:rPr>
              <w:t>(0.6235)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133" w:right="0"/>
              <w:jc w:val="left"/>
              <w:rPr>
                <w:sz w:val="20"/>
              </w:rPr>
            </w:pPr>
            <w:r>
              <w:rPr>
                <w:sz w:val="20"/>
              </w:rPr>
              <w:t>6.0e-05*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29.78*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1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8" w:right="263"/>
              <w:jc w:val="center"/>
              <w:rPr>
                <w:sz w:val="20"/>
              </w:rPr>
            </w:pPr>
            <w:r>
              <w:rPr>
                <w:sz w:val="20"/>
              </w:rPr>
              <w:t>CEOOWN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518" w:right="0"/>
              <w:jc w:val="left"/>
              <w:rPr>
                <w:sz w:val="20"/>
              </w:rPr>
            </w:pPr>
            <w:r>
              <w:rPr>
                <w:sz w:val="20"/>
              </w:rPr>
              <w:t>170.16*</w:t>
            </w:r>
          </w:p>
          <w:p>
            <w:pPr>
              <w:pStyle w:val="TableParagraph"/>
              <w:spacing w:line="240" w:lineRule="auto" w:before="46"/>
              <w:ind w:left="55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231" w:right="0"/>
              <w:jc w:val="left"/>
              <w:rPr>
                <w:sz w:val="20"/>
              </w:rPr>
            </w:pPr>
            <w:r>
              <w:rPr>
                <w:sz w:val="20"/>
              </w:rPr>
              <w:t>176.1*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377" w:right="0"/>
              <w:jc w:val="left"/>
              <w:rPr>
                <w:sz w:val="20"/>
              </w:rPr>
            </w:pPr>
            <w:r>
              <w:rPr>
                <w:sz w:val="20"/>
              </w:rPr>
              <w:t>35.724*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318.3*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  <w:t>382.46*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49" w:right="0"/>
              <w:jc w:val="left"/>
              <w:rPr>
                <w:sz w:val="20"/>
              </w:rPr>
            </w:pPr>
            <w:r>
              <w:rPr>
                <w:sz w:val="20"/>
              </w:rPr>
              <w:t>425.07*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1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8" w:right="263"/>
              <w:jc w:val="center"/>
              <w:rPr>
                <w:sz w:val="20"/>
              </w:rPr>
            </w:pPr>
            <w:r>
              <w:rPr>
                <w:sz w:val="20"/>
              </w:rPr>
              <w:t>CEO-T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467" w:right="0"/>
              <w:jc w:val="left"/>
              <w:rPr>
                <w:sz w:val="20"/>
              </w:rPr>
            </w:pPr>
            <w:r>
              <w:rPr>
                <w:sz w:val="20"/>
              </w:rPr>
              <w:t>272.498*</w:t>
            </w:r>
          </w:p>
          <w:p>
            <w:pPr>
              <w:pStyle w:val="TableParagraph"/>
              <w:spacing w:line="240" w:lineRule="auto" w:before="46"/>
              <w:ind w:left="55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231" w:right="0"/>
              <w:jc w:val="left"/>
              <w:rPr>
                <w:sz w:val="20"/>
              </w:rPr>
            </w:pPr>
            <w:r>
              <w:rPr>
                <w:sz w:val="20"/>
              </w:rPr>
              <w:t>428.8*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427" w:right="0"/>
              <w:jc w:val="left"/>
              <w:rPr>
                <w:sz w:val="20"/>
              </w:rPr>
            </w:pPr>
            <w:r>
              <w:rPr>
                <w:sz w:val="20"/>
              </w:rPr>
              <w:t>21.61*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20"/>
              </w:rPr>
            </w:pPr>
            <w:r>
              <w:rPr>
                <w:sz w:val="20"/>
              </w:rPr>
              <w:t>314.29*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  <w:t>557.18*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25.35*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4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2"/>
              <w:ind w:left="288" w:right="261"/>
              <w:jc w:val="center"/>
              <w:rPr>
                <w:sz w:val="20"/>
              </w:rPr>
            </w:pPr>
            <w:r>
              <w:rPr>
                <w:sz w:val="20"/>
              </w:rPr>
              <w:t>FSIZE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2"/>
              <w:ind w:left="481" w:right="477"/>
              <w:jc w:val="center"/>
              <w:rPr>
                <w:sz w:val="20"/>
              </w:rPr>
            </w:pPr>
            <w:r>
              <w:rPr>
                <w:sz w:val="20"/>
              </w:rPr>
              <w:t>0.1839</w:t>
            </w:r>
          </w:p>
          <w:p>
            <w:pPr>
              <w:pStyle w:val="TableParagraph"/>
              <w:spacing w:line="240" w:lineRule="auto" w:before="46"/>
              <w:ind w:left="481" w:right="477"/>
              <w:jc w:val="center"/>
              <w:rPr>
                <w:sz w:val="20"/>
              </w:rPr>
            </w:pPr>
            <w:r>
              <w:rPr>
                <w:sz w:val="20"/>
              </w:rPr>
              <w:t>(0.791)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2"/>
              <w:ind w:left="279" w:right="0"/>
              <w:jc w:val="left"/>
              <w:rPr>
                <w:sz w:val="20"/>
              </w:rPr>
            </w:pPr>
            <w:r>
              <w:rPr>
                <w:sz w:val="20"/>
              </w:rPr>
              <w:t>0.567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(0.920)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2"/>
              <w:ind w:left="427" w:right="0"/>
              <w:jc w:val="left"/>
              <w:rPr>
                <w:sz w:val="20"/>
              </w:rPr>
            </w:pPr>
            <w:r>
              <w:rPr>
                <w:sz w:val="20"/>
              </w:rPr>
              <w:t>0.5100</w:t>
            </w:r>
          </w:p>
          <w:p>
            <w:pPr>
              <w:pStyle w:val="TableParagraph"/>
              <w:spacing w:line="240" w:lineRule="auto" w:before="46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(0.391)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2"/>
              <w:ind w:left="160" w:right="0"/>
              <w:jc w:val="left"/>
              <w:rPr>
                <w:sz w:val="20"/>
              </w:rPr>
            </w:pPr>
            <w:r>
              <w:rPr>
                <w:sz w:val="20"/>
              </w:rPr>
              <w:t>280.91*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2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  <w:t>176.14*</w:t>
            </w:r>
          </w:p>
          <w:p>
            <w:pPr>
              <w:pStyle w:val="TableParagraph"/>
              <w:spacing w:line="240" w:lineRule="auto" w:before="46"/>
              <w:ind w:left="219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2"/>
              <w:ind w:left="349" w:right="0"/>
              <w:jc w:val="left"/>
              <w:rPr>
                <w:sz w:val="20"/>
              </w:rPr>
            </w:pPr>
            <w:r>
              <w:rPr>
                <w:sz w:val="20"/>
              </w:rPr>
              <w:t>253.08*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2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8" w:right="260"/>
              <w:jc w:val="center"/>
              <w:rPr>
                <w:sz w:val="20"/>
              </w:rPr>
            </w:pPr>
            <w:r>
              <w:rPr>
                <w:sz w:val="20"/>
              </w:rPr>
              <w:t>LEV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518" w:right="0"/>
              <w:jc w:val="left"/>
              <w:rPr>
                <w:sz w:val="20"/>
              </w:rPr>
            </w:pPr>
            <w:r>
              <w:rPr>
                <w:sz w:val="20"/>
              </w:rPr>
              <w:t>161.01*</w:t>
            </w:r>
          </w:p>
          <w:p>
            <w:pPr>
              <w:pStyle w:val="TableParagraph"/>
              <w:spacing w:line="240" w:lineRule="auto" w:before="47"/>
              <w:ind w:left="55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181" w:right="0"/>
              <w:jc w:val="left"/>
              <w:rPr>
                <w:sz w:val="20"/>
              </w:rPr>
            </w:pPr>
            <w:r>
              <w:rPr>
                <w:sz w:val="20"/>
              </w:rPr>
              <w:t>310.81*</w:t>
            </w:r>
          </w:p>
          <w:p>
            <w:pPr>
              <w:pStyle w:val="TableParagraph"/>
              <w:spacing w:line="240" w:lineRule="auto" w:before="47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427" w:right="0"/>
              <w:jc w:val="left"/>
              <w:rPr>
                <w:sz w:val="20"/>
              </w:rPr>
            </w:pPr>
            <w:r>
              <w:rPr>
                <w:sz w:val="20"/>
              </w:rPr>
              <w:t>251.1*</w:t>
            </w:r>
          </w:p>
          <w:p>
            <w:pPr>
              <w:pStyle w:val="TableParagraph"/>
              <w:spacing w:line="240" w:lineRule="auto" w:before="47"/>
              <w:ind w:left="411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160" w:right="0"/>
              <w:jc w:val="left"/>
              <w:rPr>
                <w:sz w:val="20"/>
              </w:rPr>
            </w:pPr>
            <w:r>
              <w:rPr>
                <w:sz w:val="20"/>
              </w:rPr>
              <w:t>148.13*</w:t>
            </w:r>
          </w:p>
          <w:p>
            <w:pPr>
              <w:pStyle w:val="TableParagraph"/>
              <w:spacing w:line="240" w:lineRule="auto" w:before="47"/>
              <w:ind w:left="194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159" w:right="0"/>
              <w:jc w:val="left"/>
              <w:rPr>
                <w:sz w:val="20"/>
              </w:rPr>
            </w:pPr>
            <w:r>
              <w:rPr>
                <w:sz w:val="20"/>
              </w:rPr>
              <w:t>156.91*</w:t>
            </w:r>
          </w:p>
          <w:p>
            <w:pPr>
              <w:pStyle w:val="TableParagraph"/>
              <w:spacing w:line="240" w:lineRule="auto" w:before="47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49" w:right="0"/>
              <w:jc w:val="left"/>
              <w:rPr>
                <w:sz w:val="20"/>
              </w:rPr>
            </w:pPr>
            <w:r>
              <w:rPr>
                <w:sz w:val="20"/>
              </w:rPr>
              <w:t>208.02*</w:t>
            </w:r>
          </w:p>
          <w:p>
            <w:pPr>
              <w:pStyle w:val="TableParagraph"/>
              <w:spacing w:line="240" w:lineRule="auto" w:before="47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  <w:tr>
        <w:trPr>
          <w:trHeight w:val="551" w:hRule="atLeast"/>
        </w:trPr>
        <w:tc>
          <w:tcPr>
            <w:tcW w:w="1474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88" w:right="263"/>
              <w:jc w:val="center"/>
              <w:rPr>
                <w:sz w:val="20"/>
              </w:rPr>
            </w:pPr>
            <w:r>
              <w:rPr>
                <w:sz w:val="20"/>
              </w:rPr>
              <w:t>ROA</w:t>
            </w:r>
          </w:p>
        </w:tc>
        <w:tc>
          <w:tcPr>
            <w:tcW w:w="1693" w:type="dxa"/>
          </w:tcPr>
          <w:p>
            <w:pPr>
              <w:pStyle w:val="TableParagraph"/>
              <w:spacing w:line="240" w:lineRule="auto" w:before="0"/>
              <w:ind w:left="479" w:right="477"/>
              <w:jc w:val="center"/>
              <w:rPr>
                <w:sz w:val="20"/>
              </w:rPr>
            </w:pPr>
            <w:r>
              <w:rPr>
                <w:sz w:val="20"/>
              </w:rPr>
              <w:t>0.450</w:t>
            </w:r>
          </w:p>
          <w:p>
            <w:pPr>
              <w:pStyle w:val="TableParagraph"/>
              <w:spacing w:line="240" w:lineRule="auto" w:before="46"/>
              <w:ind w:left="481" w:right="477"/>
              <w:jc w:val="center"/>
              <w:rPr>
                <w:sz w:val="20"/>
              </w:rPr>
            </w:pPr>
            <w:r>
              <w:rPr>
                <w:sz w:val="20"/>
              </w:rPr>
              <w:t>(0.118)</w:t>
            </w:r>
          </w:p>
        </w:tc>
        <w:tc>
          <w:tcPr>
            <w:tcW w:w="1021" w:type="dxa"/>
          </w:tcPr>
          <w:p>
            <w:pPr>
              <w:pStyle w:val="TableParagraph"/>
              <w:spacing w:line="240" w:lineRule="auto" w:before="0"/>
              <w:ind w:left="279" w:right="0"/>
              <w:jc w:val="left"/>
              <w:rPr>
                <w:sz w:val="20"/>
              </w:rPr>
            </w:pPr>
            <w:r>
              <w:rPr>
                <w:sz w:val="20"/>
              </w:rPr>
              <w:t>0.649</w:t>
            </w:r>
          </w:p>
          <w:p>
            <w:pPr>
              <w:pStyle w:val="TableParagraph"/>
              <w:spacing w:line="240" w:lineRule="auto" w:before="46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(0.102)</w:t>
            </w:r>
          </w:p>
        </w:tc>
        <w:tc>
          <w:tcPr>
            <w:tcW w:w="1417" w:type="dxa"/>
          </w:tcPr>
          <w:p>
            <w:pPr>
              <w:pStyle w:val="TableParagraph"/>
              <w:spacing w:line="240" w:lineRule="auto" w:before="0"/>
              <w:ind w:left="132" w:right="131"/>
              <w:jc w:val="center"/>
              <w:rPr>
                <w:sz w:val="20"/>
              </w:rPr>
            </w:pPr>
            <w:r>
              <w:rPr>
                <w:sz w:val="20"/>
              </w:rPr>
              <w:t>0.526</w:t>
            </w:r>
          </w:p>
          <w:p>
            <w:pPr>
              <w:pStyle w:val="TableParagraph"/>
              <w:spacing w:line="240" w:lineRule="auto" w:before="46"/>
              <w:ind w:left="131" w:right="132"/>
              <w:jc w:val="center"/>
              <w:rPr>
                <w:sz w:val="20"/>
              </w:rPr>
            </w:pPr>
            <w:r>
              <w:rPr>
                <w:sz w:val="20"/>
              </w:rPr>
              <w:t>(0.721)</w:t>
            </w:r>
          </w:p>
        </w:tc>
        <w:tc>
          <w:tcPr>
            <w:tcW w:w="978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289.1*</w:t>
            </w:r>
          </w:p>
          <w:p>
            <w:pPr>
              <w:pStyle w:val="TableParagraph"/>
              <w:spacing w:line="240" w:lineRule="auto" w:before="46"/>
              <w:ind w:left="194" w:right="0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(0.000</w:t>
            </w:r>
            <w:r>
              <w:rPr>
                <w:b/>
                <w:sz w:val="20"/>
              </w:rPr>
              <w:t>)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left="210" w:right="0"/>
              <w:jc w:val="left"/>
              <w:rPr>
                <w:sz w:val="20"/>
              </w:rPr>
            </w:pPr>
            <w:r>
              <w:rPr>
                <w:sz w:val="20"/>
              </w:rPr>
              <w:t>318.4*</w:t>
            </w:r>
          </w:p>
          <w:p>
            <w:pPr>
              <w:pStyle w:val="TableParagraph"/>
              <w:spacing w:line="240" w:lineRule="auto" w:before="46"/>
              <w:ind w:left="193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  <w:tc>
          <w:tcPr>
            <w:tcW w:w="1364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399" w:right="0"/>
              <w:jc w:val="left"/>
              <w:rPr>
                <w:sz w:val="20"/>
              </w:rPr>
            </w:pPr>
            <w:r>
              <w:rPr>
                <w:sz w:val="20"/>
              </w:rPr>
              <w:t>209.4*</w:t>
            </w:r>
          </w:p>
          <w:p>
            <w:pPr>
              <w:pStyle w:val="TableParagraph"/>
              <w:spacing w:line="240" w:lineRule="auto" w:before="46"/>
              <w:ind w:left="382" w:right="0"/>
              <w:jc w:val="left"/>
              <w:rPr>
                <w:sz w:val="20"/>
              </w:rPr>
            </w:pPr>
            <w:r>
              <w:rPr>
                <w:sz w:val="20"/>
              </w:rPr>
              <w:t>(0.000)</w:t>
            </w:r>
          </w:p>
        </w:tc>
      </w:tr>
    </w:tbl>
    <w:p>
      <w:pPr>
        <w:spacing w:before="1"/>
        <w:ind w:left="1542" w:right="0" w:firstLine="0"/>
        <w:jc w:val="left"/>
        <w:rPr>
          <w:sz w:val="20"/>
        </w:rPr>
      </w:pPr>
      <w:r>
        <w:rPr>
          <w:b/>
          <w:sz w:val="20"/>
        </w:rPr>
        <w:t>Source:</w:t>
      </w:r>
      <w:r>
        <w:rPr>
          <w:b/>
          <w:spacing w:val="-1"/>
          <w:sz w:val="20"/>
        </w:rPr>
        <w:t> </w:t>
      </w:r>
      <w:r>
        <w:rPr>
          <w:sz w:val="20"/>
        </w:rPr>
        <w:t>Researcher’s</w:t>
      </w:r>
      <w:r>
        <w:rPr>
          <w:spacing w:val="-2"/>
          <w:sz w:val="20"/>
        </w:rPr>
        <w:t> </w:t>
      </w:r>
      <w:r>
        <w:rPr>
          <w:sz w:val="20"/>
        </w:rPr>
        <w:t>compilation (2020) </w:t>
      </w:r>
      <w:r>
        <w:rPr>
          <w:sz w:val="22"/>
        </w:rPr>
        <w:t>using</w:t>
      </w:r>
      <w:r>
        <w:rPr>
          <w:spacing w:val="-1"/>
          <w:sz w:val="22"/>
        </w:rPr>
        <w:t> </w:t>
      </w:r>
      <w:r>
        <w:rPr>
          <w:sz w:val="22"/>
        </w:rPr>
        <w:t>Eviews</w:t>
      </w:r>
      <w:r>
        <w:rPr>
          <w:spacing w:val="-2"/>
          <w:sz w:val="22"/>
        </w:rPr>
        <w:t> </w:t>
      </w:r>
      <w:r>
        <w:rPr>
          <w:sz w:val="22"/>
        </w:rPr>
        <w:t>10.</w:t>
      </w:r>
      <w:r>
        <w:rPr>
          <w:spacing w:val="-3"/>
          <w:sz w:val="22"/>
        </w:rPr>
        <w:t> </w:t>
      </w:r>
      <w:r>
        <w:rPr>
          <w:sz w:val="20"/>
        </w:rPr>
        <w:t>*</w:t>
      </w:r>
      <w:r>
        <w:rPr>
          <w:spacing w:val="-3"/>
          <w:sz w:val="20"/>
        </w:rPr>
        <w:t> </w:t>
      </w:r>
      <w:r>
        <w:rPr>
          <w:sz w:val="20"/>
        </w:rPr>
        <w:t>Sig</w:t>
      </w:r>
      <w:r>
        <w:rPr>
          <w:spacing w:val="-1"/>
          <w:sz w:val="20"/>
        </w:rPr>
        <w:t> </w:t>
      </w:r>
      <w:r>
        <w:rPr>
          <w:sz w:val="20"/>
        </w:rPr>
        <w:t>@1%</w:t>
      </w:r>
    </w:p>
    <w:p>
      <w:pPr>
        <w:pStyle w:val="BodyText"/>
        <w:spacing w:before="10"/>
        <w:ind w:left="0"/>
        <w:jc w:val="left"/>
        <w:rPr>
          <w:sz w:val="21"/>
        </w:rPr>
      </w:pPr>
    </w:p>
    <w:p>
      <w:pPr>
        <w:pStyle w:val="BodyText"/>
        <w:spacing w:line="480" w:lineRule="auto"/>
        <w:ind w:right="830"/>
      </w:pPr>
      <w:r>
        <w:rPr/>
        <w:t>The main advantage of using panel unit root tests is that their power is significantly greater</w:t>
      </w:r>
      <w:r>
        <w:rPr>
          <w:spacing w:val="1"/>
        </w:rPr>
        <w:t> </w:t>
      </w:r>
      <w:r>
        <w:rPr/>
        <w:t>compared to the low power of the standard time-series unit root tests in finite samples against</w:t>
      </w:r>
      <w:r>
        <w:rPr>
          <w:spacing w:val="1"/>
        </w:rPr>
        <w:t> </w:t>
      </w:r>
      <w:r>
        <w:rPr/>
        <w:t>alternative hypotheses with highly persistent deviations from equilibrium. Since the power of</w:t>
      </w:r>
      <w:r>
        <w:rPr>
          <w:spacing w:val="1"/>
        </w:rPr>
        <w:t> </w:t>
      </w:r>
      <w:r>
        <w:rPr/>
        <w:t>unit</w:t>
      </w:r>
      <w:r>
        <w:rPr>
          <w:spacing w:val="-6"/>
        </w:rPr>
        <w:t> </w:t>
      </w:r>
      <w:r>
        <w:rPr/>
        <w:t>root</w:t>
      </w:r>
      <w:r>
        <w:rPr>
          <w:spacing w:val="-7"/>
        </w:rPr>
        <w:t> </w:t>
      </w:r>
      <w:r>
        <w:rPr/>
        <w:t>tests</w:t>
      </w:r>
      <w:r>
        <w:rPr>
          <w:spacing w:val="-6"/>
        </w:rPr>
        <w:t> </w:t>
      </w:r>
      <w:r>
        <w:rPr/>
        <w:t>depend</w:t>
      </w:r>
      <w:r>
        <w:rPr>
          <w:spacing w:val="-6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6"/>
        </w:rPr>
        <w:t> </w:t>
      </w:r>
      <w:r>
        <w:rPr/>
        <w:t>variation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(both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observations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t>and their variation), panel unit root tests are more powerful than standard time-series unit root</w:t>
      </w:r>
      <w:r>
        <w:rPr>
          <w:spacing w:val="-57"/>
        </w:rPr>
        <w:t> </w:t>
      </w:r>
      <w:r>
        <w:rPr/>
        <w:t>tests</w:t>
      </w:r>
      <w:r>
        <w:rPr>
          <w:spacing w:val="-13"/>
        </w:rPr>
        <w:t> </w:t>
      </w:r>
      <w:r>
        <w:rPr/>
        <w:t>because</w:t>
      </w:r>
      <w:r>
        <w:rPr>
          <w:spacing w:val="-14"/>
        </w:rPr>
        <w:t> </w:t>
      </w:r>
      <w:r>
        <w:rPr/>
        <w:t>the</w:t>
      </w:r>
      <w:r>
        <w:rPr>
          <w:spacing w:val="-12"/>
        </w:rPr>
        <w:t> </w:t>
      </w:r>
      <w:r>
        <w:rPr/>
        <w:t>variation</w:t>
      </w:r>
      <w:r>
        <w:rPr>
          <w:spacing w:val="-13"/>
        </w:rPr>
        <w:t> </w:t>
      </w:r>
      <w:r>
        <w:rPr/>
        <w:t>adds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great</w:t>
      </w:r>
      <w:r>
        <w:rPr>
          <w:spacing w:val="-13"/>
        </w:rPr>
        <w:t> </w:t>
      </w:r>
      <w:r>
        <w:rPr/>
        <w:t>deal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information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variation</w:t>
      </w:r>
      <w:r>
        <w:rPr>
          <w:spacing w:val="-13"/>
        </w:rPr>
        <w:t> </w:t>
      </w:r>
      <w:r>
        <w:rPr/>
        <w:t>across</w:t>
      </w:r>
      <w:r>
        <w:rPr>
          <w:spacing w:val="-14"/>
        </w:rPr>
        <w:t> </w:t>
      </w:r>
      <w:r>
        <w:rPr/>
        <w:t>time,</w:t>
      </w:r>
      <w:r>
        <w:rPr>
          <w:spacing w:val="-13"/>
        </w:rPr>
        <w:t> </w:t>
      </w:r>
      <w:r>
        <w:rPr/>
        <w:t>resulting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potentially more</w:t>
      </w:r>
      <w:r>
        <w:rPr>
          <w:spacing w:val="-2"/>
        </w:rPr>
        <w:t> </w:t>
      </w:r>
      <w:r>
        <w:rPr/>
        <w:t>precise</w:t>
      </w:r>
      <w:r>
        <w:rPr>
          <w:spacing w:val="1"/>
        </w:rPr>
        <w:t> </w:t>
      </w:r>
      <w:r>
        <w:rPr/>
        <w:t>parameter</w:t>
      </w:r>
      <w:r>
        <w:rPr>
          <w:spacing w:val="-3"/>
        </w:rPr>
        <w:t> </w:t>
      </w:r>
      <w:r>
        <w:rPr/>
        <w:t>estimates</w:t>
      </w:r>
      <w:r>
        <w:rPr>
          <w:spacing w:val="2"/>
        </w:rPr>
        <w:t> </w:t>
      </w:r>
      <w:r>
        <w:rPr/>
        <w:t>(Taylor &amp;</w:t>
      </w:r>
      <w:r>
        <w:rPr>
          <w:spacing w:val="2"/>
        </w:rPr>
        <w:t> </w:t>
      </w:r>
      <w:r>
        <w:rPr/>
        <w:t>Sarno,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480" w:lineRule="auto" w:before="1"/>
        <w:ind w:right="827"/>
      </w:pPr>
      <w:r>
        <w:rPr/>
        <w:drawing>
          <wp:anchor distT="0" distB="0" distL="0" distR="0" allowOverlap="1" layoutInCell="1" locked="0" behindDoc="1" simplePos="0" relativeHeight="454055424">
            <wp:simplePos x="0" y="0"/>
            <wp:positionH relativeFrom="page">
              <wp:posOffset>1261605</wp:posOffset>
            </wp:positionH>
            <wp:positionV relativeFrom="paragraph">
              <wp:posOffset>726987</wp:posOffset>
            </wp:positionV>
            <wp:extent cx="5133225" cy="5265293"/>
            <wp:effectExtent l="0" t="0" r="0" b="0"/>
            <wp:wrapNone/>
            <wp:docPr id="20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Another</w:t>
      </w:r>
      <w:r>
        <w:rPr>
          <w:spacing w:val="-14"/>
        </w:rPr>
        <w:t> </w:t>
      </w:r>
      <w:r>
        <w:rPr/>
        <w:t>advantage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panel</w:t>
      </w:r>
      <w:r>
        <w:rPr>
          <w:spacing w:val="-13"/>
        </w:rPr>
        <w:t> </w:t>
      </w:r>
      <w:r>
        <w:rPr/>
        <w:t>unit</w:t>
      </w:r>
      <w:r>
        <w:rPr>
          <w:spacing w:val="-13"/>
        </w:rPr>
        <w:t> </w:t>
      </w:r>
      <w:r>
        <w:rPr/>
        <w:t>root</w:t>
      </w:r>
      <w:r>
        <w:rPr>
          <w:spacing w:val="-14"/>
        </w:rPr>
        <w:t> </w:t>
      </w:r>
      <w:r>
        <w:rPr/>
        <w:t>test</w:t>
      </w:r>
      <w:r>
        <w:rPr>
          <w:spacing w:val="-12"/>
        </w:rPr>
        <w:t> </w:t>
      </w:r>
      <w:r>
        <w:rPr/>
        <w:t>is</w:t>
      </w:r>
      <w:r>
        <w:rPr>
          <w:spacing w:val="-15"/>
        </w:rPr>
        <w:t> </w:t>
      </w:r>
      <w:r>
        <w:rPr/>
        <w:t>that</w:t>
      </w:r>
      <w:r>
        <w:rPr>
          <w:spacing w:val="-13"/>
        </w:rPr>
        <w:t> </w:t>
      </w:r>
      <w:r>
        <w:rPr/>
        <w:t>their</w:t>
      </w:r>
      <w:r>
        <w:rPr>
          <w:spacing w:val="-14"/>
        </w:rPr>
        <w:t> </w:t>
      </w:r>
      <w:r>
        <w:rPr/>
        <w:t>asymptotic</w:t>
      </w:r>
      <w:r>
        <w:rPr>
          <w:spacing w:val="-14"/>
        </w:rPr>
        <w:t> </w:t>
      </w:r>
      <w:r>
        <w:rPr/>
        <w:t>distribution</w:t>
      </w:r>
      <w:r>
        <w:rPr>
          <w:spacing w:val="-13"/>
        </w:rPr>
        <w:t> </w:t>
      </w:r>
      <w:r>
        <w:rPr/>
        <w:t>is</w:t>
      </w:r>
      <w:r>
        <w:rPr>
          <w:spacing w:val="-13"/>
        </w:rPr>
        <w:t> </w:t>
      </w:r>
      <w:r>
        <w:rPr/>
        <w:t>standard</w:t>
      </w:r>
      <w:r>
        <w:rPr>
          <w:spacing w:val="-13"/>
        </w:rPr>
        <w:t> </w:t>
      </w:r>
      <w:r>
        <w:rPr/>
        <w:t>normal,</w:t>
      </w:r>
      <w:r>
        <w:rPr>
          <w:spacing w:val="-58"/>
        </w:rPr>
        <w:t> </w:t>
      </w:r>
      <w:r>
        <w:rPr/>
        <w:t>in contrast to individual time series unit root tests (such as the DF or ADF) which have non-</w:t>
      </w:r>
      <w:r>
        <w:rPr>
          <w:spacing w:val="1"/>
        </w:rPr>
        <w:t> </w:t>
      </w:r>
      <w:r>
        <w:rPr/>
        <w:t>standard limiting distributions. The Augmented Dickey Fuller (ADF) test, Phillip Perron (PP)</w:t>
      </w:r>
      <w:r>
        <w:rPr>
          <w:spacing w:val="1"/>
        </w:rPr>
        <w:t> </w:t>
      </w:r>
      <w:r>
        <w:rPr/>
        <w:t>test and the Levin, Lin &amp; Chu test are all employed to provide robustness to the unit root tests.</w:t>
      </w:r>
      <w:r>
        <w:rPr>
          <w:spacing w:val="-57"/>
        </w:rPr>
        <w:t> </w:t>
      </w:r>
      <w:r>
        <w:rPr/>
        <w:t>The test is also conducted at levels and at 1</w:t>
      </w:r>
      <w:r>
        <w:rPr>
          <w:vertAlign w:val="superscript"/>
        </w:rPr>
        <w:t>st</w:t>
      </w:r>
      <w:r>
        <w:rPr>
          <w:vertAlign w:val="baseline"/>
        </w:rPr>
        <w:t> difference. At levels for TAG which is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dependent variable, the ADF (203.77, p=0.0011), PP (277.08, p=0.00) and Levin, Lin &amp; Chu</w:t>
      </w:r>
      <w:r>
        <w:rPr>
          <w:spacing w:val="1"/>
          <w:vertAlign w:val="baseline"/>
        </w:rPr>
        <w:t> </w:t>
      </w:r>
      <w:r>
        <w:rPr>
          <w:vertAlign w:val="baseline"/>
        </w:rPr>
        <w:t>(13.866, p=0.000) all show that the variable is stationary at levels and moving to the 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difference, the ADF (344.8, p=0.000), PP (511.57, p=0.00) and Levin, Lin &amp; Chu (28.11,</w:t>
      </w:r>
      <w:r>
        <w:rPr>
          <w:spacing w:val="1"/>
          <w:vertAlign w:val="baseline"/>
        </w:rPr>
        <w:t> </w:t>
      </w:r>
      <w:r>
        <w:rPr>
          <w:vertAlign w:val="baseline"/>
        </w:rPr>
        <w:t>p=0.000)</w:t>
      </w:r>
      <w:r>
        <w:rPr>
          <w:spacing w:val="-2"/>
          <w:vertAlign w:val="baseline"/>
        </w:rPr>
        <w:t> </w:t>
      </w:r>
      <w:r>
        <w:rPr>
          <w:vertAlign w:val="baseline"/>
        </w:rPr>
        <w:t>all</w:t>
      </w:r>
      <w:r>
        <w:rPr>
          <w:spacing w:val="-3"/>
          <w:vertAlign w:val="baseline"/>
        </w:rPr>
        <w:t> </w:t>
      </w:r>
      <w:r>
        <w:rPr>
          <w:vertAlign w:val="baseline"/>
        </w:rPr>
        <w:t>show</w:t>
      </w:r>
      <w:r>
        <w:rPr>
          <w:spacing w:val="-4"/>
          <w:vertAlign w:val="baseline"/>
        </w:rPr>
        <w:t> </w:t>
      </w:r>
      <w:r>
        <w:rPr>
          <w:vertAlign w:val="baseline"/>
        </w:rPr>
        <w:t>that at</w:t>
      </w:r>
      <w:r>
        <w:rPr>
          <w:spacing w:val="-1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difference,</w:t>
      </w:r>
      <w:r>
        <w:rPr>
          <w:spacing w:val="-1"/>
          <w:vertAlign w:val="baseline"/>
        </w:rPr>
        <w:t> </w:t>
      </w:r>
      <w:r>
        <w:rPr>
          <w:vertAlign w:val="baseline"/>
        </w:rPr>
        <w:t>TAG</w:t>
      </w:r>
      <w:r>
        <w:rPr>
          <w:spacing w:val="-3"/>
          <w:vertAlign w:val="baseline"/>
        </w:rPr>
        <w:t> </w:t>
      </w:r>
      <w:r>
        <w:rPr>
          <w:vertAlign w:val="baseline"/>
        </w:rPr>
        <w:t>is</w:t>
      </w:r>
      <w:r>
        <w:rPr>
          <w:spacing w:val="-3"/>
          <w:vertAlign w:val="baseline"/>
        </w:rPr>
        <w:t> </w:t>
      </w:r>
      <w:r>
        <w:rPr>
          <w:vertAlign w:val="baseline"/>
        </w:rPr>
        <w:t>also</w:t>
      </w:r>
      <w:r>
        <w:rPr>
          <w:spacing w:val="-3"/>
          <w:vertAlign w:val="baseline"/>
        </w:rPr>
        <w:t> </w:t>
      </w:r>
      <w:r>
        <w:rPr>
          <w:vertAlign w:val="baseline"/>
        </w:rPr>
        <w:t>stationary.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2"/>
          <w:vertAlign w:val="baseline"/>
        </w:rPr>
        <w:t> </w:t>
      </w:r>
      <w:r>
        <w:rPr>
          <w:vertAlign w:val="baseline"/>
        </w:rPr>
        <w:t>levels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BDIND,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ADF</w:t>
      </w:r>
      <w:r>
        <w:rPr>
          <w:spacing w:val="-57"/>
          <w:vertAlign w:val="baseline"/>
        </w:rPr>
        <w:t> </w:t>
      </w:r>
      <w:r>
        <w:rPr>
          <w:vertAlign w:val="baseline"/>
        </w:rPr>
        <w:t>(184.359, p=0.009), PP (197.2, p=0.00) and Levin, Lin &amp; Chu (29.322, p=0.000) all show 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variable is stationary at levels and moving to the 1</w:t>
      </w:r>
      <w:r>
        <w:rPr>
          <w:vertAlign w:val="superscript"/>
        </w:rPr>
        <w:t>st</w:t>
      </w:r>
      <w:r>
        <w:rPr>
          <w:vertAlign w:val="baseline"/>
        </w:rPr>
        <w:t> difference, the ADF (457.8, p=0.000),</w:t>
      </w:r>
      <w:r>
        <w:rPr>
          <w:spacing w:val="1"/>
          <w:vertAlign w:val="baseline"/>
        </w:rPr>
        <w:t> </w:t>
      </w:r>
      <w:r>
        <w:rPr>
          <w:vertAlign w:val="baseline"/>
        </w:rPr>
        <w:t>PP (176.00, p=0.00) and Levin, Lin &amp; Chu (108.6, p=0.000) all show that at 1</w:t>
      </w:r>
      <w:r>
        <w:rPr>
          <w:vertAlign w:val="superscript"/>
        </w:rPr>
        <w:t>st</w:t>
      </w:r>
      <w:r>
        <w:rPr>
          <w:vertAlign w:val="baseline"/>
        </w:rPr>
        <w:t> difference,</w:t>
      </w:r>
      <w:r>
        <w:rPr>
          <w:spacing w:val="1"/>
          <w:vertAlign w:val="baseline"/>
        </w:rPr>
        <w:t> </w:t>
      </w:r>
      <w:r>
        <w:rPr>
          <w:vertAlign w:val="baseline"/>
        </w:rPr>
        <w:t>BDIND is also stationary. At levels for BDOWN, the panel unit root test reveals estimate for</w:t>
      </w:r>
      <w:r>
        <w:rPr>
          <w:spacing w:val="1"/>
          <w:vertAlign w:val="baseline"/>
        </w:rPr>
        <w:t> </w:t>
      </w:r>
      <w:r>
        <w:rPr>
          <w:vertAlign w:val="baseline"/>
        </w:rPr>
        <w:t>ADF</w:t>
      </w:r>
      <w:r>
        <w:rPr>
          <w:spacing w:val="2"/>
          <w:vertAlign w:val="baseline"/>
        </w:rPr>
        <w:t> </w:t>
      </w:r>
      <w:r>
        <w:rPr>
          <w:vertAlign w:val="baseline"/>
        </w:rPr>
        <w:t>(213.61,</w:t>
      </w:r>
      <w:r>
        <w:rPr>
          <w:spacing w:val="2"/>
          <w:vertAlign w:val="baseline"/>
        </w:rPr>
        <w:t> </w:t>
      </w:r>
      <w:r>
        <w:rPr>
          <w:vertAlign w:val="baseline"/>
        </w:rPr>
        <w:t>p=0.000),</w:t>
      </w:r>
      <w:r>
        <w:rPr>
          <w:spacing w:val="4"/>
          <w:vertAlign w:val="baseline"/>
        </w:rPr>
        <w:t> </w:t>
      </w:r>
      <w:r>
        <w:rPr>
          <w:vertAlign w:val="baseline"/>
        </w:rPr>
        <w:t>PP</w:t>
      </w:r>
      <w:r>
        <w:rPr>
          <w:spacing w:val="2"/>
          <w:vertAlign w:val="baseline"/>
        </w:rPr>
        <w:t> </w:t>
      </w:r>
      <w:r>
        <w:rPr>
          <w:vertAlign w:val="baseline"/>
        </w:rPr>
        <w:t>(186.11,</w:t>
      </w:r>
      <w:r>
        <w:rPr>
          <w:spacing w:val="2"/>
          <w:vertAlign w:val="baseline"/>
        </w:rPr>
        <w:t> </w:t>
      </w:r>
      <w:r>
        <w:rPr>
          <w:vertAlign w:val="baseline"/>
        </w:rPr>
        <w:t>p=0.006)</w:t>
      </w:r>
      <w:r>
        <w:rPr>
          <w:spacing w:val="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Levin,</w:t>
      </w:r>
      <w:r>
        <w:rPr>
          <w:spacing w:val="2"/>
          <w:vertAlign w:val="baseline"/>
        </w:rPr>
        <w:t> </w:t>
      </w:r>
      <w:r>
        <w:rPr>
          <w:vertAlign w:val="baseline"/>
        </w:rPr>
        <w:t>Lin</w:t>
      </w:r>
      <w:r>
        <w:rPr>
          <w:spacing w:val="2"/>
          <w:vertAlign w:val="baseline"/>
        </w:rPr>
        <w:t> </w:t>
      </w:r>
      <w:r>
        <w:rPr>
          <w:vertAlign w:val="baseline"/>
        </w:rPr>
        <w:t>&amp;</w:t>
      </w:r>
      <w:r>
        <w:rPr>
          <w:spacing w:val="2"/>
          <w:vertAlign w:val="baseline"/>
        </w:rPr>
        <w:t> </w:t>
      </w:r>
      <w:r>
        <w:rPr>
          <w:vertAlign w:val="baseline"/>
        </w:rPr>
        <w:t>Chu</w:t>
      </w:r>
      <w:r>
        <w:rPr>
          <w:spacing w:val="4"/>
          <w:vertAlign w:val="baseline"/>
        </w:rPr>
        <w:t> </w:t>
      </w:r>
      <w:r>
        <w:rPr>
          <w:vertAlign w:val="baseline"/>
        </w:rPr>
        <w:t>(133.9,</w:t>
      </w:r>
      <w:r>
        <w:rPr>
          <w:spacing w:val="2"/>
          <w:vertAlign w:val="baseline"/>
        </w:rPr>
        <w:t> </w:t>
      </w:r>
      <w:r>
        <w:rPr>
          <w:vertAlign w:val="baseline"/>
        </w:rPr>
        <w:t>p=0.000)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all</w:t>
      </w:r>
    </w:p>
    <w:p>
      <w:pPr>
        <w:pStyle w:val="BodyText"/>
        <w:spacing w:line="480" w:lineRule="auto" w:before="1"/>
        <w:ind w:right="827"/>
      </w:pPr>
      <w:r>
        <w:rPr/>
        <w:t>show that the variable is stationary at levels and moving to the 1</w:t>
      </w:r>
      <w:r>
        <w:rPr>
          <w:vertAlign w:val="superscript"/>
        </w:rPr>
        <w:t>st</w:t>
      </w:r>
      <w:r>
        <w:rPr>
          <w:vertAlign w:val="baseline"/>
        </w:rPr>
        <w:t> difference, the ADF (304.6,</w:t>
      </w:r>
      <w:r>
        <w:rPr>
          <w:spacing w:val="1"/>
          <w:vertAlign w:val="baseline"/>
        </w:rPr>
        <w:t> </w:t>
      </w:r>
      <w:r>
        <w:rPr>
          <w:vertAlign w:val="baseline"/>
        </w:rPr>
        <w:t>p=0.000), PP (508.9, p=0.00) and Levin, Lin &amp; Chu (343.25, p=0.000) all show that at 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difference,</w:t>
      </w:r>
      <w:r>
        <w:rPr>
          <w:spacing w:val="-1"/>
          <w:vertAlign w:val="baseline"/>
        </w:rPr>
        <w:t> </w:t>
      </w:r>
      <w:r>
        <w:rPr>
          <w:vertAlign w:val="baseline"/>
        </w:rPr>
        <w:t>TAG</w:t>
      </w:r>
      <w:r>
        <w:rPr>
          <w:spacing w:val="-1"/>
          <w:vertAlign w:val="baseline"/>
        </w:rPr>
        <w:t> </w:t>
      </w:r>
      <w:r>
        <w:rPr>
          <w:vertAlign w:val="baseline"/>
        </w:rPr>
        <w:t>is also stationary.</w:t>
      </w:r>
    </w:p>
    <w:p>
      <w:pPr>
        <w:pStyle w:val="BodyText"/>
        <w:spacing w:line="480" w:lineRule="auto" w:before="1"/>
        <w:ind w:right="829"/>
      </w:pPr>
      <w:r>
        <w:rPr/>
        <w:t>At levels for BDS, the ADF (457.754, p=0.009), PP (89.76, p=0.00) and Levin, Lin &amp; Chu</w:t>
      </w:r>
      <w:r>
        <w:rPr>
          <w:spacing w:val="1"/>
        </w:rPr>
        <w:t> </w:t>
      </w:r>
      <w:r>
        <w:rPr/>
        <w:t>(112.87, p=0.000) all show that the variable is stationary at levels and moving to the 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difference, the ADF (98.656, p=0.061), PP (88.087, p=0.00) and Levin, Lin &amp; Chu (132.08,</w:t>
      </w:r>
      <w:r>
        <w:rPr>
          <w:spacing w:val="1"/>
          <w:vertAlign w:val="baseline"/>
        </w:rPr>
        <w:t> </w:t>
      </w:r>
      <w:r>
        <w:rPr>
          <w:vertAlign w:val="baseline"/>
        </w:rPr>
        <w:t>p=0.000). At levels for BGD, the ADF (136.05, p=0.061), PP (140.9, p=0.034) and Levin, Lin</w:t>
      </w:r>
      <w:r>
        <w:rPr>
          <w:spacing w:val="-57"/>
          <w:vertAlign w:val="baseline"/>
        </w:rPr>
        <w:t> </w:t>
      </w:r>
      <w:r>
        <w:rPr>
          <w:vertAlign w:val="baseline"/>
        </w:rPr>
        <w:t>&amp;</w:t>
      </w:r>
      <w:r>
        <w:rPr>
          <w:spacing w:val="32"/>
          <w:vertAlign w:val="baseline"/>
        </w:rPr>
        <w:t> </w:t>
      </w:r>
      <w:r>
        <w:rPr>
          <w:vertAlign w:val="baseline"/>
        </w:rPr>
        <w:t>Chu</w:t>
      </w:r>
      <w:r>
        <w:rPr>
          <w:spacing w:val="33"/>
          <w:vertAlign w:val="baseline"/>
        </w:rPr>
        <w:t> </w:t>
      </w:r>
      <w:r>
        <w:rPr>
          <w:vertAlign w:val="baseline"/>
        </w:rPr>
        <w:t>(7.390,</w:t>
      </w:r>
      <w:r>
        <w:rPr>
          <w:spacing w:val="33"/>
          <w:vertAlign w:val="baseline"/>
        </w:rPr>
        <w:t> </w:t>
      </w:r>
      <w:r>
        <w:rPr>
          <w:vertAlign w:val="baseline"/>
        </w:rPr>
        <w:t>p=0.000).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PP</w:t>
      </w:r>
      <w:r>
        <w:rPr>
          <w:spacing w:val="34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Levin,</w:t>
      </w:r>
      <w:r>
        <w:rPr>
          <w:spacing w:val="33"/>
          <w:vertAlign w:val="baseline"/>
        </w:rPr>
        <w:t> </w:t>
      </w:r>
      <w:r>
        <w:rPr>
          <w:vertAlign w:val="baseline"/>
        </w:rPr>
        <w:t>Lin</w:t>
      </w:r>
      <w:r>
        <w:rPr>
          <w:spacing w:val="32"/>
          <w:vertAlign w:val="baseline"/>
        </w:rPr>
        <w:t> </w:t>
      </w:r>
      <w:r>
        <w:rPr>
          <w:vertAlign w:val="baseline"/>
        </w:rPr>
        <w:t>&amp;</w:t>
      </w:r>
      <w:r>
        <w:rPr>
          <w:spacing w:val="33"/>
          <w:vertAlign w:val="baseline"/>
        </w:rPr>
        <w:t> </w:t>
      </w:r>
      <w:r>
        <w:rPr>
          <w:vertAlign w:val="baseline"/>
        </w:rPr>
        <w:t>Chu</w:t>
      </w:r>
      <w:r>
        <w:rPr>
          <w:spacing w:val="33"/>
          <w:vertAlign w:val="baseline"/>
        </w:rPr>
        <w:t> </w:t>
      </w:r>
      <w:r>
        <w:rPr>
          <w:vertAlign w:val="baseline"/>
        </w:rPr>
        <w:t>test</w:t>
      </w:r>
      <w:r>
        <w:rPr>
          <w:spacing w:val="33"/>
          <w:vertAlign w:val="baseline"/>
        </w:rPr>
        <w:t> </w:t>
      </w:r>
      <w:r>
        <w:rPr>
          <w:vertAlign w:val="baseline"/>
        </w:rPr>
        <w:t>both</w:t>
      </w:r>
      <w:r>
        <w:rPr>
          <w:spacing w:val="32"/>
          <w:vertAlign w:val="baseline"/>
        </w:rPr>
        <w:t> </w:t>
      </w:r>
      <w:r>
        <w:rPr>
          <w:vertAlign w:val="baseline"/>
        </w:rPr>
        <w:t>confirm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variable</w:t>
      </w:r>
      <w:r>
        <w:rPr>
          <w:spacing w:val="32"/>
          <w:vertAlign w:val="baseline"/>
        </w:rPr>
        <w:t> </w:t>
      </w:r>
      <w:r>
        <w:rPr>
          <w:vertAlign w:val="baseline"/>
        </w:rPr>
        <w:t>is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97"/>
        <w:ind w:right="828"/>
      </w:pPr>
      <w:r>
        <w:rPr/>
        <w:t>stationary at levels at 5%. Moving to the 1</w:t>
      </w:r>
      <w:r>
        <w:rPr>
          <w:vertAlign w:val="superscript"/>
        </w:rPr>
        <w:t>st</w:t>
      </w:r>
      <w:r>
        <w:rPr>
          <w:vertAlign w:val="baseline"/>
        </w:rPr>
        <w:t> difference, the ADF (189.76, p=0.00), PP (300.2,</w:t>
      </w:r>
      <w:r>
        <w:rPr>
          <w:spacing w:val="1"/>
          <w:vertAlign w:val="baseline"/>
        </w:rPr>
        <w:t> </w:t>
      </w:r>
      <w:r>
        <w:rPr>
          <w:vertAlign w:val="baseline"/>
        </w:rPr>
        <w:t>p=0.000) and Levin, Lin &amp; Chu (11.17, p=0.000)</w:t>
      </w:r>
      <w:r>
        <w:rPr>
          <w:spacing w:val="1"/>
          <w:vertAlign w:val="baseline"/>
        </w:rPr>
        <w:t> </w:t>
      </w:r>
      <w:r>
        <w:rPr>
          <w:vertAlign w:val="baseline"/>
        </w:rPr>
        <w:t>all confirm</w:t>
      </w:r>
      <w:r>
        <w:rPr>
          <w:spacing w:val="61"/>
          <w:vertAlign w:val="baseline"/>
        </w:rPr>
        <w:t> </w:t>
      </w:r>
      <w:r>
        <w:rPr>
          <w:vertAlign w:val="baseline"/>
        </w:rPr>
        <w:t>the variable is panel stationary</w:t>
      </w:r>
      <w:r>
        <w:rPr>
          <w:spacing w:val="-57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levels at 1%.</w:t>
      </w:r>
    </w:p>
    <w:p>
      <w:pPr>
        <w:pStyle w:val="BodyText"/>
        <w:spacing w:line="480" w:lineRule="auto" w:before="1"/>
        <w:ind w:right="826"/>
      </w:pPr>
      <w:r>
        <w:rPr/>
        <w:drawing>
          <wp:anchor distT="0" distB="0" distL="0" distR="0" allowOverlap="1" layoutInCell="1" locked="0" behindDoc="1" simplePos="0" relativeHeight="454055936">
            <wp:simplePos x="0" y="0"/>
            <wp:positionH relativeFrom="page">
              <wp:posOffset>1261605</wp:posOffset>
            </wp:positionH>
            <wp:positionV relativeFrom="paragraph">
              <wp:posOffset>726987</wp:posOffset>
            </wp:positionV>
            <wp:extent cx="5133225" cy="5265293"/>
            <wp:effectExtent l="0" t="0" r="0" b="0"/>
            <wp:wrapNone/>
            <wp:docPr id="20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</w:t>
      </w:r>
      <w:r>
        <w:rPr>
          <w:spacing w:val="-5"/>
        </w:rPr>
        <w:t> </w:t>
      </w:r>
      <w:r>
        <w:rPr/>
        <w:t>levels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CEO-Age,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ADF</w:t>
      </w:r>
      <w:r>
        <w:rPr>
          <w:spacing w:val="-5"/>
        </w:rPr>
        <w:t> </w:t>
      </w:r>
      <w:r>
        <w:rPr/>
        <w:t>(0.2992,</w:t>
      </w:r>
      <w:r>
        <w:rPr>
          <w:spacing w:val="-4"/>
        </w:rPr>
        <w:t> </w:t>
      </w:r>
      <w:r>
        <w:rPr/>
        <w:t>p=0.8610),</w:t>
      </w:r>
      <w:r>
        <w:rPr>
          <w:spacing w:val="-5"/>
        </w:rPr>
        <w:t> </w:t>
      </w:r>
      <w:r>
        <w:rPr/>
        <w:t>PP</w:t>
      </w:r>
      <w:r>
        <w:rPr>
          <w:spacing w:val="-3"/>
        </w:rPr>
        <w:t> </w:t>
      </w:r>
      <w:r>
        <w:rPr/>
        <w:t>(0.0012,</w:t>
      </w:r>
      <w:r>
        <w:rPr>
          <w:spacing w:val="-4"/>
        </w:rPr>
        <w:t> </w:t>
      </w:r>
      <w:r>
        <w:rPr/>
        <w:t>p=0.9994)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Levin,</w:t>
      </w:r>
      <w:r>
        <w:rPr>
          <w:spacing w:val="-3"/>
        </w:rPr>
        <w:t> </w:t>
      </w:r>
      <w:r>
        <w:rPr/>
        <w:t>Lin</w:t>
      </w:r>
      <w:r>
        <w:rPr>
          <w:spacing w:val="-4"/>
        </w:rPr>
        <w:t> </w:t>
      </w:r>
      <w:r>
        <w:rPr/>
        <w:t>&amp;</w:t>
      </w:r>
      <w:r>
        <w:rPr>
          <w:spacing w:val="-58"/>
        </w:rPr>
        <w:t> </w:t>
      </w:r>
      <w:r>
        <w:rPr/>
        <w:t>Chu</w:t>
      </w:r>
      <w:r>
        <w:rPr>
          <w:spacing w:val="-4"/>
        </w:rPr>
        <w:t> </w:t>
      </w:r>
      <w:r>
        <w:rPr/>
        <w:t>(33.229,</w:t>
      </w:r>
      <w:r>
        <w:rPr>
          <w:spacing w:val="-3"/>
        </w:rPr>
        <w:t> </w:t>
      </w:r>
      <w:r>
        <w:rPr/>
        <w:t>p=0.000)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only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Levin.</w:t>
      </w:r>
      <w:r>
        <w:rPr>
          <w:spacing w:val="-3"/>
        </w:rPr>
        <w:t> </w:t>
      </w:r>
      <w:r>
        <w:rPr/>
        <w:t>Lin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Chu</w:t>
      </w:r>
      <w:r>
        <w:rPr>
          <w:spacing w:val="-3"/>
        </w:rPr>
        <w:t> </w:t>
      </w:r>
      <w:r>
        <w:rPr/>
        <w:t>estimation</w:t>
      </w:r>
      <w:r>
        <w:rPr>
          <w:spacing w:val="-3"/>
        </w:rPr>
        <w:t> </w:t>
      </w:r>
      <w:r>
        <w:rPr/>
        <w:t>show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stationarity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variable at levels and moving to the 1</w:t>
      </w:r>
      <w:r>
        <w:rPr>
          <w:vertAlign w:val="superscript"/>
        </w:rPr>
        <w:t>st</w:t>
      </w:r>
      <w:r>
        <w:rPr>
          <w:vertAlign w:val="baseline"/>
        </w:rPr>
        <w:t> difference, the ADF (0.5959, p=0.6235), PP (6.0e-05,</w:t>
      </w:r>
      <w:r>
        <w:rPr>
          <w:spacing w:val="1"/>
          <w:vertAlign w:val="baseline"/>
        </w:rPr>
        <w:t> </w:t>
      </w:r>
      <w:r>
        <w:rPr>
          <w:vertAlign w:val="baseline"/>
        </w:rPr>
        <w:t>p=0.00)</w:t>
      </w:r>
      <w:r>
        <w:rPr>
          <w:spacing w:val="-9"/>
          <w:vertAlign w:val="baseline"/>
        </w:rPr>
        <w:t> </w:t>
      </w:r>
      <w:r>
        <w:rPr>
          <w:vertAlign w:val="baseline"/>
        </w:rPr>
        <w:t>and</w:t>
      </w:r>
      <w:r>
        <w:rPr>
          <w:spacing w:val="-9"/>
          <w:vertAlign w:val="baseline"/>
        </w:rPr>
        <w:t> </w:t>
      </w:r>
      <w:r>
        <w:rPr>
          <w:vertAlign w:val="baseline"/>
        </w:rPr>
        <w:t>Levin,</w:t>
      </w:r>
      <w:r>
        <w:rPr>
          <w:spacing w:val="-8"/>
          <w:vertAlign w:val="baseline"/>
        </w:rPr>
        <w:t> </w:t>
      </w:r>
      <w:r>
        <w:rPr>
          <w:vertAlign w:val="baseline"/>
        </w:rPr>
        <w:t>Lin</w:t>
      </w:r>
      <w:r>
        <w:rPr>
          <w:spacing w:val="-8"/>
          <w:vertAlign w:val="baseline"/>
        </w:rPr>
        <w:t> </w:t>
      </w:r>
      <w:r>
        <w:rPr>
          <w:vertAlign w:val="baseline"/>
        </w:rPr>
        <w:t>&amp;</w:t>
      </w:r>
      <w:r>
        <w:rPr>
          <w:spacing w:val="-11"/>
          <w:vertAlign w:val="baseline"/>
        </w:rPr>
        <w:t> </w:t>
      </w:r>
      <w:r>
        <w:rPr>
          <w:vertAlign w:val="baseline"/>
        </w:rPr>
        <w:t>Chu</w:t>
      </w:r>
      <w:r>
        <w:rPr>
          <w:spacing w:val="-9"/>
          <w:vertAlign w:val="baseline"/>
        </w:rPr>
        <w:t> </w:t>
      </w:r>
      <w:r>
        <w:rPr>
          <w:vertAlign w:val="baseline"/>
        </w:rPr>
        <w:t>(29.78,</w:t>
      </w:r>
      <w:r>
        <w:rPr>
          <w:spacing w:val="-9"/>
          <w:vertAlign w:val="baseline"/>
        </w:rPr>
        <w:t> </w:t>
      </w:r>
      <w:r>
        <w:rPr>
          <w:vertAlign w:val="baseline"/>
        </w:rPr>
        <w:t>p=0.000)</w:t>
      </w:r>
      <w:r>
        <w:rPr>
          <w:spacing w:val="-8"/>
          <w:vertAlign w:val="baseline"/>
        </w:rPr>
        <w:t> </w:t>
      </w:r>
      <w:r>
        <w:rPr>
          <w:vertAlign w:val="baseline"/>
        </w:rPr>
        <w:t>all</w:t>
      </w:r>
      <w:r>
        <w:rPr>
          <w:spacing w:val="-10"/>
          <w:vertAlign w:val="baseline"/>
        </w:rPr>
        <w:t> </w:t>
      </w:r>
      <w:r>
        <w:rPr>
          <w:vertAlign w:val="baseline"/>
        </w:rPr>
        <w:t>show</w:t>
      </w:r>
      <w:r>
        <w:rPr>
          <w:spacing w:val="-9"/>
          <w:vertAlign w:val="baseline"/>
        </w:rPr>
        <w:t> </w:t>
      </w:r>
      <w:r>
        <w:rPr>
          <w:vertAlign w:val="baseline"/>
        </w:rPr>
        <w:t>that</w:t>
      </w:r>
      <w:r>
        <w:rPr>
          <w:spacing w:val="-9"/>
          <w:vertAlign w:val="baseline"/>
        </w:rPr>
        <w:t> </w:t>
      </w:r>
      <w:r>
        <w:rPr>
          <w:vertAlign w:val="baseline"/>
        </w:rPr>
        <w:t>at</w:t>
      </w:r>
      <w:r>
        <w:rPr>
          <w:spacing w:val="-8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-10"/>
          <w:vertAlign w:val="baseline"/>
        </w:rPr>
        <w:t> </w:t>
      </w:r>
      <w:r>
        <w:rPr>
          <w:vertAlign w:val="baseline"/>
        </w:rPr>
        <w:t>difference,</w:t>
      </w:r>
      <w:r>
        <w:rPr>
          <w:spacing w:val="-8"/>
          <w:vertAlign w:val="baseline"/>
        </w:rPr>
        <w:t> </w:t>
      </w:r>
      <w:r>
        <w:rPr>
          <w:vertAlign w:val="baseline"/>
        </w:rPr>
        <w:t>CEO-Age</w:t>
      </w:r>
      <w:r>
        <w:rPr>
          <w:spacing w:val="-9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also</w:t>
      </w:r>
      <w:r>
        <w:rPr>
          <w:spacing w:val="-58"/>
          <w:vertAlign w:val="baseline"/>
        </w:rPr>
        <w:t> </w:t>
      </w:r>
      <w:r>
        <w:rPr>
          <w:vertAlign w:val="baseline"/>
        </w:rPr>
        <w:t>panel</w:t>
      </w:r>
      <w:r>
        <w:rPr>
          <w:spacing w:val="-13"/>
          <w:vertAlign w:val="baseline"/>
        </w:rPr>
        <w:t> </w:t>
      </w:r>
      <w:r>
        <w:rPr>
          <w:vertAlign w:val="baseline"/>
        </w:rPr>
        <w:t>stationary</w:t>
      </w:r>
      <w:r>
        <w:rPr>
          <w:spacing w:val="-10"/>
          <w:vertAlign w:val="baseline"/>
        </w:rPr>
        <w:t> </w:t>
      </w:r>
      <w:r>
        <w:rPr>
          <w:vertAlign w:val="baseline"/>
        </w:rPr>
        <w:t>at</w:t>
      </w:r>
      <w:r>
        <w:rPr>
          <w:spacing w:val="-10"/>
          <w:vertAlign w:val="baseline"/>
        </w:rPr>
        <w:t> </w:t>
      </w:r>
      <w:r>
        <w:rPr>
          <w:vertAlign w:val="baseline"/>
        </w:rPr>
        <w:t>5%</w:t>
      </w:r>
      <w:r>
        <w:rPr>
          <w:spacing w:val="-14"/>
          <w:vertAlign w:val="baseline"/>
        </w:rPr>
        <w:t> </w:t>
      </w:r>
      <w:r>
        <w:rPr>
          <w:vertAlign w:val="baseline"/>
        </w:rPr>
        <w:t>but</w:t>
      </w:r>
      <w:r>
        <w:rPr>
          <w:spacing w:val="-12"/>
          <w:vertAlign w:val="baseline"/>
        </w:rPr>
        <w:t> </w:t>
      </w:r>
      <w:r>
        <w:rPr>
          <w:vertAlign w:val="baseline"/>
        </w:rPr>
        <w:t>for</w:t>
      </w:r>
      <w:r>
        <w:rPr>
          <w:spacing w:val="-13"/>
          <w:vertAlign w:val="baseline"/>
        </w:rPr>
        <w:t> </w:t>
      </w:r>
      <w:r>
        <w:rPr>
          <w:vertAlign w:val="baseline"/>
        </w:rPr>
        <w:t>PP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10"/>
          <w:vertAlign w:val="baseline"/>
        </w:rPr>
        <w:t> </w:t>
      </w:r>
      <w:r>
        <w:rPr>
          <w:vertAlign w:val="baseline"/>
        </w:rPr>
        <w:t>Levin,</w:t>
      </w:r>
      <w:r>
        <w:rPr>
          <w:spacing w:val="-10"/>
          <w:vertAlign w:val="baseline"/>
        </w:rPr>
        <w:t> </w:t>
      </w:r>
      <w:r>
        <w:rPr>
          <w:vertAlign w:val="baseline"/>
        </w:rPr>
        <w:t>Lin</w:t>
      </w:r>
      <w:r>
        <w:rPr>
          <w:spacing w:val="-13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Chu</w:t>
      </w:r>
      <w:r>
        <w:rPr>
          <w:spacing w:val="-12"/>
          <w:vertAlign w:val="baseline"/>
        </w:rPr>
        <w:t> </w:t>
      </w:r>
      <w:r>
        <w:rPr>
          <w:vertAlign w:val="baseline"/>
        </w:rPr>
        <w:t>estimations.</w:t>
      </w:r>
      <w:r>
        <w:rPr>
          <w:spacing w:val="-10"/>
          <w:vertAlign w:val="baseline"/>
        </w:rPr>
        <w:t> </w:t>
      </w:r>
      <w:r>
        <w:rPr>
          <w:vertAlign w:val="baseline"/>
        </w:rPr>
        <w:t>At</w:t>
      </w:r>
      <w:r>
        <w:rPr>
          <w:spacing w:val="-12"/>
          <w:vertAlign w:val="baseline"/>
        </w:rPr>
        <w:t> </w:t>
      </w:r>
      <w:r>
        <w:rPr>
          <w:vertAlign w:val="baseline"/>
        </w:rPr>
        <w:t>levels</w:t>
      </w:r>
      <w:r>
        <w:rPr>
          <w:spacing w:val="-12"/>
          <w:vertAlign w:val="baseline"/>
        </w:rPr>
        <w:t> </w:t>
      </w:r>
      <w:r>
        <w:rPr>
          <w:vertAlign w:val="baseline"/>
        </w:rPr>
        <w:t>for</w:t>
      </w:r>
      <w:r>
        <w:rPr>
          <w:spacing w:val="-12"/>
          <w:vertAlign w:val="baseline"/>
        </w:rPr>
        <w:t> </w:t>
      </w:r>
      <w:r>
        <w:rPr>
          <w:vertAlign w:val="baseline"/>
        </w:rPr>
        <w:t>CEO-OWN,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panel unit root test reveals estimate for ADF (170.16, p=0.000), PP (176.1, p=0.000) and</w:t>
      </w:r>
      <w:r>
        <w:rPr>
          <w:spacing w:val="1"/>
          <w:vertAlign w:val="baseline"/>
        </w:rPr>
        <w:t> </w:t>
      </w:r>
      <w:r>
        <w:rPr>
          <w:vertAlign w:val="baseline"/>
        </w:rPr>
        <w:t>Levin, Lin &amp; Chu (35.724, p=0.000) and all show that the variable is panel stationary at levels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moving to the 1</w:t>
      </w:r>
      <w:r>
        <w:rPr>
          <w:vertAlign w:val="superscript"/>
        </w:rPr>
        <w:t>st</w:t>
      </w:r>
      <w:r>
        <w:rPr>
          <w:vertAlign w:val="baseline"/>
        </w:rPr>
        <w:t> difference, the ADF (35.724, p=0.000), PP (382.46, p=0.00) and Levin,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Lin</w:t>
      </w:r>
      <w:r>
        <w:rPr>
          <w:spacing w:val="-13"/>
          <w:vertAlign w:val="baseline"/>
        </w:rPr>
        <w:t> </w:t>
      </w:r>
      <w:r>
        <w:rPr>
          <w:vertAlign w:val="baseline"/>
        </w:rPr>
        <w:t>&amp;</w:t>
      </w:r>
      <w:r>
        <w:rPr>
          <w:spacing w:val="-15"/>
          <w:vertAlign w:val="baseline"/>
        </w:rPr>
        <w:t> </w:t>
      </w:r>
      <w:r>
        <w:rPr>
          <w:vertAlign w:val="baseline"/>
        </w:rPr>
        <w:t>Chu</w:t>
      </w:r>
      <w:r>
        <w:rPr>
          <w:spacing w:val="-13"/>
          <w:vertAlign w:val="baseline"/>
        </w:rPr>
        <w:t> </w:t>
      </w:r>
      <w:r>
        <w:rPr>
          <w:vertAlign w:val="baseline"/>
        </w:rPr>
        <w:t>(425,</w:t>
      </w:r>
      <w:r>
        <w:rPr>
          <w:spacing w:val="-13"/>
          <w:vertAlign w:val="baseline"/>
        </w:rPr>
        <w:t> </w:t>
      </w:r>
      <w:r>
        <w:rPr>
          <w:vertAlign w:val="baseline"/>
        </w:rPr>
        <w:t>p=0.000)</w:t>
      </w:r>
      <w:r>
        <w:rPr>
          <w:spacing w:val="-14"/>
          <w:vertAlign w:val="baseline"/>
        </w:rPr>
        <w:t> </w:t>
      </w:r>
      <w:r>
        <w:rPr>
          <w:vertAlign w:val="baseline"/>
        </w:rPr>
        <w:t>all</w:t>
      </w:r>
      <w:r>
        <w:rPr>
          <w:spacing w:val="-13"/>
          <w:vertAlign w:val="baseline"/>
        </w:rPr>
        <w:t> </w:t>
      </w:r>
      <w:r>
        <w:rPr>
          <w:vertAlign w:val="baseline"/>
        </w:rPr>
        <w:t>show</w:t>
      </w:r>
      <w:r>
        <w:rPr>
          <w:spacing w:val="-14"/>
          <w:vertAlign w:val="baseline"/>
        </w:rPr>
        <w:t> </w:t>
      </w:r>
      <w:r>
        <w:rPr>
          <w:vertAlign w:val="baseline"/>
        </w:rPr>
        <w:t>that</w:t>
      </w:r>
      <w:r>
        <w:rPr>
          <w:spacing w:val="-13"/>
          <w:vertAlign w:val="baseline"/>
        </w:rPr>
        <w:t> </w:t>
      </w:r>
      <w:r>
        <w:rPr>
          <w:vertAlign w:val="baseline"/>
        </w:rPr>
        <w:t>at</w:t>
      </w:r>
      <w:r>
        <w:rPr>
          <w:spacing w:val="-15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-15"/>
          <w:vertAlign w:val="baseline"/>
        </w:rPr>
        <w:t> </w:t>
      </w:r>
      <w:r>
        <w:rPr>
          <w:vertAlign w:val="baseline"/>
        </w:rPr>
        <w:t>difference,</w:t>
      </w:r>
      <w:r>
        <w:rPr>
          <w:spacing w:val="-13"/>
          <w:vertAlign w:val="baseline"/>
        </w:rPr>
        <w:t> </w:t>
      </w:r>
      <w:r>
        <w:rPr>
          <w:vertAlign w:val="baseline"/>
        </w:rPr>
        <w:t>CEO-OWN</w:t>
      </w:r>
      <w:r>
        <w:rPr>
          <w:spacing w:val="-14"/>
          <w:vertAlign w:val="baseline"/>
        </w:rPr>
        <w:t> </w:t>
      </w:r>
      <w:r>
        <w:rPr>
          <w:vertAlign w:val="baseline"/>
        </w:rPr>
        <w:t>is</w:t>
      </w:r>
      <w:r>
        <w:rPr>
          <w:spacing w:val="-13"/>
          <w:vertAlign w:val="baseline"/>
        </w:rPr>
        <w:t> </w:t>
      </w:r>
      <w:r>
        <w:rPr>
          <w:vertAlign w:val="baseline"/>
        </w:rPr>
        <w:t>also</w:t>
      </w:r>
      <w:r>
        <w:rPr>
          <w:spacing w:val="-15"/>
          <w:vertAlign w:val="baseline"/>
        </w:rPr>
        <w:t> </w:t>
      </w:r>
      <w:r>
        <w:rPr>
          <w:vertAlign w:val="baseline"/>
        </w:rPr>
        <w:t>stationary.</w:t>
      </w:r>
      <w:r>
        <w:rPr>
          <w:spacing w:val="-13"/>
          <w:vertAlign w:val="baseline"/>
        </w:rPr>
        <w:t> </w:t>
      </w:r>
      <w:r>
        <w:rPr>
          <w:vertAlign w:val="baseline"/>
        </w:rPr>
        <w:t>At</w:t>
      </w:r>
      <w:r>
        <w:rPr>
          <w:spacing w:val="-13"/>
          <w:vertAlign w:val="baseline"/>
        </w:rPr>
        <w:t> </w:t>
      </w:r>
      <w:r>
        <w:rPr>
          <w:vertAlign w:val="baseline"/>
        </w:rPr>
        <w:t>levels</w:t>
      </w:r>
      <w:r>
        <w:rPr>
          <w:spacing w:val="-58"/>
          <w:vertAlign w:val="baseline"/>
        </w:rPr>
        <w:t> </w:t>
      </w:r>
      <w:r>
        <w:rPr>
          <w:vertAlign w:val="baseline"/>
        </w:rPr>
        <w:t>for</w:t>
      </w:r>
      <w:r>
        <w:rPr>
          <w:spacing w:val="43"/>
          <w:vertAlign w:val="baseline"/>
        </w:rPr>
        <w:t> </w:t>
      </w:r>
      <w:r>
        <w:rPr>
          <w:vertAlign w:val="baseline"/>
        </w:rPr>
        <w:t>CEO-T,</w:t>
      </w:r>
      <w:r>
        <w:rPr>
          <w:spacing w:val="47"/>
          <w:vertAlign w:val="baseline"/>
        </w:rPr>
        <w:t> </w:t>
      </w:r>
      <w:r>
        <w:rPr>
          <w:vertAlign w:val="baseline"/>
        </w:rPr>
        <w:t>the</w:t>
      </w:r>
      <w:r>
        <w:rPr>
          <w:spacing w:val="44"/>
          <w:vertAlign w:val="baseline"/>
        </w:rPr>
        <w:t> </w:t>
      </w:r>
      <w:r>
        <w:rPr>
          <w:vertAlign w:val="baseline"/>
        </w:rPr>
        <w:t>ADF</w:t>
      </w:r>
      <w:r>
        <w:rPr>
          <w:spacing w:val="46"/>
          <w:vertAlign w:val="baseline"/>
        </w:rPr>
        <w:t> </w:t>
      </w:r>
      <w:r>
        <w:rPr>
          <w:vertAlign w:val="baseline"/>
        </w:rPr>
        <w:t>(272.5,</w:t>
      </w:r>
      <w:r>
        <w:rPr>
          <w:spacing w:val="45"/>
          <w:vertAlign w:val="baseline"/>
        </w:rPr>
        <w:t> </w:t>
      </w:r>
      <w:r>
        <w:rPr>
          <w:vertAlign w:val="baseline"/>
        </w:rPr>
        <w:t>p=0.00),</w:t>
      </w:r>
      <w:r>
        <w:rPr>
          <w:spacing w:val="44"/>
          <w:vertAlign w:val="baseline"/>
        </w:rPr>
        <w:t> </w:t>
      </w:r>
      <w:r>
        <w:rPr>
          <w:vertAlign w:val="baseline"/>
        </w:rPr>
        <w:t>PP</w:t>
      </w:r>
      <w:r>
        <w:rPr>
          <w:spacing w:val="45"/>
          <w:vertAlign w:val="baseline"/>
        </w:rPr>
        <w:t> </w:t>
      </w:r>
      <w:r>
        <w:rPr>
          <w:vertAlign w:val="baseline"/>
        </w:rPr>
        <w:t>(428.8,</w:t>
      </w:r>
      <w:r>
        <w:rPr>
          <w:spacing w:val="45"/>
          <w:vertAlign w:val="baseline"/>
        </w:rPr>
        <w:t> </w:t>
      </w:r>
      <w:r>
        <w:rPr>
          <w:vertAlign w:val="baseline"/>
        </w:rPr>
        <w:t>p=0.00)</w:t>
      </w:r>
      <w:r>
        <w:rPr>
          <w:spacing w:val="47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Levin,</w:t>
      </w:r>
      <w:r>
        <w:rPr>
          <w:spacing w:val="50"/>
          <w:vertAlign w:val="baseline"/>
        </w:rPr>
        <w:t> </w:t>
      </w:r>
      <w:r>
        <w:rPr>
          <w:vertAlign w:val="baseline"/>
        </w:rPr>
        <w:t>Lin</w:t>
      </w:r>
      <w:r>
        <w:rPr>
          <w:spacing w:val="47"/>
          <w:vertAlign w:val="baseline"/>
        </w:rPr>
        <w:t> </w:t>
      </w:r>
      <w:r>
        <w:rPr>
          <w:vertAlign w:val="baseline"/>
        </w:rPr>
        <w:t>&amp;</w:t>
      </w:r>
      <w:r>
        <w:rPr>
          <w:spacing w:val="44"/>
          <w:vertAlign w:val="baseline"/>
        </w:rPr>
        <w:t> </w:t>
      </w:r>
      <w:r>
        <w:rPr>
          <w:vertAlign w:val="baseline"/>
        </w:rPr>
        <w:t>Chu</w:t>
      </w:r>
      <w:r>
        <w:rPr>
          <w:spacing w:val="45"/>
          <w:vertAlign w:val="baseline"/>
        </w:rPr>
        <w:t> </w:t>
      </w:r>
      <w:r>
        <w:rPr>
          <w:vertAlign w:val="baseline"/>
        </w:rPr>
        <w:t>(21.61,</w:t>
      </w:r>
    </w:p>
    <w:p>
      <w:pPr>
        <w:pStyle w:val="BodyText"/>
        <w:spacing w:line="480" w:lineRule="auto" w:before="1"/>
        <w:ind w:right="830"/>
      </w:pPr>
      <w:r>
        <w:rPr/>
        <w:t>p=0.000) all show that the variable is stationary at levels and moving to the 1</w:t>
      </w:r>
      <w:r>
        <w:rPr>
          <w:vertAlign w:val="superscript"/>
        </w:rPr>
        <w:t>st</w:t>
      </w:r>
      <w:r>
        <w:rPr>
          <w:vertAlign w:val="baseline"/>
        </w:rPr>
        <w:t> difference,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ADF</w:t>
      </w:r>
      <w:r>
        <w:rPr>
          <w:spacing w:val="28"/>
          <w:vertAlign w:val="baseline"/>
        </w:rPr>
        <w:t> </w:t>
      </w:r>
      <w:r>
        <w:rPr>
          <w:vertAlign w:val="baseline"/>
        </w:rPr>
        <w:t>(314.29,</w:t>
      </w:r>
      <w:r>
        <w:rPr>
          <w:spacing w:val="28"/>
          <w:vertAlign w:val="baseline"/>
        </w:rPr>
        <w:t> </w:t>
      </w:r>
      <w:r>
        <w:rPr>
          <w:vertAlign w:val="baseline"/>
        </w:rPr>
        <w:t>p=0.000),</w:t>
      </w:r>
      <w:r>
        <w:rPr>
          <w:spacing w:val="30"/>
          <w:vertAlign w:val="baseline"/>
        </w:rPr>
        <w:t> </w:t>
      </w:r>
      <w:r>
        <w:rPr>
          <w:vertAlign w:val="baseline"/>
        </w:rPr>
        <w:t>PP</w:t>
      </w:r>
      <w:r>
        <w:rPr>
          <w:spacing w:val="29"/>
          <w:vertAlign w:val="baseline"/>
        </w:rPr>
        <w:t> </w:t>
      </w:r>
      <w:r>
        <w:rPr>
          <w:vertAlign w:val="baseline"/>
        </w:rPr>
        <w:t>(557.18,</w:t>
      </w:r>
      <w:r>
        <w:rPr>
          <w:spacing w:val="28"/>
          <w:vertAlign w:val="baseline"/>
        </w:rPr>
        <w:t> </w:t>
      </w:r>
      <w:r>
        <w:rPr>
          <w:vertAlign w:val="baseline"/>
        </w:rPr>
        <w:t>p=0.00)</w:t>
      </w:r>
      <w:r>
        <w:rPr>
          <w:spacing w:val="27"/>
          <w:vertAlign w:val="baseline"/>
        </w:rPr>
        <w:t> </w:t>
      </w:r>
      <w:r>
        <w:rPr>
          <w:vertAlign w:val="baseline"/>
        </w:rPr>
        <w:t>and</w:t>
      </w:r>
      <w:r>
        <w:rPr>
          <w:spacing w:val="27"/>
          <w:vertAlign w:val="baseline"/>
        </w:rPr>
        <w:t> </w:t>
      </w:r>
      <w:r>
        <w:rPr>
          <w:vertAlign w:val="baseline"/>
        </w:rPr>
        <w:t>Levin,</w:t>
      </w:r>
      <w:r>
        <w:rPr>
          <w:spacing w:val="29"/>
          <w:vertAlign w:val="baseline"/>
        </w:rPr>
        <w:t> </w:t>
      </w:r>
      <w:r>
        <w:rPr>
          <w:vertAlign w:val="baseline"/>
        </w:rPr>
        <w:t>Lin</w:t>
      </w:r>
      <w:r>
        <w:rPr>
          <w:spacing w:val="28"/>
          <w:vertAlign w:val="baseline"/>
        </w:rPr>
        <w:t> </w:t>
      </w:r>
      <w:r>
        <w:rPr>
          <w:vertAlign w:val="baseline"/>
        </w:rPr>
        <w:t>&amp;</w:t>
      </w:r>
      <w:r>
        <w:rPr>
          <w:spacing w:val="29"/>
          <w:vertAlign w:val="baseline"/>
        </w:rPr>
        <w:t> </w:t>
      </w:r>
      <w:r>
        <w:rPr>
          <w:vertAlign w:val="baseline"/>
        </w:rPr>
        <w:t>Chu</w:t>
      </w:r>
      <w:r>
        <w:rPr>
          <w:spacing w:val="28"/>
          <w:vertAlign w:val="baseline"/>
        </w:rPr>
        <w:t> </w:t>
      </w:r>
      <w:r>
        <w:rPr>
          <w:vertAlign w:val="baseline"/>
        </w:rPr>
        <w:t>(25.35,</w:t>
      </w:r>
      <w:r>
        <w:rPr>
          <w:spacing w:val="27"/>
          <w:vertAlign w:val="baseline"/>
        </w:rPr>
        <w:t> </w:t>
      </w:r>
      <w:r>
        <w:rPr>
          <w:vertAlign w:val="baseline"/>
        </w:rPr>
        <w:t>p=0.000).</w:t>
      </w:r>
      <w:r>
        <w:rPr>
          <w:spacing w:val="29"/>
          <w:vertAlign w:val="baseline"/>
        </w:rPr>
        <w:t> </w:t>
      </w:r>
      <w:r>
        <w:rPr>
          <w:vertAlign w:val="baseline"/>
        </w:rPr>
        <w:t>The</w:t>
      </w:r>
    </w:p>
    <w:p>
      <w:pPr>
        <w:pStyle w:val="BodyText"/>
        <w:spacing w:line="480" w:lineRule="auto"/>
        <w:ind w:right="826"/>
      </w:pPr>
      <w:r>
        <w:rPr/>
        <w:t>ADF,</w:t>
      </w:r>
      <w:r>
        <w:rPr>
          <w:spacing w:val="-9"/>
        </w:rPr>
        <w:t> </w:t>
      </w:r>
      <w:r>
        <w:rPr/>
        <w:t>PP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Levin,</w:t>
      </w:r>
      <w:r>
        <w:rPr>
          <w:spacing w:val="-7"/>
        </w:rPr>
        <w:t> </w:t>
      </w:r>
      <w:r>
        <w:rPr/>
        <w:t>Lin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Chu</w:t>
      </w:r>
      <w:r>
        <w:rPr>
          <w:spacing w:val="-9"/>
        </w:rPr>
        <w:t> </w:t>
      </w:r>
      <w:r>
        <w:rPr/>
        <w:t>test</w:t>
      </w:r>
      <w:r>
        <w:rPr>
          <w:spacing w:val="-7"/>
        </w:rPr>
        <w:t> </w:t>
      </w:r>
      <w:r>
        <w:rPr/>
        <w:t>all</w:t>
      </w:r>
      <w:r>
        <w:rPr>
          <w:spacing w:val="-8"/>
        </w:rPr>
        <w:t> </w:t>
      </w:r>
      <w:r>
        <w:rPr/>
        <w:t>confirm</w:t>
      </w:r>
      <w:r>
        <w:rPr>
          <w:spacing w:val="37"/>
        </w:rPr>
        <w:t> </w:t>
      </w:r>
      <w:r>
        <w:rPr/>
        <w:t>the</w:t>
      </w:r>
      <w:r>
        <w:rPr>
          <w:spacing w:val="-9"/>
        </w:rPr>
        <w:t> </w:t>
      </w:r>
      <w:r>
        <w:rPr/>
        <w:t>variable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panel</w:t>
      </w:r>
      <w:r>
        <w:rPr>
          <w:spacing w:val="-7"/>
        </w:rPr>
        <w:t> </w:t>
      </w:r>
      <w:r>
        <w:rPr/>
        <w:t>stationary</w:t>
      </w:r>
      <w:r>
        <w:rPr>
          <w:spacing w:val="-9"/>
        </w:rPr>
        <w:t> </w:t>
      </w:r>
      <w:r>
        <w:rPr/>
        <w:t>at</w:t>
      </w:r>
      <w:r>
        <w:rPr>
          <w:spacing w:val="-7"/>
        </w:rPr>
        <w:t> </w:t>
      </w:r>
      <w:r>
        <w:rPr/>
        <w:t>levels</w:t>
      </w:r>
      <w:r>
        <w:rPr>
          <w:spacing w:val="-8"/>
        </w:rPr>
        <w:t> </w:t>
      </w:r>
      <w:r>
        <w:rPr/>
        <w:t>at</w:t>
      </w:r>
      <w:r>
        <w:rPr>
          <w:spacing w:val="-6"/>
        </w:rPr>
        <w:t> </w:t>
      </w:r>
      <w:r>
        <w:rPr/>
        <w:t>1%.</w:t>
      </w:r>
      <w:r>
        <w:rPr>
          <w:spacing w:val="-58"/>
        </w:rPr>
        <w:t> </w:t>
      </w:r>
      <w:r>
        <w:rPr/>
        <w:t>At levels for FSIZE, the panel unit root test reveals estimate for ADF (0.1839, p=0.791), PP</w:t>
      </w:r>
      <w:r>
        <w:rPr>
          <w:spacing w:val="1"/>
        </w:rPr>
        <w:t> </w:t>
      </w:r>
      <w:r>
        <w:rPr/>
        <w:t>(0.567, p=0.920) and Levin, Lin &amp; Chu</w:t>
      </w:r>
      <w:r>
        <w:rPr>
          <w:spacing w:val="1"/>
        </w:rPr>
        <w:t> </w:t>
      </w:r>
      <w:r>
        <w:rPr/>
        <w:t>(0.5100 p=0.391) show that</w:t>
      </w:r>
      <w:r>
        <w:rPr>
          <w:spacing w:val="1"/>
        </w:rPr>
        <w:t> </w:t>
      </w:r>
      <w:r>
        <w:rPr/>
        <w:t>the variable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stationary at levels and moving to the 1</w:t>
      </w:r>
      <w:r>
        <w:rPr>
          <w:vertAlign w:val="superscript"/>
        </w:rPr>
        <w:t>st</w:t>
      </w:r>
      <w:r>
        <w:rPr>
          <w:vertAlign w:val="baseline"/>
        </w:rPr>
        <w:t> difference, the ADF (280, p=0.000), PP (176.14,</w:t>
      </w:r>
      <w:r>
        <w:rPr>
          <w:spacing w:val="1"/>
          <w:vertAlign w:val="baseline"/>
        </w:rPr>
        <w:t> </w:t>
      </w:r>
      <w:r>
        <w:rPr>
          <w:vertAlign w:val="baseline"/>
        </w:rPr>
        <w:t>p=0.00) and Levin, Lin &amp; Chu (253.08, p=0.000) all show that at 1</w:t>
      </w:r>
      <w:r>
        <w:rPr>
          <w:vertAlign w:val="superscript"/>
        </w:rPr>
        <w:t>st</w:t>
      </w:r>
      <w:r>
        <w:rPr>
          <w:vertAlign w:val="baseline"/>
        </w:rPr>
        <w:t> difference, the variable is</w:t>
      </w:r>
      <w:r>
        <w:rPr>
          <w:spacing w:val="-57"/>
          <w:vertAlign w:val="baseline"/>
        </w:rPr>
        <w:t> </w:t>
      </w:r>
      <w:r>
        <w:rPr>
          <w:vertAlign w:val="baseline"/>
        </w:rPr>
        <w:t>now stationary. At levels for LEV, the ADF (161.01, p=0.00), PP (310.81, p=0.00) and Levin,</w:t>
      </w:r>
      <w:r>
        <w:rPr>
          <w:spacing w:val="-57"/>
          <w:vertAlign w:val="baseline"/>
        </w:rPr>
        <w:t> </w:t>
      </w:r>
      <w:r>
        <w:rPr>
          <w:vertAlign w:val="baseline"/>
        </w:rPr>
        <w:t>Lin &amp; Chu (251.1, p=0.000) all show that the variable is stationary at levels and moving to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1</w:t>
      </w:r>
      <w:r>
        <w:rPr>
          <w:vertAlign w:val="superscript"/>
        </w:rPr>
        <w:t>st</w:t>
      </w:r>
      <w:r>
        <w:rPr>
          <w:spacing w:val="-3"/>
          <w:vertAlign w:val="baseline"/>
        </w:rPr>
        <w:t> </w:t>
      </w:r>
      <w:r>
        <w:rPr>
          <w:vertAlign w:val="baseline"/>
        </w:rPr>
        <w:t>difference,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ADF</w:t>
      </w:r>
      <w:r>
        <w:rPr>
          <w:spacing w:val="-5"/>
          <w:vertAlign w:val="baseline"/>
        </w:rPr>
        <w:t> </w:t>
      </w:r>
      <w:r>
        <w:rPr>
          <w:vertAlign w:val="baseline"/>
        </w:rPr>
        <w:t>(148.13,</w:t>
      </w:r>
      <w:r>
        <w:rPr>
          <w:spacing w:val="-4"/>
          <w:vertAlign w:val="baseline"/>
        </w:rPr>
        <w:t> </w:t>
      </w:r>
      <w:r>
        <w:rPr>
          <w:vertAlign w:val="baseline"/>
        </w:rPr>
        <w:t>p=0.000),</w:t>
      </w:r>
      <w:r>
        <w:rPr>
          <w:spacing w:val="-4"/>
          <w:vertAlign w:val="baseline"/>
        </w:rPr>
        <w:t> </w:t>
      </w:r>
      <w:r>
        <w:rPr>
          <w:vertAlign w:val="baseline"/>
        </w:rPr>
        <w:t>PP</w:t>
      </w:r>
      <w:r>
        <w:rPr>
          <w:spacing w:val="-2"/>
          <w:vertAlign w:val="baseline"/>
        </w:rPr>
        <w:t> </w:t>
      </w:r>
      <w:r>
        <w:rPr>
          <w:vertAlign w:val="baseline"/>
        </w:rPr>
        <w:t>(156.91,</w:t>
      </w:r>
      <w:r>
        <w:rPr>
          <w:spacing w:val="-4"/>
          <w:vertAlign w:val="baseline"/>
        </w:rPr>
        <w:t> </w:t>
      </w:r>
      <w:r>
        <w:rPr>
          <w:vertAlign w:val="baseline"/>
        </w:rPr>
        <w:t>p=0.00)</w:t>
      </w:r>
      <w:r>
        <w:rPr>
          <w:spacing w:val="-5"/>
          <w:vertAlign w:val="baseline"/>
        </w:rPr>
        <w:t> </w:t>
      </w:r>
      <w:r>
        <w:rPr>
          <w:vertAlign w:val="baseline"/>
        </w:rPr>
        <w:t>and</w:t>
      </w:r>
      <w:r>
        <w:rPr>
          <w:spacing w:val="-4"/>
          <w:vertAlign w:val="baseline"/>
        </w:rPr>
        <w:t> </w:t>
      </w:r>
      <w:r>
        <w:rPr>
          <w:vertAlign w:val="baseline"/>
        </w:rPr>
        <w:t>Levin,</w:t>
      </w:r>
      <w:r>
        <w:rPr>
          <w:spacing w:val="-3"/>
          <w:vertAlign w:val="baseline"/>
        </w:rPr>
        <w:t> </w:t>
      </w:r>
      <w:r>
        <w:rPr>
          <w:vertAlign w:val="baseline"/>
        </w:rPr>
        <w:t>Lin</w:t>
      </w:r>
      <w:r>
        <w:rPr>
          <w:spacing w:val="-4"/>
          <w:vertAlign w:val="baseline"/>
        </w:rPr>
        <w:t> </w:t>
      </w:r>
      <w:r>
        <w:rPr>
          <w:vertAlign w:val="baseline"/>
        </w:rPr>
        <w:t>&amp;</w:t>
      </w:r>
      <w:r>
        <w:rPr>
          <w:spacing w:val="-3"/>
          <w:vertAlign w:val="baseline"/>
        </w:rPr>
        <w:t> </w:t>
      </w:r>
      <w:r>
        <w:rPr>
          <w:vertAlign w:val="baseline"/>
        </w:rPr>
        <w:t>Chu</w:t>
      </w:r>
      <w:r>
        <w:rPr>
          <w:spacing w:val="-5"/>
          <w:vertAlign w:val="baseline"/>
        </w:rPr>
        <w:t> </w:t>
      </w:r>
      <w:r>
        <w:rPr>
          <w:vertAlign w:val="baseline"/>
        </w:rPr>
        <w:t>(208.02,</w:t>
      </w:r>
      <w:r>
        <w:rPr>
          <w:spacing w:val="-58"/>
          <w:vertAlign w:val="baseline"/>
        </w:rPr>
        <w:t> </w:t>
      </w:r>
      <w:r>
        <w:rPr>
          <w:vertAlign w:val="baseline"/>
        </w:rPr>
        <w:t>p=0.000) all confirm</w:t>
      </w:r>
      <w:r>
        <w:rPr>
          <w:spacing w:val="1"/>
          <w:vertAlign w:val="baseline"/>
        </w:rPr>
        <w:t> </w:t>
      </w:r>
      <w:r>
        <w:rPr>
          <w:vertAlign w:val="baseline"/>
        </w:rPr>
        <w:t>the variable is stationary at levels at 1%. At levels for ROA, the ADF</w:t>
      </w:r>
      <w:r>
        <w:rPr>
          <w:spacing w:val="1"/>
          <w:vertAlign w:val="baseline"/>
        </w:rPr>
        <w:t> </w:t>
      </w:r>
      <w:r>
        <w:rPr>
          <w:vertAlign w:val="baseline"/>
        </w:rPr>
        <w:t>(0.450,</w:t>
      </w:r>
      <w:r>
        <w:rPr>
          <w:spacing w:val="8"/>
          <w:vertAlign w:val="baseline"/>
        </w:rPr>
        <w:t> </w:t>
      </w:r>
      <w:r>
        <w:rPr>
          <w:vertAlign w:val="baseline"/>
        </w:rPr>
        <w:t>p=0.118),</w:t>
      </w:r>
      <w:r>
        <w:rPr>
          <w:spacing w:val="8"/>
          <w:vertAlign w:val="baseline"/>
        </w:rPr>
        <w:t> </w:t>
      </w:r>
      <w:r>
        <w:rPr>
          <w:vertAlign w:val="baseline"/>
        </w:rPr>
        <w:t>PP</w:t>
      </w:r>
      <w:r>
        <w:rPr>
          <w:spacing w:val="10"/>
          <w:vertAlign w:val="baseline"/>
        </w:rPr>
        <w:t> </w:t>
      </w:r>
      <w:r>
        <w:rPr>
          <w:vertAlign w:val="baseline"/>
        </w:rPr>
        <w:t>(0.649,</w:t>
      </w:r>
      <w:r>
        <w:rPr>
          <w:spacing w:val="8"/>
          <w:vertAlign w:val="baseline"/>
        </w:rPr>
        <w:t> </w:t>
      </w:r>
      <w:r>
        <w:rPr>
          <w:vertAlign w:val="baseline"/>
        </w:rPr>
        <w:t>p=0.102)</w:t>
      </w:r>
      <w:r>
        <w:rPr>
          <w:spacing w:val="7"/>
          <w:vertAlign w:val="baseline"/>
        </w:rPr>
        <w:t> </w:t>
      </w:r>
      <w:r>
        <w:rPr>
          <w:vertAlign w:val="baseline"/>
        </w:rPr>
        <w:t>and</w:t>
      </w:r>
      <w:r>
        <w:rPr>
          <w:spacing w:val="9"/>
          <w:vertAlign w:val="baseline"/>
        </w:rPr>
        <w:t> </w:t>
      </w:r>
      <w:r>
        <w:rPr>
          <w:vertAlign w:val="baseline"/>
        </w:rPr>
        <w:t>Levin,</w:t>
      </w:r>
      <w:r>
        <w:rPr>
          <w:spacing w:val="8"/>
          <w:vertAlign w:val="baseline"/>
        </w:rPr>
        <w:t> </w:t>
      </w:r>
      <w:r>
        <w:rPr>
          <w:vertAlign w:val="baseline"/>
        </w:rPr>
        <w:t>Lin</w:t>
      </w:r>
      <w:r>
        <w:rPr>
          <w:spacing w:val="8"/>
          <w:vertAlign w:val="baseline"/>
        </w:rPr>
        <w:t> </w:t>
      </w:r>
      <w:r>
        <w:rPr>
          <w:vertAlign w:val="baseline"/>
        </w:rPr>
        <w:t>&amp;</w:t>
      </w:r>
      <w:r>
        <w:rPr>
          <w:spacing w:val="9"/>
          <w:vertAlign w:val="baseline"/>
        </w:rPr>
        <w:t> </w:t>
      </w:r>
      <w:r>
        <w:rPr>
          <w:vertAlign w:val="baseline"/>
        </w:rPr>
        <w:t>Chu</w:t>
      </w:r>
      <w:r>
        <w:rPr>
          <w:spacing w:val="5"/>
          <w:vertAlign w:val="baseline"/>
        </w:rPr>
        <w:t> </w:t>
      </w:r>
      <w:r>
        <w:rPr>
          <w:vertAlign w:val="baseline"/>
        </w:rPr>
        <w:t>(0.526,</w:t>
      </w:r>
      <w:r>
        <w:rPr>
          <w:spacing w:val="8"/>
          <w:vertAlign w:val="baseline"/>
        </w:rPr>
        <w:t> </w:t>
      </w:r>
      <w:r>
        <w:rPr>
          <w:vertAlign w:val="baseline"/>
        </w:rPr>
        <w:t>p=0.0721)</w:t>
      </w:r>
      <w:r>
        <w:rPr>
          <w:spacing w:val="8"/>
          <w:vertAlign w:val="baseline"/>
        </w:rPr>
        <w:t> </w:t>
      </w:r>
      <w:r>
        <w:rPr>
          <w:vertAlign w:val="baseline"/>
        </w:rPr>
        <w:t>all</w:t>
      </w:r>
      <w:r>
        <w:rPr>
          <w:spacing w:val="9"/>
          <w:vertAlign w:val="baseline"/>
        </w:rPr>
        <w:t> </w:t>
      </w:r>
      <w:r>
        <w:rPr>
          <w:vertAlign w:val="baseline"/>
        </w:rPr>
        <w:t>show</w:t>
      </w:r>
      <w:r>
        <w:rPr>
          <w:spacing w:val="8"/>
          <w:vertAlign w:val="baseline"/>
        </w:rPr>
        <w:t> </w:t>
      </w:r>
      <w:r>
        <w:rPr>
          <w:vertAlign w:val="baseline"/>
        </w:rPr>
        <w:t>that</w:t>
      </w:r>
    </w:p>
    <w:p>
      <w:pPr>
        <w:spacing w:after="0" w:line="480" w:lineRule="auto"/>
        <w:sectPr>
          <w:pgSz w:w="11910" w:h="16840"/>
          <w:pgMar w:header="0" w:footer="1402" w:top="1100" w:bottom="1680" w:left="880" w:right="300"/>
        </w:sectPr>
      </w:pPr>
    </w:p>
    <w:p>
      <w:pPr>
        <w:pStyle w:val="BodyText"/>
        <w:spacing w:line="480" w:lineRule="auto" w:before="97"/>
        <w:ind w:right="832"/>
      </w:pPr>
      <w:bookmarkStart w:name="_bookmark84" w:id="132"/>
      <w:bookmarkEnd w:id="132"/>
      <w:r>
        <w:rPr/>
      </w:r>
      <w:r>
        <w:rPr/>
        <w:t>the variable is not stationary at levels and moving to the 1</w:t>
      </w:r>
      <w:r>
        <w:rPr>
          <w:vertAlign w:val="superscript"/>
        </w:rPr>
        <w:t>st</w:t>
      </w:r>
      <w:r>
        <w:rPr>
          <w:vertAlign w:val="baseline"/>
        </w:rPr>
        <w:t> difference, the ADF (289.1,</w:t>
      </w:r>
      <w:r>
        <w:rPr>
          <w:spacing w:val="1"/>
          <w:vertAlign w:val="baseline"/>
        </w:rPr>
        <w:t> </w:t>
      </w:r>
      <w:r>
        <w:rPr>
          <w:vertAlign w:val="baseline"/>
        </w:rPr>
        <w:t>p=0.000), PP (318.4, p=0.00) and Levin, Lin &amp; Chu (209.4, p=0.000) all confirm</w:t>
      </w:r>
      <w:r>
        <w:rPr>
          <w:spacing w:val="1"/>
          <w:vertAlign w:val="baseline"/>
        </w:rPr>
        <w:t> </w:t>
      </w:r>
      <w:r>
        <w:rPr>
          <w:vertAlign w:val="baseline"/>
        </w:rPr>
        <w:t>the variable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stationary at levels at 1%.</w:t>
      </w:r>
    </w:p>
    <w:p>
      <w:pPr>
        <w:pStyle w:val="Heading1"/>
        <w:numPr>
          <w:ilvl w:val="2"/>
          <w:numId w:val="30"/>
        </w:numPr>
        <w:tabs>
          <w:tab w:pos="1422" w:val="left" w:leader="none"/>
        </w:tabs>
        <w:spacing w:line="240" w:lineRule="auto" w:before="1" w:after="0"/>
        <w:ind w:left="1422" w:right="0" w:hanging="600"/>
        <w:jc w:val="both"/>
      </w:pPr>
      <w:bookmarkStart w:name="_bookmark81" w:id="133"/>
      <w:bookmarkEnd w:id="133"/>
      <w:r>
        <w:rPr>
          <w:b w:val="0"/>
        </w:rPr>
      </w:r>
      <w:bookmarkStart w:name="_bookmark81" w:id="134"/>
      <w:bookmarkEnd w:id="134"/>
      <w:r>
        <w:rPr/>
        <w:t>Pan</w:t>
      </w:r>
      <w:r>
        <w:rPr/>
        <w:t>el</w:t>
      </w:r>
      <w:r>
        <w:rPr>
          <w:spacing w:val="-4"/>
        </w:rPr>
        <w:t> </w:t>
      </w:r>
      <w:r>
        <w:rPr/>
        <w:t>Co-integration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1"/>
      </w:pPr>
      <w:r>
        <w:rPr/>
        <w:drawing>
          <wp:anchor distT="0" distB="0" distL="0" distR="0" allowOverlap="1" layoutInCell="1" locked="0" behindDoc="1" simplePos="0" relativeHeight="454056448">
            <wp:simplePos x="0" y="0"/>
            <wp:positionH relativeFrom="page">
              <wp:posOffset>1261605</wp:posOffset>
            </wp:positionH>
            <wp:positionV relativeFrom="paragraph">
              <wp:posOffset>336208</wp:posOffset>
            </wp:positionV>
            <wp:extent cx="5133225" cy="5265293"/>
            <wp:effectExtent l="0" t="0" r="0" b="0"/>
            <wp:wrapNone/>
            <wp:docPr id="2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cointegration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Kao</w:t>
      </w:r>
      <w:r>
        <w:rPr>
          <w:spacing w:val="-57"/>
        </w:rPr>
        <w:t> </w:t>
      </w:r>
      <w:r>
        <w:rPr/>
        <w:t>cointegration</w:t>
      </w:r>
      <w:r>
        <w:rPr>
          <w:spacing w:val="-1"/>
        </w:rPr>
        <w:t> </w:t>
      </w:r>
      <w:r>
        <w:rPr/>
        <w:t>test.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test</w:t>
      </w:r>
      <w:r>
        <w:rPr>
          <w:spacing w:val="-4"/>
        </w:rPr>
        <w:t> </w:t>
      </w:r>
      <w:r>
        <w:rPr/>
        <w:t>indicates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no-cointegration</w:t>
      </w:r>
      <w:r>
        <w:rPr>
          <w:spacing w:val="-1"/>
        </w:rPr>
        <w:t> </w:t>
      </w:r>
      <w:r>
        <w:rPr/>
        <w:t>is</w:t>
      </w:r>
      <w:r>
        <w:rPr>
          <w:spacing w:val="-58"/>
        </w:rPr>
        <w:t> </w:t>
      </w:r>
      <w:r>
        <w:rPr/>
        <w:t>rejected at 5% and 1% significance levels. Hence, the empirical results support the hypothesis</w:t>
      </w:r>
      <w:r>
        <w:rPr>
          <w:spacing w:val="1"/>
        </w:rPr>
        <w:t> </w:t>
      </w:r>
      <w:r>
        <w:rPr/>
        <w:t>of cointegration among all variables. Now that the co-integration result has confirmed that a</w:t>
      </w:r>
      <w:r>
        <w:rPr>
          <w:spacing w:val="1"/>
        </w:rPr>
        <w:t> </w:t>
      </w:r>
      <w:r>
        <w:rPr/>
        <w:t>long run relationship exists between the dependent and independent variables thus we can</w:t>
      </w:r>
      <w:r>
        <w:rPr>
          <w:spacing w:val="1"/>
        </w:rPr>
        <w:t> </w:t>
      </w:r>
      <w:r>
        <w:rPr/>
        <w:t>proceed</w:t>
      </w:r>
      <w:r>
        <w:rPr>
          <w:spacing w:val="-1"/>
        </w:rPr>
        <w:t> </w:t>
      </w:r>
      <w:r>
        <w:rPr/>
        <w:t>to specify the</w:t>
      </w:r>
      <w:r>
        <w:rPr>
          <w:spacing w:val="1"/>
        </w:rPr>
        <w:t> </w:t>
      </w:r>
      <w:r>
        <w:rPr/>
        <w:t>estimated relationship.</w:t>
      </w:r>
    </w:p>
    <w:p>
      <w:pPr>
        <w:spacing w:before="200"/>
        <w:ind w:left="822" w:right="0" w:firstLine="0"/>
        <w:jc w:val="both"/>
        <w:rPr>
          <w:sz w:val="24"/>
        </w:rPr>
      </w:pPr>
      <w:bookmarkStart w:name="_bookmark82" w:id="135"/>
      <w:bookmarkEnd w:id="135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3"/>
          <w:sz w:val="24"/>
        </w:rPr>
        <w:t> </w:t>
      </w:r>
      <w:r>
        <w:rPr>
          <w:sz w:val="24"/>
        </w:rPr>
        <w:t>Kao</w:t>
      </w:r>
      <w:r>
        <w:rPr>
          <w:spacing w:val="-2"/>
          <w:sz w:val="24"/>
        </w:rPr>
        <w:t> </w:t>
      </w:r>
      <w:r>
        <w:rPr>
          <w:sz w:val="24"/>
        </w:rPr>
        <w:t>Panel</w:t>
      </w:r>
      <w:r>
        <w:rPr>
          <w:spacing w:val="-2"/>
          <w:sz w:val="24"/>
        </w:rPr>
        <w:t> </w:t>
      </w:r>
      <w:r>
        <w:rPr>
          <w:sz w:val="24"/>
        </w:rPr>
        <w:t>Cointegration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0"/>
        <w:gridCol w:w="4337"/>
      </w:tblGrid>
      <w:tr>
        <w:trPr>
          <w:trHeight w:val="590" w:hRule="atLeast"/>
        </w:trPr>
        <w:tc>
          <w:tcPr>
            <w:tcW w:w="4530" w:type="dxa"/>
            <w:tcBorders>
              <w:left w:val="nil"/>
            </w:tcBorders>
          </w:tcPr>
          <w:p>
            <w:pPr>
              <w:pStyle w:val="TableParagraph"/>
              <w:spacing w:line="240" w:lineRule="auto" w:before="1"/>
              <w:ind w:left="127"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Within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dimension</w:t>
            </w:r>
          </w:p>
        </w:tc>
        <w:tc>
          <w:tcPr>
            <w:tcW w:w="4337" w:type="dxa"/>
            <w:tcBorders>
              <w:right w:val="nil"/>
            </w:tcBorders>
          </w:tcPr>
          <w:p>
            <w:pPr>
              <w:pStyle w:val="TableParagraph"/>
              <w:spacing w:line="240" w:lineRule="auto" w:before="1"/>
              <w:ind w:left="1698" w:right="170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Weighted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Statistic</w:t>
            </w:r>
          </w:p>
        </w:tc>
      </w:tr>
      <w:tr>
        <w:trPr>
          <w:trHeight w:val="292" w:hRule="atLeast"/>
        </w:trPr>
        <w:tc>
          <w:tcPr>
            <w:tcW w:w="4530" w:type="dxa"/>
            <w:tcBorders>
              <w:left w:val="nil"/>
            </w:tcBorders>
          </w:tcPr>
          <w:p>
            <w:pPr>
              <w:pStyle w:val="TableParagraph"/>
              <w:spacing w:line="271" w:lineRule="exact" w:before="1"/>
              <w:ind w:left="1022" w:right="0"/>
              <w:jc w:val="left"/>
              <w:rPr>
                <w:sz w:val="24"/>
              </w:rPr>
            </w:pPr>
            <w:r>
              <w:rPr>
                <w:sz w:val="24"/>
              </w:rPr>
              <w:t>Augmented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Dickey Fuller</w:t>
            </w:r>
          </w:p>
        </w:tc>
        <w:tc>
          <w:tcPr>
            <w:tcW w:w="4337" w:type="dxa"/>
            <w:tcBorders>
              <w:right w:val="nil"/>
            </w:tcBorders>
          </w:tcPr>
          <w:p>
            <w:pPr>
              <w:pStyle w:val="TableParagraph"/>
              <w:spacing w:line="271" w:lineRule="exact" w:before="1"/>
              <w:ind w:left="1698" w:right="1698"/>
              <w:jc w:val="center"/>
              <w:rPr>
                <w:sz w:val="24"/>
              </w:rPr>
            </w:pPr>
            <w:r>
              <w:rPr>
                <w:sz w:val="24"/>
              </w:rPr>
              <w:t>5.7644*</w:t>
            </w:r>
          </w:p>
        </w:tc>
      </w:tr>
      <w:tr>
        <w:trPr>
          <w:trHeight w:val="292" w:hRule="atLeast"/>
        </w:trPr>
        <w:tc>
          <w:tcPr>
            <w:tcW w:w="4530" w:type="dxa"/>
            <w:tcBorders>
              <w:left w:val="nil"/>
            </w:tcBorders>
          </w:tcPr>
          <w:p>
            <w:pPr>
              <w:pStyle w:val="TableParagraph"/>
              <w:spacing w:line="273" w:lineRule="exact" w:before="0"/>
              <w:ind w:left="1539" w:right="1513"/>
              <w:jc w:val="center"/>
              <w:rPr>
                <w:sz w:val="24"/>
              </w:rPr>
            </w:pPr>
            <w:r>
              <w:rPr>
                <w:sz w:val="24"/>
              </w:rPr>
              <w:t>P-stat</w:t>
            </w:r>
          </w:p>
        </w:tc>
        <w:tc>
          <w:tcPr>
            <w:tcW w:w="4337" w:type="dxa"/>
            <w:tcBorders>
              <w:right w:val="nil"/>
            </w:tcBorders>
          </w:tcPr>
          <w:p>
            <w:pPr>
              <w:pStyle w:val="TableParagraph"/>
              <w:spacing w:line="273" w:lineRule="exact" w:before="0"/>
              <w:ind w:left="1698" w:right="1698"/>
              <w:jc w:val="center"/>
              <w:rPr>
                <w:sz w:val="24"/>
              </w:rPr>
            </w:pPr>
            <w:r>
              <w:rPr>
                <w:sz w:val="24"/>
              </w:rPr>
              <w:t>0.002</w:t>
            </w:r>
          </w:p>
        </w:tc>
      </w:tr>
      <w:tr>
        <w:trPr>
          <w:trHeight w:val="292" w:hRule="atLeast"/>
        </w:trPr>
        <w:tc>
          <w:tcPr>
            <w:tcW w:w="4530" w:type="dxa"/>
            <w:tcBorders>
              <w:left w:val="nil"/>
            </w:tcBorders>
          </w:tcPr>
          <w:p>
            <w:pPr>
              <w:pStyle w:val="TableParagraph"/>
              <w:spacing w:line="272" w:lineRule="exact" w:before="0"/>
              <w:ind w:left="1391" w:right="0"/>
              <w:jc w:val="left"/>
              <w:rPr>
                <w:sz w:val="24"/>
              </w:rPr>
            </w:pPr>
            <w:r>
              <w:rPr>
                <w:sz w:val="24"/>
              </w:rPr>
              <w:t>Residual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  <w:tc>
          <w:tcPr>
            <w:tcW w:w="4337" w:type="dxa"/>
            <w:tcBorders>
              <w:right w:val="nil"/>
            </w:tcBorders>
          </w:tcPr>
          <w:p>
            <w:pPr>
              <w:pStyle w:val="TableParagraph"/>
              <w:spacing w:line="272" w:lineRule="exact" w:before="0"/>
              <w:ind w:left="1698" w:right="1698"/>
              <w:jc w:val="center"/>
              <w:rPr>
                <w:sz w:val="24"/>
              </w:rPr>
            </w:pPr>
            <w:r>
              <w:rPr>
                <w:sz w:val="24"/>
              </w:rPr>
              <w:t>0.0549</w:t>
            </w:r>
          </w:p>
        </w:tc>
      </w:tr>
      <w:tr>
        <w:trPr>
          <w:trHeight w:val="292" w:hRule="atLeast"/>
        </w:trPr>
        <w:tc>
          <w:tcPr>
            <w:tcW w:w="4530" w:type="dxa"/>
            <w:tcBorders>
              <w:left w:val="nil"/>
            </w:tcBorders>
          </w:tcPr>
          <w:p>
            <w:pPr>
              <w:pStyle w:val="TableParagraph"/>
              <w:spacing w:line="272" w:lineRule="exact" w:before="0"/>
              <w:ind w:left="1539" w:right="1514"/>
              <w:jc w:val="center"/>
              <w:rPr>
                <w:sz w:val="24"/>
              </w:rPr>
            </w:pPr>
            <w:r>
              <w:rPr>
                <w:sz w:val="24"/>
              </w:rPr>
              <w:t>HAC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Variance</w:t>
            </w:r>
          </w:p>
        </w:tc>
        <w:tc>
          <w:tcPr>
            <w:tcW w:w="4337" w:type="dxa"/>
            <w:tcBorders>
              <w:right w:val="nil"/>
            </w:tcBorders>
          </w:tcPr>
          <w:p>
            <w:pPr>
              <w:pStyle w:val="TableParagraph"/>
              <w:spacing w:line="272" w:lineRule="exact" w:before="0"/>
              <w:ind w:left="1698" w:right="1698"/>
              <w:jc w:val="center"/>
              <w:rPr>
                <w:sz w:val="24"/>
              </w:rPr>
            </w:pPr>
            <w:r>
              <w:rPr>
                <w:sz w:val="24"/>
              </w:rPr>
              <w:t>0.0082</w:t>
            </w:r>
          </w:p>
        </w:tc>
      </w:tr>
    </w:tbl>
    <w:p>
      <w:pPr>
        <w:pStyle w:val="BodyText"/>
      </w:pPr>
      <w:r>
        <w:rPr>
          <w:b/>
        </w:rPr>
        <w:t>Source:</w:t>
      </w:r>
      <w:r>
        <w:rPr>
          <w:b/>
          <w:spacing w:val="-2"/>
        </w:rPr>
        <w:t> </w:t>
      </w:r>
      <w:r>
        <w:rPr/>
        <w:t>Researcher’s</w:t>
      </w:r>
      <w:r>
        <w:rPr>
          <w:spacing w:val="1"/>
        </w:rPr>
        <w:t> </w:t>
      </w:r>
      <w:r>
        <w:rPr/>
        <w:t>compilation</w:t>
      </w:r>
      <w:r>
        <w:rPr>
          <w:spacing w:val="-1"/>
        </w:rPr>
        <w:t> </w:t>
      </w:r>
      <w:r>
        <w:rPr/>
        <w:t>(2020)</w:t>
      </w:r>
      <w:r>
        <w:rPr>
          <w:spacing w:val="-2"/>
        </w:rPr>
        <w:t> </w:t>
      </w:r>
      <w:r>
        <w:rPr/>
        <w:t>using Eviews</w:t>
      </w:r>
      <w:r>
        <w:rPr>
          <w:spacing w:val="-2"/>
        </w:rPr>
        <w:t> </w:t>
      </w:r>
      <w:r>
        <w:rPr/>
        <w:t>10.</w:t>
      </w:r>
      <w:r>
        <w:rPr>
          <w:spacing w:val="1"/>
        </w:rPr>
        <w:t> </w:t>
      </w:r>
      <w:r>
        <w:rPr/>
        <w:t>*</w:t>
      </w:r>
      <w:r>
        <w:rPr>
          <w:spacing w:val="-1"/>
        </w:rPr>
        <w:t> </w:t>
      </w:r>
      <w:r>
        <w:rPr/>
        <w:t>sig @1%,</w:t>
      </w:r>
      <w:r>
        <w:rPr>
          <w:spacing w:val="-1"/>
        </w:rPr>
        <w:t> </w:t>
      </w:r>
      <w:r>
        <w:rPr/>
        <w:t>**</w:t>
      </w:r>
      <w:r>
        <w:rPr>
          <w:spacing w:val="-1"/>
        </w:rPr>
        <w:t> </w:t>
      </w:r>
      <w:r>
        <w:rPr/>
        <w:t>sig</w:t>
      </w:r>
      <w:r>
        <w:rPr>
          <w:spacing w:val="-1"/>
        </w:rPr>
        <w:t> </w:t>
      </w:r>
      <w:r>
        <w:rPr/>
        <w:t>@10%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Heading1"/>
        <w:numPr>
          <w:ilvl w:val="2"/>
          <w:numId w:val="30"/>
        </w:numPr>
        <w:tabs>
          <w:tab w:pos="1423" w:val="left" w:leader="none"/>
        </w:tabs>
        <w:spacing w:line="240" w:lineRule="auto" w:before="175" w:after="0"/>
        <w:ind w:left="1422" w:right="0" w:hanging="601"/>
        <w:jc w:val="both"/>
      </w:pPr>
      <w:bookmarkStart w:name="_bookmark83" w:id="136"/>
      <w:bookmarkEnd w:id="136"/>
      <w:r>
        <w:rPr>
          <w:b w:val="0"/>
        </w:rPr>
      </w:r>
      <w:bookmarkStart w:name="_bookmark83" w:id="137"/>
      <w:bookmarkEnd w:id="137"/>
      <w:r>
        <w:rPr/>
        <w:t>Pan</w:t>
      </w:r>
      <w:r>
        <w:rPr/>
        <w:t>el</w:t>
      </w:r>
      <w:r>
        <w:rPr>
          <w:spacing w:val="-5"/>
        </w:rPr>
        <w:t> </w:t>
      </w:r>
      <w:r>
        <w:rPr/>
        <w:t>Regressions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9"/>
      </w:pPr>
      <w:r>
        <w:rPr/>
        <w:t>The</w:t>
      </w:r>
      <w:r>
        <w:rPr>
          <w:spacing w:val="-3"/>
        </w:rPr>
        <w:t> </w:t>
      </w:r>
      <w:r>
        <w:rPr/>
        <w:t>focus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examine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on tax</w:t>
      </w:r>
      <w:r>
        <w:rPr>
          <w:spacing w:val="-1"/>
        </w:rPr>
        <w:t> </w:t>
      </w:r>
      <w:r>
        <w:rPr/>
        <w:t>aggressiveness</w:t>
      </w:r>
      <w:r>
        <w:rPr>
          <w:spacing w:val="-58"/>
        </w:rPr>
        <w:t> </w:t>
      </w:r>
      <w:r>
        <w:rPr/>
        <w:t>of</w:t>
      </w:r>
      <w:r>
        <w:rPr>
          <w:spacing w:val="-14"/>
        </w:rPr>
        <w:t> </w:t>
      </w:r>
      <w:r>
        <w:rPr/>
        <w:t>listed</w:t>
      </w:r>
      <w:r>
        <w:rPr>
          <w:spacing w:val="-13"/>
        </w:rPr>
        <w:t> </w:t>
      </w:r>
      <w:r>
        <w:rPr/>
        <w:t>non-financial</w:t>
      </w:r>
      <w:r>
        <w:rPr>
          <w:spacing w:val="-13"/>
        </w:rPr>
        <w:t> </w:t>
      </w:r>
      <w:r>
        <w:rPr/>
        <w:t>firms</w:t>
      </w:r>
      <w:r>
        <w:rPr>
          <w:spacing w:val="-12"/>
        </w:rPr>
        <w:t> </w:t>
      </w:r>
      <w:r>
        <w:rPr/>
        <w:t>in</w:t>
      </w:r>
      <w:r>
        <w:rPr>
          <w:spacing w:val="-13"/>
        </w:rPr>
        <w:t> </w:t>
      </w:r>
      <w:r>
        <w:rPr/>
        <w:t>Nigeria.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3"/>
        </w:rPr>
        <w:t> </w:t>
      </w:r>
      <w:r>
        <w:rPr/>
        <w:t>utilizes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Panel</w:t>
      </w:r>
      <w:r>
        <w:rPr>
          <w:spacing w:val="-13"/>
        </w:rPr>
        <w:t> </w:t>
      </w:r>
      <w:r>
        <w:rPr/>
        <w:t>regression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threshold</w:t>
      </w:r>
      <w:r>
        <w:rPr>
          <w:spacing w:val="-58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are</w:t>
      </w:r>
      <w:r>
        <w:rPr>
          <w:spacing w:val="-2"/>
        </w:rPr>
        <w:t> </w:t>
      </w:r>
      <w:r>
        <w:rPr/>
        <w:t>presented below;</w:t>
      </w:r>
    </w:p>
    <w:p>
      <w:pPr>
        <w:spacing w:after="0" w:line="480" w:lineRule="auto"/>
        <w:sectPr>
          <w:pgSz w:w="11910" w:h="16840"/>
          <w:pgMar w:header="0" w:footer="1402" w:top="1100" w:bottom="1680" w:left="880" w:right="300"/>
        </w:sectPr>
      </w:pPr>
    </w:p>
    <w:p>
      <w:pPr>
        <w:spacing w:before="77" w:after="9"/>
        <w:ind w:left="822" w:right="0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5696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57"/>
          <w:sz w:val="24"/>
        </w:rPr>
        <w:t> </w:t>
      </w:r>
      <w:r>
        <w:rPr>
          <w:sz w:val="24"/>
        </w:rPr>
        <w:t>Regression</w:t>
      </w:r>
      <w:r>
        <w:rPr>
          <w:spacing w:val="-1"/>
          <w:sz w:val="24"/>
        </w:rPr>
        <w:t> </w:t>
      </w:r>
      <w:r>
        <w:rPr>
          <w:sz w:val="24"/>
        </w:rPr>
        <w:t>Result</w:t>
      </w:r>
    </w:p>
    <w:tbl>
      <w:tblPr>
        <w:tblW w:w="0" w:type="auto"/>
        <w:jc w:val="left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1385"/>
        <w:gridCol w:w="1844"/>
        <w:gridCol w:w="1703"/>
        <w:gridCol w:w="1808"/>
      </w:tblGrid>
      <w:tr>
        <w:trPr>
          <w:trHeight w:val="218" w:hRule="atLeast"/>
        </w:trPr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</w:tcPr>
          <w:p>
            <w:pPr>
              <w:pStyle w:val="TableParagraph"/>
              <w:spacing w:line="198" w:lineRule="exact" w:before="0"/>
              <w:ind w:left="102" w:right="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Aprori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sign</w:t>
            </w:r>
          </w:p>
        </w:tc>
        <w:tc>
          <w:tcPr>
            <w:tcW w:w="5355" w:type="dxa"/>
            <w:gridSpan w:val="3"/>
            <w:tcBorders>
              <w:right w:val="nil"/>
            </w:tcBorders>
          </w:tcPr>
          <w:p>
            <w:pPr>
              <w:pStyle w:val="TableParagraph"/>
              <w:spacing w:line="198" w:lineRule="exact" w:before="0"/>
              <w:ind w:left="962" w:right="0"/>
              <w:jc w:val="left"/>
              <w:rPr>
                <w:b/>
                <w:sz w:val="19"/>
              </w:rPr>
            </w:pPr>
            <w:r>
              <w:rPr>
                <w:b/>
                <w:sz w:val="19"/>
              </w:rPr>
              <w:t>Dependent</w:t>
            </w:r>
            <w:r>
              <w:rPr>
                <w:b/>
                <w:spacing w:val="-3"/>
                <w:sz w:val="19"/>
              </w:rPr>
              <w:t> </w:t>
            </w:r>
            <w:r>
              <w:rPr>
                <w:b/>
                <w:sz w:val="19"/>
              </w:rPr>
              <w:t>Variable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=</w:t>
            </w:r>
            <w:r>
              <w:rPr>
                <w:b/>
                <w:spacing w:val="-2"/>
                <w:sz w:val="19"/>
              </w:rPr>
              <w:t> </w:t>
            </w:r>
            <w:r>
              <w:rPr>
                <w:b/>
                <w:sz w:val="19"/>
              </w:rPr>
              <w:t>Tax</w:t>
            </w:r>
            <w:r>
              <w:rPr>
                <w:b/>
                <w:spacing w:val="-1"/>
                <w:sz w:val="19"/>
              </w:rPr>
              <w:t> </w:t>
            </w:r>
            <w:r>
              <w:rPr>
                <w:b/>
                <w:sz w:val="19"/>
              </w:rPr>
              <w:t>Aggressiveness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17"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C</w:t>
            </w:r>
          </w:p>
        </w:tc>
        <w:tc>
          <w:tcPr>
            <w:tcW w:w="1385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353" w:right="354"/>
              <w:jc w:val="center"/>
              <w:rPr>
                <w:sz w:val="19"/>
              </w:rPr>
            </w:pPr>
            <w:r>
              <w:rPr>
                <w:sz w:val="19"/>
              </w:rPr>
              <w:t>0.7346*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536" w:right="0"/>
              <w:jc w:val="left"/>
              <w:rPr>
                <w:sz w:val="19"/>
              </w:rPr>
            </w:pPr>
            <w:r>
              <w:rPr>
                <w:sz w:val="19"/>
              </w:rPr>
              <w:t>1.2265*</w:t>
            </w: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right="595"/>
              <w:rPr>
                <w:sz w:val="19"/>
              </w:rPr>
            </w:pPr>
            <w:r>
              <w:rPr>
                <w:sz w:val="19"/>
              </w:rPr>
              <w:t>0.7432*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(0.0915)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519" w:right="0"/>
              <w:jc w:val="left"/>
              <w:rPr>
                <w:sz w:val="19"/>
              </w:rPr>
            </w:pPr>
            <w:r>
              <w:rPr>
                <w:sz w:val="19"/>
              </w:rPr>
              <w:t>(0.1774)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(0.0958)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{0.000}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538" w:right="0"/>
              <w:jc w:val="left"/>
              <w:rPr>
                <w:sz w:val="19"/>
              </w:rPr>
            </w:pPr>
            <w:r>
              <w:rPr>
                <w:sz w:val="19"/>
              </w:rPr>
              <w:t>{0.000}</w:t>
            </w: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99"/>
              <w:rPr>
                <w:sz w:val="19"/>
              </w:rPr>
            </w:pPr>
            <w:r>
              <w:rPr>
                <w:sz w:val="19"/>
              </w:rPr>
              <w:t>{0.000}</w:t>
            </w:r>
          </w:p>
        </w:tc>
      </w:tr>
      <w:tr>
        <w:trPr>
          <w:trHeight w:val="218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9" w:lineRule="exact" w:before="0"/>
              <w:ind w:left="393" w:right="377"/>
              <w:jc w:val="center"/>
              <w:rPr>
                <w:sz w:val="19"/>
              </w:rPr>
            </w:pPr>
            <w:r>
              <w:rPr>
                <w:sz w:val="19"/>
              </w:rPr>
              <w:t>BDIND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199" w:lineRule="exact" w:before="0"/>
              <w:ind w:left="353" w:right="354"/>
              <w:jc w:val="center"/>
              <w:rPr>
                <w:sz w:val="19"/>
              </w:rPr>
            </w:pPr>
            <w:r>
              <w:rPr>
                <w:sz w:val="19"/>
              </w:rPr>
              <w:t>-0.0318*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9" w:lineRule="exact" w:before="0"/>
              <w:ind w:right="564"/>
              <w:rPr>
                <w:sz w:val="19"/>
              </w:rPr>
            </w:pPr>
            <w:r>
              <w:rPr>
                <w:sz w:val="19"/>
              </w:rPr>
              <w:t>-0.0419*</w:t>
            </w:r>
          </w:p>
        </w:tc>
      </w:tr>
      <w:tr>
        <w:trPr>
          <w:trHeight w:val="209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0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+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0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(0.0126)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0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(0.0127)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{0.0116}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51"/>
              <w:rPr>
                <w:sz w:val="19"/>
              </w:rPr>
            </w:pPr>
            <w:r>
              <w:rPr>
                <w:sz w:val="19"/>
              </w:rPr>
              <w:t>{0.0011}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395" w:right="377"/>
              <w:jc w:val="center"/>
              <w:rPr>
                <w:sz w:val="19"/>
              </w:rPr>
            </w:pPr>
            <w:r>
              <w:rPr>
                <w:sz w:val="19"/>
              </w:rPr>
              <w:t>BDOWN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353" w:right="354"/>
              <w:jc w:val="center"/>
              <w:rPr>
                <w:sz w:val="19"/>
              </w:rPr>
            </w:pPr>
            <w:r>
              <w:rPr>
                <w:sz w:val="19"/>
              </w:rPr>
              <w:t>-0.0561*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right="564"/>
              <w:rPr>
                <w:sz w:val="19"/>
              </w:rPr>
            </w:pPr>
            <w:r>
              <w:rPr>
                <w:sz w:val="19"/>
              </w:rPr>
              <w:t>-0.0513*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right="29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+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(0.0212)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(0.0221)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{0.0085}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51"/>
              <w:rPr>
                <w:sz w:val="19"/>
              </w:rPr>
            </w:pPr>
            <w:r>
              <w:rPr>
                <w:sz w:val="19"/>
              </w:rPr>
              <w:t>{0.0208}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392" w:right="377"/>
              <w:jc w:val="center"/>
              <w:rPr>
                <w:sz w:val="19"/>
              </w:rPr>
            </w:pPr>
            <w:r>
              <w:rPr>
                <w:sz w:val="19"/>
              </w:rPr>
              <w:t>BDS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353" w:right="354"/>
              <w:jc w:val="center"/>
              <w:rPr>
                <w:sz w:val="19"/>
              </w:rPr>
            </w:pPr>
            <w:r>
              <w:rPr>
                <w:sz w:val="19"/>
              </w:rPr>
              <w:t>-0.0042*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right="564"/>
              <w:rPr>
                <w:sz w:val="19"/>
              </w:rPr>
            </w:pPr>
            <w:r>
              <w:rPr>
                <w:sz w:val="19"/>
              </w:rPr>
              <w:t>-0.0046*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+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(0.0015)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(0.0014)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{0.0036}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51"/>
              <w:rPr>
                <w:sz w:val="19"/>
              </w:rPr>
            </w:pPr>
            <w:r>
              <w:rPr>
                <w:sz w:val="19"/>
              </w:rPr>
              <w:t>{0.0008}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392" w:right="377"/>
              <w:jc w:val="center"/>
              <w:rPr>
                <w:sz w:val="19"/>
              </w:rPr>
            </w:pPr>
            <w:r>
              <w:rPr>
                <w:sz w:val="19"/>
              </w:rPr>
              <w:t>BGD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353" w:right="355"/>
              <w:jc w:val="center"/>
              <w:rPr>
                <w:sz w:val="19"/>
              </w:rPr>
            </w:pPr>
            <w:r>
              <w:rPr>
                <w:sz w:val="19"/>
              </w:rPr>
              <w:t>0.0600**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left="615" w:right="624"/>
              <w:jc w:val="center"/>
              <w:rPr>
                <w:sz w:val="19"/>
              </w:rPr>
            </w:pPr>
            <w:r>
              <w:rPr>
                <w:sz w:val="19"/>
              </w:rPr>
              <w:t>0.0554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0"/>
              <w:ind w:right="29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+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(0.0355)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(0.0329)</w:t>
            </w:r>
          </w:p>
        </w:tc>
      </w:tr>
      <w:tr>
        <w:trPr>
          <w:trHeight w:val="209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{0.0916}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51"/>
              <w:rPr>
                <w:sz w:val="19"/>
              </w:rPr>
            </w:pPr>
            <w:r>
              <w:rPr>
                <w:sz w:val="19"/>
              </w:rPr>
              <w:t>{0.0933}</w:t>
            </w:r>
          </w:p>
        </w:tc>
      </w:tr>
      <w:tr>
        <w:trPr>
          <w:trHeight w:val="220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8" w:lineRule="exact" w:before="2"/>
              <w:ind w:left="393" w:right="377"/>
              <w:jc w:val="center"/>
              <w:rPr>
                <w:sz w:val="19"/>
              </w:rPr>
            </w:pPr>
            <w:r>
              <w:rPr>
                <w:sz w:val="19"/>
              </w:rPr>
              <w:t>CEOAGE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2"/>
              <w:ind w:left="536" w:right="0"/>
              <w:jc w:val="left"/>
              <w:rPr>
                <w:sz w:val="19"/>
              </w:rPr>
            </w:pPr>
            <w:r>
              <w:rPr>
                <w:sz w:val="19"/>
              </w:rPr>
              <w:t>0.0010*</w:t>
            </w: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 w:before="2"/>
              <w:ind w:right="535"/>
              <w:rPr>
                <w:sz w:val="19"/>
              </w:rPr>
            </w:pPr>
            <w:r>
              <w:rPr>
                <w:sz w:val="19"/>
              </w:rPr>
              <w:t>-1.02e-06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+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519" w:right="0"/>
              <w:jc w:val="left"/>
              <w:rPr>
                <w:sz w:val="19"/>
              </w:rPr>
            </w:pPr>
            <w:r>
              <w:rPr>
                <w:sz w:val="19"/>
              </w:rPr>
              <w:t>(0.0005)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 w:before="0"/>
              <w:ind w:right="626"/>
              <w:rPr>
                <w:sz w:val="19"/>
              </w:rPr>
            </w:pPr>
            <w:r>
              <w:rPr>
                <w:sz w:val="19"/>
              </w:rPr>
              <w:t>(0.000)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490" w:right="0"/>
              <w:jc w:val="left"/>
              <w:rPr>
                <w:sz w:val="19"/>
              </w:rPr>
            </w:pPr>
            <w:r>
              <w:rPr>
                <w:sz w:val="19"/>
              </w:rPr>
              <w:t>{0.0199}</w:t>
            </w: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51"/>
              <w:rPr>
                <w:sz w:val="19"/>
              </w:rPr>
            </w:pPr>
            <w:r>
              <w:rPr>
                <w:sz w:val="19"/>
              </w:rPr>
              <w:t>{0.9921}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395" w:right="377"/>
              <w:jc w:val="center"/>
              <w:rPr>
                <w:sz w:val="19"/>
              </w:rPr>
            </w:pPr>
            <w:r>
              <w:rPr>
                <w:sz w:val="19"/>
              </w:rPr>
              <w:t>CEOOWN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502" w:right="0"/>
              <w:jc w:val="left"/>
              <w:rPr>
                <w:sz w:val="19"/>
              </w:rPr>
            </w:pPr>
            <w:r>
              <w:rPr>
                <w:sz w:val="19"/>
              </w:rPr>
              <w:t>-0.0012*</w:t>
            </w: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right="612"/>
              <w:rPr>
                <w:sz w:val="19"/>
              </w:rPr>
            </w:pPr>
            <w:r>
              <w:rPr>
                <w:sz w:val="19"/>
              </w:rPr>
              <w:t>-0.0008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519" w:right="0"/>
              <w:jc w:val="left"/>
              <w:rPr>
                <w:sz w:val="19"/>
              </w:rPr>
            </w:pPr>
            <w:r>
              <w:rPr>
                <w:sz w:val="19"/>
              </w:rPr>
              <w:t>(0.0006)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(0.0004)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490" w:right="0"/>
              <w:jc w:val="left"/>
              <w:rPr>
                <w:sz w:val="19"/>
              </w:rPr>
            </w:pPr>
            <w:r>
              <w:rPr>
                <w:sz w:val="19"/>
              </w:rPr>
              <w:t>{0.0402}</w:t>
            </w: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51"/>
              <w:rPr>
                <w:sz w:val="19"/>
              </w:rPr>
            </w:pPr>
            <w:r>
              <w:rPr>
                <w:sz w:val="19"/>
              </w:rPr>
              <w:t>{0.0456}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393" w:right="377"/>
              <w:jc w:val="center"/>
              <w:rPr>
                <w:sz w:val="19"/>
              </w:rPr>
            </w:pPr>
            <w:r>
              <w:rPr>
                <w:sz w:val="19"/>
              </w:rPr>
              <w:t>CEO-T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550" w:right="0"/>
              <w:jc w:val="left"/>
              <w:rPr>
                <w:sz w:val="19"/>
              </w:rPr>
            </w:pPr>
            <w:r>
              <w:rPr>
                <w:sz w:val="19"/>
              </w:rPr>
              <w:t>-0.0049</w:t>
            </w: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left="615" w:right="624"/>
              <w:jc w:val="center"/>
              <w:rPr>
                <w:sz w:val="19"/>
              </w:rPr>
            </w:pPr>
            <w:r>
              <w:rPr>
                <w:sz w:val="19"/>
              </w:rPr>
              <w:t>0.0027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right="297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+</w:t>
            </w: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519" w:right="0"/>
              <w:jc w:val="left"/>
              <w:rPr>
                <w:sz w:val="19"/>
              </w:rPr>
            </w:pPr>
            <w:r>
              <w:rPr>
                <w:sz w:val="19"/>
              </w:rPr>
              <w:t>(0.0166)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(0.0053)</w:t>
            </w: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490" w:right="0"/>
              <w:jc w:val="left"/>
              <w:rPr>
                <w:sz w:val="19"/>
              </w:rPr>
            </w:pPr>
            <w:r>
              <w:rPr>
                <w:sz w:val="19"/>
              </w:rPr>
              <w:t>{0.7640}</w:t>
            </w: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right="551"/>
              <w:rPr>
                <w:sz w:val="19"/>
              </w:rPr>
            </w:pPr>
            <w:r>
              <w:rPr>
                <w:sz w:val="19"/>
              </w:rPr>
              <w:t>{0.6124}</w:t>
            </w:r>
          </w:p>
        </w:tc>
      </w:tr>
      <w:tr>
        <w:trPr>
          <w:trHeight w:val="222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3" w:lineRule="exact" w:before="0"/>
              <w:ind w:left="393" w:right="377"/>
              <w:jc w:val="center"/>
              <w:rPr>
                <w:sz w:val="19"/>
              </w:rPr>
            </w:pPr>
            <w:r>
              <w:rPr>
                <w:sz w:val="19"/>
              </w:rPr>
              <w:t>FSIZE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3" w:lineRule="exact" w:before="0"/>
              <w:ind w:left="353" w:right="354"/>
              <w:jc w:val="center"/>
              <w:rPr>
                <w:sz w:val="19"/>
              </w:rPr>
            </w:pPr>
            <w:r>
              <w:rPr>
                <w:sz w:val="19"/>
              </w:rPr>
              <w:t>-0.0122*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03" w:lineRule="exact" w:before="0"/>
              <w:ind w:left="502" w:right="0"/>
              <w:jc w:val="left"/>
              <w:rPr>
                <w:sz w:val="19"/>
              </w:rPr>
            </w:pPr>
            <w:r>
              <w:rPr>
                <w:sz w:val="19"/>
              </w:rPr>
              <w:t>-0.1035*</w:t>
            </w: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3" w:lineRule="exact" w:before="0"/>
              <w:ind w:right="564"/>
              <w:rPr>
                <w:sz w:val="19"/>
              </w:rPr>
            </w:pPr>
            <w:r>
              <w:rPr>
                <w:sz w:val="19"/>
              </w:rPr>
              <w:t>-0.0298*</w:t>
            </w:r>
          </w:p>
        </w:tc>
      </w:tr>
      <w:tr>
        <w:trPr>
          <w:trHeight w:val="21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right="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+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353" w:right="352"/>
              <w:jc w:val="center"/>
              <w:rPr>
                <w:sz w:val="19"/>
              </w:rPr>
            </w:pPr>
            <w:r>
              <w:rPr>
                <w:sz w:val="19"/>
              </w:rPr>
              <w:t>(0.0125)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519" w:right="0"/>
              <w:jc w:val="left"/>
              <w:rPr>
                <w:sz w:val="19"/>
              </w:rPr>
            </w:pPr>
            <w:r>
              <w:rPr>
                <w:sz w:val="19"/>
              </w:rPr>
              <w:t>(0.0309)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(0.0146)</w:t>
            </w:r>
          </w:p>
        </w:tc>
      </w:tr>
      <w:tr>
        <w:trPr>
          <w:trHeight w:val="213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94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{0.3307}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line="194" w:lineRule="exact" w:before="0"/>
              <w:ind w:left="490" w:right="0"/>
              <w:jc w:val="left"/>
              <w:rPr>
                <w:sz w:val="19"/>
              </w:rPr>
            </w:pPr>
            <w:r>
              <w:rPr>
                <w:sz w:val="19"/>
              </w:rPr>
              <w:t>{0.0009}</w:t>
            </w: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94" w:lineRule="exact" w:before="0"/>
              <w:ind w:right="551"/>
              <w:rPr>
                <w:sz w:val="19"/>
              </w:rPr>
            </w:pPr>
            <w:r>
              <w:rPr>
                <w:sz w:val="19"/>
              </w:rPr>
              <w:t>{0.0408}</w:t>
            </w:r>
          </w:p>
        </w:tc>
      </w:tr>
      <w:tr>
        <w:trPr>
          <w:trHeight w:val="225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3" w:lineRule="exact" w:before="2"/>
              <w:ind w:left="390" w:right="377"/>
              <w:jc w:val="center"/>
              <w:rPr>
                <w:sz w:val="19"/>
              </w:rPr>
            </w:pPr>
            <w:r>
              <w:rPr>
                <w:sz w:val="19"/>
              </w:rPr>
              <w:t>LEV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3" w:lineRule="exact" w:before="2"/>
              <w:ind w:left="353" w:right="354"/>
              <w:jc w:val="center"/>
              <w:rPr>
                <w:sz w:val="19"/>
              </w:rPr>
            </w:pPr>
            <w:r>
              <w:rPr>
                <w:sz w:val="19"/>
              </w:rPr>
              <w:t>-0.0005*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03" w:lineRule="exact" w:before="2"/>
              <w:ind w:left="502" w:right="0"/>
              <w:jc w:val="left"/>
              <w:rPr>
                <w:sz w:val="19"/>
              </w:rPr>
            </w:pPr>
            <w:r>
              <w:rPr>
                <w:sz w:val="19"/>
              </w:rPr>
              <w:t>-0.0005*</w:t>
            </w: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3" w:lineRule="exact" w:before="2"/>
              <w:ind w:right="595"/>
              <w:rPr>
                <w:sz w:val="19"/>
              </w:rPr>
            </w:pPr>
            <w:r>
              <w:rPr>
                <w:sz w:val="19"/>
              </w:rPr>
              <w:t>0.0415*</w:t>
            </w:r>
          </w:p>
        </w:tc>
      </w:tr>
      <w:tr>
        <w:trPr>
          <w:trHeight w:val="21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0"/>
              <w:ind w:right="341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(0.0002)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0"/>
              <w:ind w:left="519" w:right="0"/>
              <w:jc w:val="left"/>
              <w:rPr>
                <w:sz w:val="19"/>
              </w:rPr>
            </w:pPr>
            <w:r>
              <w:rPr>
                <w:sz w:val="19"/>
              </w:rPr>
              <w:t>(0.0004)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9" w:lineRule="exact" w:before="0"/>
              <w:ind w:right="579"/>
              <w:rPr>
                <w:sz w:val="19"/>
              </w:rPr>
            </w:pPr>
            <w:r>
              <w:rPr>
                <w:sz w:val="19"/>
              </w:rPr>
              <w:t>(0.0112)</w:t>
            </w:r>
          </w:p>
        </w:tc>
      </w:tr>
      <w:tr>
        <w:trPr>
          <w:trHeight w:val="213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94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{0.0019}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line="194" w:lineRule="exact" w:before="0"/>
              <w:ind w:left="490" w:right="0"/>
              <w:jc w:val="left"/>
              <w:rPr>
                <w:sz w:val="19"/>
              </w:rPr>
            </w:pPr>
            <w:r>
              <w:rPr>
                <w:sz w:val="19"/>
              </w:rPr>
              <w:t>{0.1708}</w:t>
            </w: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94" w:lineRule="exact" w:before="0"/>
              <w:ind w:right="599"/>
              <w:rPr>
                <w:sz w:val="19"/>
              </w:rPr>
            </w:pPr>
            <w:r>
              <w:rPr>
                <w:sz w:val="19"/>
              </w:rPr>
              <w:t>{0.000}</w:t>
            </w:r>
          </w:p>
        </w:tc>
      </w:tr>
      <w:tr>
        <w:trPr>
          <w:trHeight w:val="222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3" w:lineRule="exact" w:before="0"/>
              <w:ind w:left="395" w:right="377"/>
              <w:jc w:val="center"/>
              <w:rPr>
                <w:sz w:val="19"/>
              </w:rPr>
            </w:pPr>
            <w:r>
              <w:rPr>
                <w:sz w:val="19"/>
              </w:rPr>
              <w:t>ROA</w:t>
            </w:r>
          </w:p>
        </w:tc>
        <w:tc>
          <w:tcPr>
            <w:tcW w:w="138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203" w:lineRule="exact" w:before="0"/>
              <w:ind w:left="353" w:right="354"/>
              <w:jc w:val="center"/>
              <w:rPr>
                <w:sz w:val="19"/>
              </w:rPr>
            </w:pPr>
            <w:r>
              <w:rPr>
                <w:sz w:val="19"/>
              </w:rPr>
              <w:t>0.1042*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203" w:lineRule="exact" w:before="0"/>
              <w:ind w:left="536" w:right="0"/>
              <w:jc w:val="left"/>
              <w:rPr>
                <w:sz w:val="19"/>
              </w:rPr>
            </w:pPr>
            <w:r>
              <w:rPr>
                <w:sz w:val="19"/>
              </w:rPr>
              <w:t>0.1980*</w:t>
            </w: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3" w:lineRule="exact" w:before="0"/>
              <w:ind w:right="564"/>
              <w:rPr>
                <w:sz w:val="19"/>
              </w:rPr>
            </w:pPr>
            <w:r>
              <w:rPr>
                <w:sz w:val="19"/>
              </w:rPr>
              <w:t>-0.0751*</w:t>
            </w:r>
          </w:p>
        </w:tc>
      </w:tr>
      <w:tr>
        <w:trPr>
          <w:trHeight w:val="21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right="0"/>
              <w:jc w:val="center"/>
              <w:rPr>
                <w:sz w:val="19"/>
              </w:rPr>
            </w:pPr>
            <w:r>
              <w:rPr>
                <w:w w:val="99"/>
                <w:sz w:val="19"/>
              </w:rPr>
              <w:t>-</w:t>
            </w: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353" w:right="305"/>
              <w:jc w:val="center"/>
              <w:rPr>
                <w:sz w:val="19"/>
              </w:rPr>
            </w:pPr>
            <w:r>
              <w:rPr>
                <w:sz w:val="19"/>
              </w:rPr>
              <w:t>(0.0381)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543" w:right="0"/>
              <w:jc w:val="left"/>
              <w:rPr>
                <w:sz w:val="19"/>
              </w:rPr>
            </w:pPr>
            <w:r>
              <w:rPr>
                <w:sz w:val="19"/>
              </w:rPr>
              <w:t>(0.0479)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right="555"/>
              <w:rPr>
                <w:sz w:val="19"/>
              </w:rPr>
            </w:pPr>
            <w:r>
              <w:rPr>
                <w:sz w:val="19"/>
              </w:rPr>
              <w:t>(0.0079)</w:t>
            </w:r>
          </w:p>
        </w:tc>
      </w:tr>
      <w:tr>
        <w:trPr>
          <w:trHeight w:val="213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94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{0.0065}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line="194" w:lineRule="exact" w:before="0"/>
              <w:ind w:left="538" w:right="0"/>
              <w:jc w:val="left"/>
              <w:rPr>
                <w:sz w:val="19"/>
              </w:rPr>
            </w:pPr>
            <w:r>
              <w:rPr>
                <w:sz w:val="19"/>
              </w:rPr>
              <w:t>{0.000}</w:t>
            </w: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94" w:lineRule="exact" w:before="0"/>
              <w:ind w:right="599"/>
              <w:rPr>
                <w:sz w:val="19"/>
              </w:rPr>
            </w:pPr>
            <w:r>
              <w:rPr>
                <w:sz w:val="19"/>
              </w:rPr>
              <w:t>{0.000}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198" w:lineRule="exact" w:before="0"/>
              <w:ind w:left="393" w:right="377"/>
              <w:jc w:val="center"/>
              <w:rPr>
                <w:sz w:val="19"/>
              </w:rPr>
            </w:pPr>
            <w:r>
              <w:rPr>
                <w:sz w:val="19"/>
              </w:rPr>
              <w:t>AR(3)</w:t>
            </w:r>
          </w:p>
        </w:tc>
        <w:tc>
          <w:tcPr>
            <w:tcW w:w="1385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353" w:right="354"/>
              <w:jc w:val="center"/>
              <w:rPr>
                <w:sz w:val="19"/>
              </w:rPr>
            </w:pPr>
            <w:r>
              <w:rPr>
                <w:sz w:val="19"/>
              </w:rPr>
              <w:t>0.0035*</w:t>
            </w:r>
          </w:p>
        </w:tc>
        <w:tc>
          <w:tcPr>
            <w:tcW w:w="1703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808" w:type="dxa"/>
            <w:vMerge w:val="restart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353" w:right="305"/>
              <w:jc w:val="center"/>
              <w:rPr>
                <w:sz w:val="19"/>
              </w:rPr>
            </w:pPr>
            <w:r>
              <w:rPr>
                <w:sz w:val="19"/>
              </w:rPr>
              <w:t>(0.0205)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2000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{0.8660}</w:t>
            </w:r>
          </w:p>
        </w:tc>
        <w:tc>
          <w:tcPr>
            <w:tcW w:w="17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8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8" w:hRule="atLeast"/>
        </w:trPr>
        <w:tc>
          <w:tcPr>
            <w:tcW w:w="6932" w:type="dxa"/>
            <w:gridSpan w:val="4"/>
            <w:tcBorders>
              <w:left w:val="nil"/>
            </w:tcBorders>
          </w:tcPr>
          <w:p>
            <w:pPr>
              <w:pStyle w:val="TableParagraph"/>
              <w:spacing w:line="198" w:lineRule="exact" w:before="0"/>
              <w:ind w:left="2752" w:right="2751"/>
              <w:jc w:val="center"/>
              <w:rPr>
                <w:sz w:val="19"/>
              </w:rPr>
            </w:pPr>
            <w:r>
              <w:rPr>
                <w:sz w:val="19"/>
              </w:rPr>
              <w:t>Model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Parameters</w:t>
            </w:r>
          </w:p>
        </w:tc>
        <w:tc>
          <w:tcPr>
            <w:tcW w:w="1808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148" w:lineRule="auto" w:before="39"/>
              <w:ind w:left="393" w:right="377"/>
              <w:jc w:val="center"/>
              <w:rPr>
                <w:sz w:val="12"/>
              </w:rPr>
            </w:pPr>
            <w:r>
              <w:rPr>
                <w:position w:val="-6"/>
                <w:sz w:val="19"/>
              </w:rPr>
              <w:t>R</w:t>
            </w:r>
            <w:r>
              <w:rPr>
                <w:sz w:val="12"/>
              </w:rPr>
              <w:t>2</w:t>
            </w:r>
          </w:p>
        </w:tc>
        <w:tc>
          <w:tcPr>
            <w:tcW w:w="138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198" w:lineRule="exact" w:before="2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0.919</w:t>
            </w:r>
          </w:p>
        </w:tc>
        <w:tc>
          <w:tcPr>
            <w:tcW w:w="1703" w:type="dxa"/>
          </w:tcPr>
          <w:p>
            <w:pPr>
              <w:pStyle w:val="TableParagraph"/>
              <w:spacing w:line="198" w:lineRule="exact" w:before="2"/>
              <w:ind w:left="582" w:right="0"/>
              <w:jc w:val="left"/>
              <w:rPr>
                <w:sz w:val="19"/>
              </w:rPr>
            </w:pPr>
            <w:r>
              <w:rPr>
                <w:sz w:val="19"/>
              </w:rPr>
              <w:t>0.5711</w:t>
            </w:r>
          </w:p>
        </w:tc>
        <w:tc>
          <w:tcPr>
            <w:tcW w:w="1808" w:type="dxa"/>
            <w:tcBorders>
              <w:right w:val="nil"/>
            </w:tcBorders>
          </w:tcPr>
          <w:p>
            <w:pPr>
              <w:pStyle w:val="TableParagraph"/>
              <w:spacing w:line="198" w:lineRule="exact" w:before="2"/>
              <w:ind w:left="615" w:right="624"/>
              <w:jc w:val="center"/>
              <w:rPr>
                <w:sz w:val="19"/>
              </w:rPr>
            </w:pPr>
            <w:r>
              <w:rPr>
                <w:sz w:val="19"/>
              </w:rPr>
              <w:t>0.921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198" w:lineRule="exact" w:before="0"/>
              <w:ind w:left="396" w:right="376"/>
              <w:jc w:val="center"/>
              <w:rPr>
                <w:sz w:val="19"/>
              </w:rPr>
            </w:pPr>
            <w:r>
              <w:rPr>
                <w:sz w:val="19"/>
              </w:rPr>
              <w:t>Adjusted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R</w:t>
            </w:r>
            <w:r>
              <w:rPr>
                <w:sz w:val="19"/>
                <w:vertAlign w:val="superscript"/>
              </w:rPr>
              <w:t>2</w:t>
            </w:r>
          </w:p>
        </w:tc>
        <w:tc>
          <w:tcPr>
            <w:tcW w:w="138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198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0.904</w:t>
            </w:r>
          </w:p>
        </w:tc>
        <w:tc>
          <w:tcPr>
            <w:tcW w:w="1703" w:type="dxa"/>
          </w:tcPr>
          <w:p>
            <w:pPr>
              <w:pStyle w:val="TableParagraph"/>
              <w:spacing w:line="198" w:lineRule="exact" w:before="0"/>
              <w:ind w:left="582" w:right="0"/>
              <w:jc w:val="left"/>
              <w:rPr>
                <w:sz w:val="19"/>
              </w:rPr>
            </w:pPr>
            <w:r>
              <w:rPr>
                <w:sz w:val="19"/>
              </w:rPr>
              <w:t>0.5189</w:t>
            </w:r>
          </w:p>
        </w:tc>
        <w:tc>
          <w:tcPr>
            <w:tcW w:w="1808" w:type="dxa"/>
            <w:tcBorders>
              <w:right w:val="nil"/>
            </w:tcBorders>
          </w:tcPr>
          <w:p>
            <w:pPr>
              <w:pStyle w:val="TableParagraph"/>
              <w:spacing w:line="198" w:lineRule="exact" w:before="0"/>
              <w:ind w:left="615" w:right="624"/>
              <w:jc w:val="center"/>
              <w:rPr>
                <w:sz w:val="19"/>
              </w:rPr>
            </w:pPr>
            <w:r>
              <w:rPr>
                <w:sz w:val="19"/>
              </w:rPr>
              <w:t>0.904</w:t>
            </w:r>
          </w:p>
        </w:tc>
      </w:tr>
      <w:tr>
        <w:trPr>
          <w:trHeight w:val="218" w:hRule="atLeast"/>
        </w:trPr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198" w:lineRule="exact" w:before="0"/>
              <w:ind w:left="392" w:right="377"/>
              <w:jc w:val="center"/>
              <w:rPr>
                <w:sz w:val="19"/>
              </w:rPr>
            </w:pPr>
            <w:r>
              <w:rPr>
                <w:sz w:val="19"/>
              </w:rPr>
              <w:t>F-statistic</w:t>
            </w:r>
          </w:p>
        </w:tc>
        <w:tc>
          <w:tcPr>
            <w:tcW w:w="138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198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59.061</w:t>
            </w:r>
          </w:p>
        </w:tc>
        <w:tc>
          <w:tcPr>
            <w:tcW w:w="1703" w:type="dxa"/>
          </w:tcPr>
          <w:p>
            <w:pPr>
              <w:pStyle w:val="TableParagraph"/>
              <w:spacing w:line="198" w:lineRule="exact" w:before="0"/>
              <w:ind w:left="582" w:right="0"/>
              <w:jc w:val="left"/>
              <w:rPr>
                <w:sz w:val="19"/>
              </w:rPr>
            </w:pPr>
            <w:r>
              <w:rPr>
                <w:sz w:val="19"/>
              </w:rPr>
              <w:t>10.946</w:t>
            </w:r>
          </w:p>
        </w:tc>
        <w:tc>
          <w:tcPr>
            <w:tcW w:w="1808" w:type="dxa"/>
            <w:tcBorders>
              <w:right w:val="nil"/>
            </w:tcBorders>
          </w:tcPr>
          <w:p>
            <w:pPr>
              <w:pStyle w:val="TableParagraph"/>
              <w:spacing w:line="198" w:lineRule="exact" w:before="0"/>
              <w:ind w:left="615" w:right="624"/>
              <w:jc w:val="center"/>
              <w:rPr>
                <w:sz w:val="19"/>
              </w:rPr>
            </w:pPr>
            <w:r>
              <w:rPr>
                <w:sz w:val="19"/>
              </w:rPr>
              <w:t>56.175</w:t>
            </w:r>
          </w:p>
        </w:tc>
      </w:tr>
      <w:tr>
        <w:trPr>
          <w:trHeight w:val="217" w:hRule="atLeast"/>
        </w:trPr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198" w:lineRule="exact" w:before="0"/>
              <w:ind w:left="393" w:right="377"/>
              <w:jc w:val="center"/>
              <w:rPr>
                <w:sz w:val="19"/>
              </w:rPr>
            </w:pPr>
            <w:r>
              <w:rPr>
                <w:sz w:val="19"/>
              </w:rPr>
              <w:t>Prob(F-stat)</w:t>
            </w:r>
          </w:p>
        </w:tc>
        <w:tc>
          <w:tcPr>
            <w:tcW w:w="138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198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1703" w:type="dxa"/>
          </w:tcPr>
          <w:p>
            <w:pPr>
              <w:pStyle w:val="TableParagraph"/>
              <w:spacing w:line="198" w:lineRule="exact" w:before="0"/>
              <w:ind w:left="604" w:right="607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1808" w:type="dxa"/>
            <w:tcBorders>
              <w:right w:val="nil"/>
            </w:tcBorders>
          </w:tcPr>
          <w:p>
            <w:pPr>
              <w:pStyle w:val="TableParagraph"/>
              <w:spacing w:line="198" w:lineRule="exact" w:before="0"/>
              <w:ind w:left="615" w:right="624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</w:tr>
      <w:tr>
        <w:trPr>
          <w:trHeight w:val="218" w:hRule="atLeast"/>
        </w:trPr>
        <w:tc>
          <w:tcPr>
            <w:tcW w:w="2000" w:type="dxa"/>
            <w:tcBorders>
              <w:left w:val="nil"/>
            </w:tcBorders>
          </w:tcPr>
          <w:p>
            <w:pPr>
              <w:pStyle w:val="TableParagraph"/>
              <w:spacing w:line="198" w:lineRule="exact" w:before="0"/>
              <w:ind w:left="396" w:right="377"/>
              <w:jc w:val="center"/>
              <w:rPr>
                <w:sz w:val="19"/>
              </w:rPr>
            </w:pPr>
            <w:r>
              <w:rPr>
                <w:sz w:val="19"/>
              </w:rPr>
              <w:t>Durbin-Watson</w:t>
            </w:r>
          </w:p>
        </w:tc>
        <w:tc>
          <w:tcPr>
            <w:tcW w:w="138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844" w:type="dxa"/>
          </w:tcPr>
          <w:p>
            <w:pPr>
              <w:pStyle w:val="TableParagraph"/>
              <w:spacing w:line="198" w:lineRule="exact" w:before="0"/>
              <w:ind w:left="353" w:right="353"/>
              <w:jc w:val="center"/>
              <w:rPr>
                <w:sz w:val="19"/>
              </w:rPr>
            </w:pPr>
            <w:r>
              <w:rPr>
                <w:sz w:val="19"/>
              </w:rPr>
              <w:t>1.5</w:t>
            </w:r>
          </w:p>
        </w:tc>
        <w:tc>
          <w:tcPr>
            <w:tcW w:w="1703" w:type="dxa"/>
          </w:tcPr>
          <w:p>
            <w:pPr>
              <w:pStyle w:val="TableParagraph"/>
              <w:spacing w:line="198" w:lineRule="exact" w:before="0"/>
              <w:ind w:left="604" w:right="604"/>
              <w:jc w:val="center"/>
              <w:rPr>
                <w:sz w:val="19"/>
              </w:rPr>
            </w:pPr>
            <w:r>
              <w:rPr>
                <w:sz w:val="19"/>
              </w:rPr>
              <w:t>1.6</w:t>
            </w:r>
          </w:p>
        </w:tc>
        <w:tc>
          <w:tcPr>
            <w:tcW w:w="1808" w:type="dxa"/>
            <w:tcBorders>
              <w:right w:val="nil"/>
            </w:tcBorders>
          </w:tcPr>
          <w:p>
            <w:pPr>
              <w:pStyle w:val="TableParagraph"/>
              <w:spacing w:line="198" w:lineRule="exact" w:before="0"/>
              <w:ind w:left="615" w:right="621"/>
              <w:jc w:val="center"/>
              <w:rPr>
                <w:sz w:val="19"/>
              </w:rPr>
            </w:pPr>
            <w:r>
              <w:rPr>
                <w:sz w:val="19"/>
              </w:rPr>
              <w:t>1.6</w:t>
            </w:r>
          </w:p>
        </w:tc>
      </w:tr>
      <w:tr>
        <w:trPr>
          <w:trHeight w:val="220" w:hRule="atLeast"/>
        </w:trPr>
        <w:tc>
          <w:tcPr>
            <w:tcW w:w="8740" w:type="dxa"/>
            <w:gridSpan w:val="5"/>
            <w:tcBorders>
              <w:left w:val="nil"/>
              <w:right w:val="nil"/>
            </w:tcBorders>
          </w:tcPr>
          <w:p>
            <w:pPr>
              <w:pStyle w:val="TableParagraph"/>
              <w:spacing w:line="198" w:lineRule="exact" w:before="2"/>
              <w:ind w:left="3634" w:right="3627"/>
              <w:jc w:val="center"/>
              <w:rPr>
                <w:sz w:val="19"/>
              </w:rPr>
            </w:pPr>
            <w:r>
              <w:rPr>
                <w:sz w:val="19"/>
              </w:rPr>
              <w:t>Model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Diagnostics</w:t>
            </w:r>
          </w:p>
        </w:tc>
      </w:tr>
      <w:tr>
        <w:trPr>
          <w:trHeight w:val="217" w:hRule="atLeast"/>
        </w:trPr>
        <w:tc>
          <w:tcPr>
            <w:tcW w:w="2000" w:type="dxa"/>
            <w:vMerge w:val="restart"/>
            <w:tcBorders>
              <w:left w:val="nil"/>
            </w:tcBorders>
          </w:tcPr>
          <w:p>
            <w:pPr>
              <w:pStyle w:val="TableParagraph"/>
              <w:spacing w:line="152" w:lineRule="exact" w:before="0"/>
              <w:ind w:left="770" w:right="0"/>
              <w:jc w:val="left"/>
              <w:rPr>
                <w:sz w:val="12"/>
              </w:rPr>
            </w:pPr>
            <w:r>
              <w:rPr>
                <w:position w:val="-6"/>
                <w:sz w:val="19"/>
              </w:rPr>
              <w:t>χ</w:t>
            </w: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67" w:lineRule="exact" w:before="0"/>
              <w:ind w:left="396" w:right="237"/>
              <w:jc w:val="center"/>
              <w:rPr>
                <w:sz w:val="12"/>
              </w:rPr>
            </w:pPr>
            <w:r>
              <w:rPr>
                <w:sz w:val="12"/>
              </w:rPr>
              <w:t>Hetero</w:t>
            </w:r>
          </w:p>
          <w:p>
            <w:pPr>
              <w:pStyle w:val="TableParagraph"/>
              <w:spacing w:line="152" w:lineRule="exact" w:before="0"/>
              <w:ind w:left="667" w:right="0"/>
              <w:jc w:val="left"/>
              <w:rPr>
                <w:sz w:val="12"/>
              </w:rPr>
            </w:pPr>
            <w:r>
              <w:rPr>
                <w:position w:val="-6"/>
                <w:sz w:val="19"/>
              </w:rPr>
              <w:t>χ</w:t>
            </w: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67" w:lineRule="exact" w:before="0"/>
              <w:ind w:left="396" w:right="235"/>
              <w:jc w:val="center"/>
              <w:rPr>
                <w:sz w:val="12"/>
              </w:rPr>
            </w:pPr>
            <w:r>
              <w:rPr>
                <w:sz w:val="12"/>
              </w:rPr>
              <w:t>Serial/Corr</w:t>
            </w:r>
          </w:p>
          <w:p>
            <w:pPr>
              <w:pStyle w:val="TableParagraph"/>
              <w:spacing w:line="152" w:lineRule="exact" w:before="0"/>
              <w:ind w:left="794" w:right="0"/>
              <w:jc w:val="left"/>
              <w:rPr>
                <w:sz w:val="12"/>
              </w:rPr>
            </w:pPr>
            <w:r>
              <w:rPr>
                <w:position w:val="-6"/>
                <w:sz w:val="19"/>
              </w:rPr>
              <w:t>χ</w:t>
            </w: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67" w:lineRule="exact" w:before="0"/>
              <w:ind w:left="396" w:right="234"/>
              <w:jc w:val="center"/>
              <w:rPr>
                <w:sz w:val="12"/>
              </w:rPr>
            </w:pPr>
            <w:r>
              <w:rPr>
                <w:sz w:val="12"/>
              </w:rPr>
              <w:t>Norm</w:t>
            </w:r>
          </w:p>
          <w:p>
            <w:pPr>
              <w:pStyle w:val="TableParagraph"/>
              <w:spacing w:line="152" w:lineRule="exact" w:before="0"/>
              <w:ind w:left="707" w:right="0"/>
              <w:jc w:val="left"/>
              <w:rPr>
                <w:sz w:val="12"/>
              </w:rPr>
            </w:pPr>
            <w:r>
              <w:rPr>
                <w:position w:val="-6"/>
                <w:sz w:val="19"/>
              </w:rPr>
              <w:t>χ</w:t>
            </w:r>
            <w:r>
              <w:rPr>
                <w:sz w:val="12"/>
              </w:rPr>
              <w:t>2</w:t>
            </w:r>
          </w:p>
          <w:p>
            <w:pPr>
              <w:pStyle w:val="TableParagraph"/>
              <w:spacing w:line="46" w:lineRule="exact" w:before="0"/>
              <w:ind w:left="396" w:right="236"/>
              <w:jc w:val="center"/>
              <w:rPr>
                <w:sz w:val="12"/>
              </w:rPr>
            </w:pPr>
            <w:r>
              <w:rPr>
                <w:sz w:val="12"/>
              </w:rPr>
              <w:t>Hausman</w:t>
            </w:r>
          </w:p>
        </w:tc>
        <w:tc>
          <w:tcPr>
            <w:tcW w:w="1385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844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353" w:right="361"/>
              <w:jc w:val="center"/>
              <w:rPr>
                <w:sz w:val="19"/>
              </w:rPr>
            </w:pPr>
            <w:r>
              <w:rPr>
                <w:sz w:val="19"/>
              </w:rPr>
              <w:t>0.621</w:t>
            </w:r>
          </w:p>
        </w:tc>
        <w:tc>
          <w:tcPr>
            <w:tcW w:w="1703" w:type="dxa"/>
            <w:tcBorders>
              <w:bottom w:val="nil"/>
            </w:tcBorders>
          </w:tcPr>
          <w:p>
            <w:pPr>
              <w:pStyle w:val="TableParagraph"/>
              <w:spacing w:line="198" w:lineRule="exact" w:before="0"/>
              <w:ind w:left="597" w:right="614"/>
              <w:jc w:val="center"/>
              <w:rPr>
                <w:sz w:val="19"/>
              </w:rPr>
            </w:pPr>
            <w:r>
              <w:rPr>
                <w:sz w:val="19"/>
              </w:rPr>
              <w:t>0.725</w:t>
            </w:r>
          </w:p>
        </w:tc>
        <w:tc>
          <w:tcPr>
            <w:tcW w:w="1808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198" w:lineRule="exact" w:before="0"/>
              <w:ind w:left="606" w:right="624"/>
              <w:jc w:val="center"/>
              <w:rPr>
                <w:sz w:val="19"/>
              </w:rPr>
            </w:pPr>
            <w:r>
              <w:rPr>
                <w:sz w:val="19"/>
              </w:rPr>
              <w:t>0.088</w:t>
            </w:r>
          </w:p>
        </w:tc>
      </w:tr>
      <w:tr>
        <w:trPr>
          <w:trHeight w:val="208" w:hRule="atLeast"/>
        </w:trPr>
        <w:tc>
          <w:tcPr>
            <w:tcW w:w="20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0"/>
              <w:ind w:left="353" w:right="361"/>
              <w:jc w:val="center"/>
              <w:rPr>
                <w:sz w:val="19"/>
              </w:rPr>
            </w:pPr>
            <w:r>
              <w:rPr>
                <w:sz w:val="19"/>
              </w:rPr>
              <w:t>0.095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9" w:lineRule="exact" w:before="0"/>
              <w:ind w:left="597" w:right="614"/>
              <w:jc w:val="center"/>
              <w:rPr>
                <w:sz w:val="19"/>
              </w:rPr>
            </w:pPr>
            <w:r>
              <w:rPr>
                <w:sz w:val="19"/>
              </w:rPr>
              <w:t>0.114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9" w:lineRule="exact" w:before="0"/>
              <w:ind w:left="606" w:right="624"/>
              <w:jc w:val="center"/>
              <w:rPr>
                <w:sz w:val="19"/>
              </w:rPr>
            </w:pPr>
            <w:r>
              <w:rPr>
                <w:sz w:val="19"/>
              </w:rPr>
              <w:t>0.306</w:t>
            </w:r>
          </w:p>
        </w:tc>
      </w:tr>
      <w:tr>
        <w:trPr>
          <w:trHeight w:val="208" w:hRule="atLeast"/>
        </w:trPr>
        <w:tc>
          <w:tcPr>
            <w:tcW w:w="20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353" w:right="361"/>
              <w:jc w:val="center"/>
              <w:rPr>
                <w:sz w:val="19"/>
              </w:rPr>
            </w:pPr>
            <w:r>
              <w:rPr>
                <w:sz w:val="19"/>
              </w:rPr>
              <w:t>0.074</w:t>
            </w:r>
          </w:p>
        </w:tc>
        <w:tc>
          <w:tcPr>
            <w:tcW w:w="170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88" w:lineRule="exact" w:before="0"/>
              <w:ind w:left="597" w:right="614"/>
              <w:jc w:val="center"/>
              <w:rPr>
                <w:sz w:val="19"/>
              </w:rPr>
            </w:pPr>
            <w:r>
              <w:rPr>
                <w:sz w:val="19"/>
              </w:rPr>
              <w:t>0.086</w:t>
            </w:r>
          </w:p>
        </w:tc>
        <w:tc>
          <w:tcPr>
            <w:tcW w:w="180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88" w:lineRule="exact" w:before="0"/>
              <w:ind w:left="606" w:right="624"/>
              <w:jc w:val="center"/>
              <w:rPr>
                <w:sz w:val="19"/>
              </w:rPr>
            </w:pPr>
            <w:r>
              <w:rPr>
                <w:sz w:val="19"/>
              </w:rPr>
              <w:t>0.483</w:t>
            </w:r>
          </w:p>
        </w:tc>
      </w:tr>
      <w:tr>
        <w:trPr>
          <w:trHeight w:val="208" w:hRule="atLeast"/>
        </w:trPr>
        <w:tc>
          <w:tcPr>
            <w:tcW w:w="2000" w:type="dxa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353" w:right="363"/>
              <w:jc w:val="center"/>
              <w:rPr>
                <w:sz w:val="19"/>
              </w:rPr>
            </w:pPr>
            <w:r>
              <w:rPr>
                <w:sz w:val="19"/>
              </w:rPr>
              <w:t>11.526(0.022)</w:t>
            </w:r>
          </w:p>
        </w:tc>
        <w:tc>
          <w:tcPr>
            <w:tcW w:w="1703" w:type="dxa"/>
            <w:tcBorders>
              <w:top w:val="nil"/>
            </w:tcBorders>
          </w:tcPr>
          <w:p>
            <w:pPr>
              <w:pStyle w:val="TableParagraph"/>
              <w:spacing w:line="189" w:lineRule="exact" w:before="0"/>
              <w:ind w:left="597" w:right="614"/>
              <w:jc w:val="center"/>
              <w:rPr>
                <w:sz w:val="19"/>
              </w:rPr>
            </w:pPr>
            <w:r>
              <w:rPr>
                <w:sz w:val="19"/>
              </w:rPr>
              <w:t>0.000</w:t>
            </w:r>
          </w:p>
        </w:tc>
        <w:tc>
          <w:tcPr>
            <w:tcW w:w="1808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189" w:lineRule="exact" w:before="0"/>
              <w:ind w:left="606" w:right="624"/>
              <w:jc w:val="center"/>
              <w:rPr>
                <w:sz w:val="19"/>
              </w:rPr>
            </w:pPr>
            <w:r>
              <w:rPr>
                <w:sz w:val="19"/>
              </w:rPr>
              <w:t>0.031</w:t>
            </w:r>
          </w:p>
        </w:tc>
      </w:tr>
    </w:tbl>
    <w:p>
      <w:pPr>
        <w:spacing w:before="0"/>
        <w:ind w:left="822" w:right="0" w:firstLine="0"/>
        <w:jc w:val="both"/>
        <w:rPr>
          <w:sz w:val="19"/>
        </w:rPr>
      </w:pPr>
      <w:r>
        <w:rPr>
          <w:b/>
          <w:sz w:val="19"/>
        </w:rPr>
        <w:t>Source:</w:t>
      </w:r>
      <w:r>
        <w:rPr>
          <w:b/>
          <w:spacing w:val="-3"/>
          <w:sz w:val="19"/>
        </w:rPr>
        <w:t> </w:t>
      </w:r>
      <w:r>
        <w:rPr>
          <w:sz w:val="19"/>
        </w:rPr>
        <w:t>Researcher’s</w:t>
      </w:r>
      <w:r>
        <w:rPr>
          <w:spacing w:val="-2"/>
          <w:sz w:val="19"/>
        </w:rPr>
        <w:t> </w:t>
      </w:r>
      <w:r>
        <w:rPr>
          <w:sz w:val="19"/>
        </w:rPr>
        <w:t>compilation</w:t>
      </w:r>
      <w:r>
        <w:rPr>
          <w:spacing w:val="-1"/>
          <w:sz w:val="19"/>
        </w:rPr>
        <w:t> </w:t>
      </w:r>
      <w:r>
        <w:rPr>
          <w:sz w:val="19"/>
        </w:rPr>
        <w:t>(2020)</w:t>
      </w:r>
      <w:r>
        <w:rPr>
          <w:spacing w:val="-4"/>
          <w:sz w:val="19"/>
        </w:rPr>
        <w:t> </w:t>
      </w:r>
      <w:r>
        <w:rPr>
          <w:sz w:val="19"/>
        </w:rPr>
        <w:t>using</w:t>
      </w:r>
      <w:r>
        <w:rPr>
          <w:spacing w:val="-1"/>
          <w:sz w:val="19"/>
        </w:rPr>
        <w:t> </w:t>
      </w:r>
      <w:r>
        <w:rPr>
          <w:sz w:val="19"/>
        </w:rPr>
        <w:t>Eviews</w:t>
      </w:r>
      <w:r>
        <w:rPr>
          <w:spacing w:val="-2"/>
          <w:sz w:val="19"/>
        </w:rPr>
        <w:t> </w:t>
      </w:r>
      <w:r>
        <w:rPr>
          <w:sz w:val="19"/>
        </w:rPr>
        <w:t>10.</w:t>
      </w:r>
      <w:r>
        <w:rPr>
          <w:spacing w:val="-3"/>
          <w:sz w:val="19"/>
        </w:rPr>
        <w:t> </w:t>
      </w:r>
      <w:r>
        <w:rPr>
          <w:sz w:val="19"/>
        </w:rPr>
        <w:t>*</w:t>
      </w:r>
      <w:r>
        <w:rPr>
          <w:spacing w:val="-1"/>
          <w:sz w:val="19"/>
        </w:rPr>
        <w:t> </w:t>
      </w:r>
      <w:r>
        <w:rPr>
          <w:sz w:val="19"/>
        </w:rPr>
        <w:t>sig</w:t>
      </w:r>
      <w:r>
        <w:rPr>
          <w:spacing w:val="-1"/>
          <w:sz w:val="19"/>
        </w:rPr>
        <w:t> </w:t>
      </w:r>
      <w:r>
        <w:rPr>
          <w:sz w:val="19"/>
        </w:rPr>
        <w:t>@5%,</w:t>
      </w:r>
      <w:r>
        <w:rPr>
          <w:spacing w:val="-3"/>
          <w:sz w:val="19"/>
        </w:rPr>
        <w:t> </w:t>
      </w:r>
      <w:r>
        <w:rPr>
          <w:sz w:val="19"/>
        </w:rPr>
        <w:t>**</w:t>
      </w:r>
      <w:r>
        <w:rPr>
          <w:spacing w:val="-3"/>
          <w:sz w:val="19"/>
        </w:rPr>
        <w:t> </w:t>
      </w:r>
      <w:r>
        <w:rPr>
          <w:sz w:val="19"/>
        </w:rPr>
        <w:t>sig</w:t>
      </w:r>
      <w:r>
        <w:rPr>
          <w:spacing w:val="-2"/>
          <w:sz w:val="19"/>
        </w:rPr>
        <w:t> </w:t>
      </w:r>
      <w:r>
        <w:rPr>
          <w:sz w:val="19"/>
        </w:rPr>
        <w:t>@</w:t>
      </w:r>
      <w:r>
        <w:rPr>
          <w:spacing w:val="-2"/>
          <w:sz w:val="19"/>
        </w:rPr>
        <w:t> </w:t>
      </w:r>
      <w:r>
        <w:rPr>
          <w:sz w:val="19"/>
        </w:rPr>
        <w:t>10%</w:t>
      </w:r>
      <w:r>
        <w:rPr>
          <w:spacing w:val="7"/>
          <w:sz w:val="19"/>
        </w:rPr>
        <w:t> </w:t>
      </w:r>
      <w:r>
        <w:rPr>
          <w:sz w:val="19"/>
        </w:rPr>
        <w:t>(</w:t>
      </w:r>
      <w:r>
        <w:rPr>
          <w:spacing w:val="-3"/>
          <w:sz w:val="19"/>
        </w:rPr>
        <w:t> </w:t>
      </w:r>
      <w:r>
        <w:rPr>
          <w:sz w:val="19"/>
        </w:rPr>
        <w:t>)</w:t>
      </w:r>
      <w:r>
        <w:rPr>
          <w:spacing w:val="-2"/>
          <w:sz w:val="19"/>
        </w:rPr>
        <w:t> </w:t>
      </w:r>
      <w:r>
        <w:rPr>
          <w:sz w:val="19"/>
        </w:rPr>
        <w:t>Standard</w:t>
      </w:r>
      <w:r>
        <w:rPr>
          <w:spacing w:val="-1"/>
          <w:sz w:val="19"/>
        </w:rPr>
        <w:t> </w:t>
      </w:r>
      <w:r>
        <w:rPr>
          <w:sz w:val="19"/>
        </w:rPr>
        <w:t>error</w:t>
      </w:r>
      <w:r>
        <w:rPr>
          <w:spacing w:val="-1"/>
          <w:sz w:val="19"/>
        </w:rPr>
        <w:t> </w:t>
      </w:r>
      <w:r>
        <w:rPr>
          <w:sz w:val="19"/>
        </w:rPr>
        <w:t>{</w:t>
      </w:r>
      <w:r>
        <w:rPr>
          <w:spacing w:val="-2"/>
          <w:sz w:val="19"/>
        </w:rPr>
        <w:t> </w:t>
      </w:r>
      <w:r>
        <w:rPr>
          <w:sz w:val="19"/>
        </w:rPr>
        <w:t>}</w:t>
      </w:r>
      <w:r>
        <w:rPr>
          <w:spacing w:val="-1"/>
          <w:sz w:val="19"/>
        </w:rPr>
        <w:t> </w:t>
      </w:r>
      <w:r>
        <w:rPr>
          <w:sz w:val="19"/>
        </w:rPr>
        <w:t>p-values</w:t>
      </w:r>
    </w:p>
    <w:p>
      <w:pPr>
        <w:pStyle w:val="BodyText"/>
        <w:ind w:left="0"/>
        <w:jc w:val="left"/>
        <w:rPr>
          <w:sz w:val="20"/>
        </w:rPr>
      </w:pPr>
    </w:p>
    <w:p>
      <w:pPr>
        <w:pStyle w:val="BodyText"/>
        <w:ind w:left="0"/>
        <w:jc w:val="left"/>
        <w:rPr>
          <w:sz w:val="16"/>
        </w:rPr>
      </w:pPr>
    </w:p>
    <w:p>
      <w:pPr>
        <w:pStyle w:val="BodyText"/>
        <w:spacing w:line="472" w:lineRule="auto"/>
        <w:ind w:right="830"/>
      </w:pPr>
      <w:r>
        <w:rPr/>
        <w:t>Table 4.5 shows the regression results examining the impact of corporate governance on tax</w:t>
      </w:r>
      <w:r>
        <w:rPr>
          <w:spacing w:val="1"/>
        </w:rPr>
        <w:t> </w:t>
      </w:r>
      <w:r>
        <w:rPr/>
        <w:t>aggressiveness.</w:t>
      </w:r>
      <w:r>
        <w:rPr>
          <w:spacing w:val="-7"/>
        </w:rPr>
        <w:t> </w:t>
      </w:r>
      <w:r>
        <w:rPr/>
        <w:t>Board</w:t>
      </w:r>
      <w:r>
        <w:rPr>
          <w:spacing w:val="-7"/>
        </w:rPr>
        <w:t> </w:t>
      </w:r>
      <w:r>
        <w:rPr/>
        <w:t>related</w:t>
      </w:r>
      <w:r>
        <w:rPr>
          <w:spacing w:val="-7"/>
        </w:rPr>
        <w:t> </w:t>
      </w:r>
      <w:r>
        <w:rPr/>
        <w:t>governance</w:t>
      </w:r>
      <w:r>
        <w:rPr>
          <w:spacing w:val="-8"/>
        </w:rPr>
        <w:t> </w:t>
      </w:r>
      <w:r>
        <w:rPr/>
        <w:t>variables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control</w:t>
      </w:r>
      <w:r>
        <w:rPr>
          <w:spacing w:val="-6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first</w:t>
      </w:r>
      <w:r>
        <w:rPr>
          <w:spacing w:val="-6"/>
        </w:rPr>
        <w:t> </w:t>
      </w:r>
      <w:r>
        <w:rPr/>
        <w:t>regressed</w:t>
      </w:r>
      <w:r>
        <w:rPr>
          <w:spacing w:val="-58"/>
        </w:rPr>
        <w:t> </w:t>
      </w:r>
      <w:r>
        <w:rPr>
          <w:position w:val="2"/>
        </w:rPr>
        <w:t>on tax aggressiveness. The model diagnostics reveal that the χ</w:t>
      </w:r>
      <w:r>
        <w:rPr>
          <w:position w:val="2"/>
          <w:vertAlign w:val="superscript"/>
        </w:rPr>
        <w:t>2</w:t>
      </w:r>
      <w:r>
        <w:rPr>
          <w:sz w:val="16"/>
          <w:vertAlign w:val="baseline"/>
        </w:rPr>
        <w:t>Hausman </w:t>
      </w:r>
      <w:r>
        <w:rPr>
          <w:position w:val="2"/>
          <w:vertAlign w:val="baseline"/>
        </w:rPr>
        <w:t>statistic (11.526) and p-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value</w:t>
      </w:r>
      <w:r>
        <w:rPr>
          <w:spacing w:val="-1"/>
          <w:vertAlign w:val="baseline"/>
        </w:rPr>
        <w:t> </w:t>
      </w:r>
      <w:r>
        <w:rPr>
          <w:vertAlign w:val="baseline"/>
        </w:rPr>
        <w:t>(0.022) indicates</w:t>
      </w:r>
      <w:r>
        <w:rPr>
          <w:spacing w:val="-1"/>
          <w:vertAlign w:val="baseline"/>
        </w:rPr>
        <w:t> </w:t>
      </w:r>
      <w:r>
        <w:rPr>
          <w:vertAlign w:val="baseline"/>
        </w:rPr>
        <w:t>that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fixed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effects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estimation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appropriate</w:t>
      </w:r>
      <w:r>
        <w:rPr>
          <w:spacing w:val="-2"/>
          <w:vertAlign w:val="baseline"/>
        </w:rPr>
        <w:t> </w:t>
      </w:r>
      <w:r>
        <w:rPr>
          <w:vertAlign w:val="baseline"/>
        </w:rPr>
        <w:t>estimation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472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75" w:lineRule="auto" w:before="77"/>
        <w:ind w:right="826"/>
      </w:pPr>
      <w:r>
        <w:rPr/>
        <w:drawing>
          <wp:anchor distT="0" distB="0" distL="0" distR="0" allowOverlap="1" layoutInCell="1" locked="0" behindDoc="1" simplePos="0" relativeHeight="45405747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indicating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correlations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firm’s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disturbances and the beta’s. The model parameters reveal that R</w:t>
      </w:r>
      <w:r>
        <w:rPr>
          <w:vertAlign w:val="superscript"/>
        </w:rPr>
        <w:t>2</w:t>
      </w:r>
      <w:r>
        <w:rPr>
          <w:vertAlign w:val="baseline"/>
        </w:rPr>
        <w:t> and Adj R</w:t>
      </w:r>
      <w:r>
        <w:rPr>
          <w:vertAlign w:val="superscript"/>
        </w:rPr>
        <w:t>2</w:t>
      </w:r>
      <w:r>
        <w:rPr>
          <w:vertAlign w:val="baseline"/>
        </w:rPr>
        <w:t> stood at 91.9%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90.4%</w:t>
      </w:r>
      <w:r>
        <w:rPr>
          <w:spacing w:val="-11"/>
          <w:vertAlign w:val="baseline"/>
        </w:rPr>
        <w:t> </w:t>
      </w:r>
      <w:r>
        <w:rPr>
          <w:vertAlign w:val="baseline"/>
        </w:rPr>
        <w:t>respectively</w:t>
      </w:r>
      <w:r>
        <w:rPr>
          <w:spacing w:val="-11"/>
          <w:vertAlign w:val="baseline"/>
        </w:rPr>
        <w:t> </w:t>
      </w:r>
      <w:r>
        <w:rPr>
          <w:vertAlign w:val="baseline"/>
        </w:rPr>
        <w:t>which</w:t>
      </w:r>
      <w:r>
        <w:rPr>
          <w:spacing w:val="-11"/>
          <w:vertAlign w:val="baseline"/>
        </w:rPr>
        <w:t> </w:t>
      </w:r>
      <w:r>
        <w:rPr>
          <w:vertAlign w:val="baseline"/>
        </w:rPr>
        <w:t>suggests</w:t>
      </w:r>
      <w:r>
        <w:rPr>
          <w:spacing w:val="-10"/>
          <w:vertAlign w:val="baseline"/>
        </w:rPr>
        <w:t> </w:t>
      </w:r>
      <w:r>
        <w:rPr>
          <w:vertAlign w:val="baseline"/>
        </w:rPr>
        <w:t>that</w:t>
      </w:r>
      <w:r>
        <w:rPr>
          <w:spacing w:val="-10"/>
          <w:vertAlign w:val="baseline"/>
        </w:rPr>
        <w:t> </w:t>
      </w:r>
      <w:r>
        <w:rPr>
          <w:vertAlign w:val="baseline"/>
        </w:rPr>
        <w:t>board</w:t>
      </w:r>
      <w:r>
        <w:rPr>
          <w:spacing w:val="-12"/>
          <w:vertAlign w:val="baseline"/>
        </w:rPr>
        <w:t> </w:t>
      </w:r>
      <w:r>
        <w:rPr>
          <w:vertAlign w:val="baseline"/>
        </w:rPr>
        <w:t>structure</w:t>
      </w:r>
      <w:r>
        <w:rPr>
          <w:spacing w:val="-11"/>
          <w:vertAlign w:val="baseline"/>
        </w:rPr>
        <w:t> </w:t>
      </w:r>
      <w:r>
        <w:rPr>
          <w:vertAlign w:val="baseline"/>
        </w:rPr>
        <w:t>governance</w:t>
      </w:r>
      <w:r>
        <w:rPr>
          <w:spacing w:val="-12"/>
          <w:vertAlign w:val="baseline"/>
        </w:rPr>
        <w:t> </w:t>
      </w:r>
      <w:r>
        <w:rPr>
          <w:vertAlign w:val="baseline"/>
        </w:rPr>
        <w:t>accounts</w:t>
      </w:r>
      <w:r>
        <w:rPr>
          <w:spacing w:val="-9"/>
          <w:vertAlign w:val="baseline"/>
        </w:rPr>
        <w:t> </w:t>
      </w:r>
      <w:r>
        <w:rPr>
          <w:vertAlign w:val="baseline"/>
        </w:rPr>
        <w:t>for</w:t>
      </w:r>
      <w:r>
        <w:rPr>
          <w:spacing w:val="-13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0"/>
          <w:vertAlign w:val="baseline"/>
        </w:rPr>
        <w:t> </w:t>
      </w:r>
      <w:r>
        <w:rPr>
          <w:vertAlign w:val="baseline"/>
        </w:rPr>
        <w:t>92%</w:t>
      </w:r>
      <w:r>
        <w:rPr>
          <w:spacing w:val="-58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systematic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variations</w:t>
      </w:r>
      <w:r>
        <w:rPr>
          <w:spacing w:val="-10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10"/>
          <w:position w:val="2"/>
          <w:vertAlign w:val="baseline"/>
        </w:rPr>
        <w:t> </w:t>
      </w:r>
      <w:r>
        <w:rPr>
          <w:position w:val="2"/>
          <w:vertAlign w:val="baseline"/>
        </w:rPr>
        <w:t>tax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aggressive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activity</w:t>
      </w:r>
      <w:r>
        <w:rPr>
          <w:spacing w:val="-10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firms</w:t>
      </w:r>
      <w:r>
        <w:rPr>
          <w:spacing w:val="-9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10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sample.</w:t>
      </w:r>
      <w:r>
        <w:rPr>
          <w:spacing w:val="-10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1"/>
          <w:position w:val="2"/>
          <w:vertAlign w:val="baseline"/>
        </w:rPr>
        <w:t> </w:t>
      </w:r>
      <w:r>
        <w:rPr>
          <w:position w:val="2"/>
          <w:vertAlign w:val="baseline"/>
        </w:rPr>
        <w:t>χ</w:t>
      </w:r>
      <w:r>
        <w:rPr>
          <w:position w:val="2"/>
          <w:vertAlign w:val="superscript"/>
        </w:rPr>
        <w:t>2</w:t>
      </w:r>
      <w:r>
        <w:rPr>
          <w:sz w:val="16"/>
          <w:vertAlign w:val="baseline"/>
        </w:rPr>
        <w:t>Hetero</w:t>
      </w:r>
      <w:r>
        <w:rPr>
          <w:spacing w:val="12"/>
          <w:sz w:val="16"/>
          <w:vertAlign w:val="baseline"/>
        </w:rPr>
        <w:t> </w:t>
      </w:r>
      <w:r>
        <w:rPr>
          <w:position w:val="2"/>
          <w:vertAlign w:val="baseline"/>
        </w:rPr>
        <w:t>p-value</w:t>
      </w:r>
      <w:r>
        <w:rPr>
          <w:spacing w:val="-57"/>
          <w:position w:val="2"/>
          <w:vertAlign w:val="baseline"/>
        </w:rPr>
        <w:t> </w:t>
      </w:r>
      <w:r>
        <w:rPr>
          <w:position w:val="2"/>
          <w:vertAlign w:val="baseline"/>
        </w:rPr>
        <w:t>(0.621) implies the homoscedastic behaviour of the errors and the χ</w:t>
      </w:r>
      <w:r>
        <w:rPr>
          <w:position w:val="2"/>
          <w:vertAlign w:val="superscript"/>
        </w:rPr>
        <w:t>2</w:t>
      </w:r>
      <w:r>
        <w:rPr>
          <w:sz w:val="16"/>
          <w:vertAlign w:val="baseline"/>
        </w:rPr>
        <w:t>Serial/Corr </w:t>
      </w:r>
      <w:r>
        <w:rPr>
          <w:position w:val="2"/>
          <w:vertAlign w:val="baseline"/>
        </w:rPr>
        <w:t>p-value (0.095)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also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reveals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absence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of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serial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correlation.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addition,</w:t>
      </w:r>
      <w:r>
        <w:rPr>
          <w:spacing w:val="-4"/>
          <w:position w:val="2"/>
          <w:vertAlign w:val="baseline"/>
        </w:rPr>
        <w:t> </w:t>
      </w:r>
      <w:r>
        <w:rPr>
          <w:position w:val="2"/>
          <w:vertAlign w:val="baseline"/>
        </w:rPr>
        <w:t>χ</w:t>
      </w:r>
      <w:r>
        <w:rPr>
          <w:position w:val="2"/>
          <w:vertAlign w:val="superscript"/>
        </w:rPr>
        <w:t>2</w:t>
      </w:r>
      <w:r>
        <w:rPr>
          <w:sz w:val="16"/>
          <w:vertAlign w:val="baseline"/>
        </w:rPr>
        <w:t>Norm</w:t>
      </w:r>
      <w:r>
        <w:rPr>
          <w:spacing w:val="-3"/>
          <w:sz w:val="16"/>
          <w:vertAlign w:val="baseline"/>
        </w:rPr>
        <w:t> </w:t>
      </w:r>
      <w:r>
        <w:rPr>
          <w:position w:val="2"/>
          <w:vertAlign w:val="baseline"/>
        </w:rPr>
        <w:t>p-value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(0.074)</w:t>
      </w:r>
      <w:r>
        <w:rPr>
          <w:spacing w:val="-6"/>
          <w:position w:val="2"/>
          <w:vertAlign w:val="baseline"/>
        </w:rPr>
        <w:t> </w:t>
      </w:r>
      <w:r>
        <w:rPr>
          <w:position w:val="2"/>
          <w:vertAlign w:val="baseline"/>
        </w:rPr>
        <w:t>reveals</w:t>
      </w:r>
      <w:r>
        <w:rPr>
          <w:spacing w:val="-3"/>
          <w:position w:val="2"/>
          <w:vertAlign w:val="baseline"/>
        </w:rPr>
        <w:t> </w:t>
      </w:r>
      <w:r>
        <w:rPr>
          <w:position w:val="2"/>
          <w:vertAlign w:val="baseline"/>
        </w:rPr>
        <w:t>that</w:t>
      </w:r>
      <w:r>
        <w:rPr>
          <w:spacing w:val="-5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58"/>
          <w:position w:val="2"/>
          <w:vertAlign w:val="baseline"/>
        </w:rPr>
        <w:t> </w:t>
      </w:r>
      <w:r>
        <w:rPr>
          <w:vertAlign w:val="baseline"/>
        </w:rPr>
        <w:t>series follow a normal distribution. The F-stat of 59.061 (p-value = 0.00) which is 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-8"/>
          <w:vertAlign w:val="baseline"/>
        </w:rPr>
        <w:t> </w:t>
      </w:r>
      <w:r>
        <w:rPr>
          <w:vertAlign w:val="baseline"/>
        </w:rPr>
        <w:t>1%</w:t>
      </w:r>
      <w:r>
        <w:rPr>
          <w:spacing w:val="-7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suggest</w:t>
      </w:r>
      <w:r>
        <w:rPr>
          <w:spacing w:val="-6"/>
          <w:vertAlign w:val="baseline"/>
        </w:rPr>
        <w:t> </w:t>
      </w:r>
      <w:r>
        <w:rPr>
          <w:vertAlign w:val="baseline"/>
        </w:rPr>
        <w:t>that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10"/>
          <w:vertAlign w:val="baseline"/>
        </w:rPr>
        <w:t> </w:t>
      </w:r>
      <w:r>
        <w:rPr>
          <w:vertAlign w:val="baseline"/>
        </w:rPr>
        <w:t>hypothesis</w:t>
      </w:r>
      <w:r>
        <w:rPr>
          <w:spacing w:val="-7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a</w:t>
      </w:r>
      <w:r>
        <w:rPr>
          <w:spacing w:val="-6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8"/>
          <w:vertAlign w:val="baseline"/>
        </w:rPr>
        <w:t> </w:t>
      </w:r>
      <w:r>
        <w:rPr>
          <w:vertAlign w:val="baseline"/>
        </w:rPr>
        <w:t>linear</w:t>
      </w:r>
      <w:r>
        <w:rPr>
          <w:spacing w:val="-7"/>
          <w:vertAlign w:val="baseline"/>
        </w:rPr>
        <w:t> </w:t>
      </w:r>
      <w:r>
        <w:rPr>
          <w:vertAlign w:val="baseline"/>
        </w:rPr>
        <w:t>relationship</w:t>
      </w:r>
      <w:r>
        <w:rPr>
          <w:spacing w:val="-8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-58"/>
          <w:vertAlign w:val="baseline"/>
        </w:rPr>
        <w:t> </w:t>
      </w:r>
      <w:r>
        <w:rPr>
          <w:vertAlign w:val="baseline"/>
        </w:rPr>
        <w:t>and independent variables cannot be rejected.</w:t>
      </w:r>
      <w:r>
        <w:rPr>
          <w:spacing w:val="1"/>
          <w:vertAlign w:val="baseline"/>
        </w:rPr>
        <w:t> </w:t>
      </w:r>
      <w:r>
        <w:rPr>
          <w:vertAlign w:val="baseline"/>
        </w:rPr>
        <w:t>It 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indicative of the joint statistical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model.</w:t>
      </w:r>
    </w:p>
    <w:p>
      <w:pPr>
        <w:pStyle w:val="BodyText"/>
        <w:spacing w:line="480" w:lineRule="auto" w:before="199"/>
        <w:ind w:right="829"/>
      </w:pPr>
      <w:r>
        <w:rPr/>
        <w:t>BDIND has a negative coefficient (-0.0318) and significant (p=0.0116) at 5%. The results</w:t>
      </w:r>
      <w:r>
        <w:rPr>
          <w:spacing w:val="1"/>
        </w:rPr>
        <w:t> </w:t>
      </w:r>
      <w:r>
        <w:rPr/>
        <w:t>suggest that an increase in the number of independent directors on the board results in a</w:t>
      </w:r>
      <w:r>
        <w:rPr>
          <w:spacing w:val="1"/>
        </w:rPr>
        <w:t> </w:t>
      </w:r>
      <w:r>
        <w:rPr/>
        <w:t>reduction in the tax paid/ pre-tax income ratio and this implies an increase in tax aggressive</w:t>
      </w:r>
      <w:r>
        <w:rPr>
          <w:spacing w:val="1"/>
        </w:rPr>
        <w:t> </w:t>
      </w:r>
      <w:r>
        <w:rPr/>
        <w:t>practices. BDOWN has a negative coefficient (-0.0561) and significant (p=0.0085) at 5%. The</w:t>
      </w:r>
      <w:r>
        <w:rPr>
          <w:spacing w:val="-57"/>
        </w:rPr>
        <w:t> </w:t>
      </w:r>
      <w:r>
        <w:rPr/>
        <w:t>results suggest that an increase in the level of board equity ownership results in a reduction in</w:t>
      </w:r>
      <w:r>
        <w:rPr>
          <w:spacing w:val="1"/>
        </w:rPr>
        <w:t> </w:t>
      </w:r>
      <w:r>
        <w:rPr/>
        <w:t>the tax paid/ pre-tax income ratio and this implies an increase in tax aggressive practices. BDS</w:t>
      </w:r>
      <w:r>
        <w:rPr>
          <w:spacing w:val="-58"/>
        </w:rPr>
        <w:t> </w:t>
      </w:r>
      <w:r>
        <w:rPr/>
        <w:t>has a negative coefficient (-0.0042) and significant (p=0.0036) at 5%. The results suggest that</w:t>
      </w:r>
      <w:r>
        <w:rPr>
          <w:spacing w:val="1"/>
        </w:rPr>
        <w:t> </w:t>
      </w:r>
      <w:r>
        <w:rPr/>
        <w:t>an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board</w:t>
      </w:r>
      <w:r>
        <w:rPr>
          <w:spacing w:val="-1"/>
        </w:rPr>
        <w:t> </w:t>
      </w:r>
      <w:r>
        <w:rPr/>
        <w:t>size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reduction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tax</w:t>
      </w:r>
      <w:r>
        <w:rPr>
          <w:spacing w:val="-1"/>
        </w:rPr>
        <w:t> </w:t>
      </w:r>
      <w:r>
        <w:rPr/>
        <w:t>paid/</w:t>
      </w:r>
      <w:r>
        <w:rPr>
          <w:spacing w:val="-3"/>
        </w:rPr>
        <w:t> </w:t>
      </w:r>
      <w:r>
        <w:rPr/>
        <w:t>pre-tax</w:t>
      </w:r>
      <w:r>
        <w:rPr>
          <w:spacing w:val="-1"/>
        </w:rPr>
        <w:t> </w:t>
      </w:r>
      <w:r>
        <w:rPr/>
        <w:t>income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this</w:t>
      </w:r>
      <w:r>
        <w:rPr>
          <w:spacing w:val="-58"/>
        </w:rPr>
        <w:t> </w:t>
      </w:r>
      <w:r>
        <w:rPr/>
        <w:t>implies an increase in tax aggressiveness. BGD has a positive coefficient (0.0600) though not</w:t>
      </w:r>
      <w:r>
        <w:rPr>
          <w:spacing w:val="1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(p=0.0916)</w:t>
      </w:r>
      <w:r>
        <w:rPr>
          <w:spacing w:val="-4"/>
        </w:rPr>
        <w:t> </w:t>
      </w:r>
      <w:r>
        <w:rPr/>
        <w:t>at 5%.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3"/>
        </w:rPr>
        <w:t> </w:t>
      </w:r>
      <w:r>
        <w:rPr/>
        <w:t>suggest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an</w:t>
      </w:r>
      <w:r>
        <w:rPr>
          <w:spacing w:val="-3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gender</w:t>
      </w:r>
      <w:r>
        <w:rPr>
          <w:spacing w:val="-5"/>
        </w:rPr>
        <w:t> </w:t>
      </w:r>
      <w:r>
        <w:rPr/>
        <w:t>diversity</w:t>
      </w:r>
      <w:r>
        <w:rPr>
          <w:spacing w:val="-57"/>
        </w:rPr>
        <w:t> </w:t>
      </w:r>
      <w:r>
        <w:rPr/>
        <w:t>of boards results in an increase in the tax paid/ pre-tax income ratio and this implies less tax</w:t>
      </w:r>
      <w:r>
        <w:rPr>
          <w:spacing w:val="1"/>
        </w:rPr>
        <w:t> </w:t>
      </w:r>
      <w:r>
        <w:rPr/>
        <w:t>aggressiveness activity though the outcome is not significant at 5%. Looking at the control</w:t>
      </w:r>
      <w:r>
        <w:rPr>
          <w:spacing w:val="1"/>
        </w:rPr>
        <w:t> </w:t>
      </w:r>
      <w:r>
        <w:rPr/>
        <w:t>variables, FSIZE is negative but not significant at 5%, LEV is also negative but significant at</w:t>
      </w:r>
      <w:r>
        <w:rPr>
          <w:spacing w:val="1"/>
        </w:rPr>
        <w:t> </w:t>
      </w:r>
      <w:r>
        <w:rPr/>
        <w:t>5%</w:t>
      </w:r>
      <w:r>
        <w:rPr>
          <w:spacing w:val="-2"/>
        </w:rPr>
        <w:t> </w:t>
      </w:r>
      <w:r>
        <w:rPr/>
        <w:t>and ROA</w:t>
      </w:r>
      <w:r>
        <w:rPr>
          <w:spacing w:val="-1"/>
        </w:rPr>
        <w:t> </w:t>
      </w:r>
      <w:r>
        <w:rPr/>
        <w:t>is positive and significant at 5%.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77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5798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1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column 4, CEO-attributes and the control variables are regressed on tax aggressiveness and</w:t>
      </w:r>
      <w:r>
        <w:rPr>
          <w:spacing w:val="-57"/>
        </w:rPr>
        <w:t> </w:t>
      </w:r>
      <w:r>
        <w:rPr>
          <w:position w:val="2"/>
        </w:rPr>
        <w:t>the model diagnostics reveal that the</w:t>
      </w:r>
      <w:r>
        <w:rPr>
          <w:spacing w:val="1"/>
          <w:position w:val="2"/>
        </w:rPr>
        <w:t> </w:t>
      </w:r>
      <w:r>
        <w:rPr>
          <w:position w:val="2"/>
        </w:rPr>
        <w:t>χ</w:t>
      </w:r>
      <w:r>
        <w:rPr>
          <w:position w:val="2"/>
          <w:vertAlign w:val="superscript"/>
        </w:rPr>
        <w:t>2</w:t>
      </w:r>
      <w:r>
        <w:rPr>
          <w:sz w:val="16"/>
          <w:vertAlign w:val="baseline"/>
        </w:rPr>
        <w:t>Hausman </w:t>
      </w:r>
      <w:r>
        <w:rPr>
          <w:position w:val="2"/>
          <w:vertAlign w:val="baseline"/>
        </w:rPr>
        <w:t>statistic(18.41) and p-value (0.00) indicates that</w:t>
      </w:r>
      <w:r>
        <w:rPr>
          <w:spacing w:val="-57"/>
          <w:position w:val="2"/>
          <w:vertAlign w:val="baseline"/>
        </w:rPr>
        <w:t> </w:t>
      </w:r>
      <w:r>
        <w:rPr>
          <w:vertAlign w:val="baseline"/>
        </w:rPr>
        <w:t>the fixed effects model estimation is the appropriate estimation for the model indicating the</w:t>
      </w:r>
      <w:r>
        <w:rPr>
          <w:spacing w:val="1"/>
          <w:vertAlign w:val="baseline"/>
        </w:rPr>
        <w:t> </w:t>
      </w:r>
      <w:r>
        <w:rPr>
          <w:vertAlign w:val="baseline"/>
        </w:rPr>
        <w:t>existence of significant correlations between firm’s specific disturbances and the beta’s.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model parameters reveal that R</w:t>
      </w:r>
      <w:r>
        <w:rPr>
          <w:vertAlign w:val="superscript"/>
        </w:rPr>
        <w:t>2</w:t>
      </w:r>
      <w:r>
        <w:rPr>
          <w:vertAlign w:val="baseline"/>
        </w:rPr>
        <w:t> and Adj R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stood at 57.11% and 51.89% respectively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suggests that CEO related attributes accounts for about 57% of systematic variations in tax</w:t>
      </w:r>
      <w:r>
        <w:rPr>
          <w:spacing w:val="1"/>
          <w:vertAlign w:val="baseline"/>
        </w:rPr>
        <w:t> </w:t>
      </w:r>
      <w:r>
        <w:rPr>
          <w:spacing w:val="-1"/>
          <w:position w:val="2"/>
          <w:vertAlign w:val="baseline"/>
        </w:rPr>
        <w:t>aggressiveness</w:t>
      </w:r>
      <w:r>
        <w:rPr>
          <w:spacing w:val="-12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of</w:t>
      </w:r>
      <w:r>
        <w:rPr>
          <w:spacing w:val="-16"/>
          <w:position w:val="2"/>
          <w:vertAlign w:val="baseline"/>
        </w:rPr>
        <w:t> </w:t>
      </w:r>
      <w:r>
        <w:rPr>
          <w:spacing w:val="-1"/>
          <w:position w:val="2"/>
          <w:vertAlign w:val="baseline"/>
        </w:rPr>
        <w:t>the</w:t>
      </w:r>
      <w:r>
        <w:rPr>
          <w:spacing w:val="-13"/>
          <w:position w:val="2"/>
          <w:vertAlign w:val="baseline"/>
        </w:rPr>
        <w:t> </w:t>
      </w:r>
      <w:r>
        <w:rPr>
          <w:position w:val="2"/>
          <w:vertAlign w:val="baseline"/>
        </w:rPr>
        <w:t>firms</w:t>
      </w:r>
      <w:r>
        <w:rPr>
          <w:spacing w:val="-14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-13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5"/>
          <w:position w:val="2"/>
          <w:vertAlign w:val="baseline"/>
        </w:rPr>
        <w:t> </w:t>
      </w:r>
      <w:r>
        <w:rPr>
          <w:position w:val="2"/>
          <w:vertAlign w:val="baseline"/>
        </w:rPr>
        <w:t>sample.</w:t>
      </w:r>
      <w:r>
        <w:rPr>
          <w:spacing w:val="-15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4"/>
          <w:position w:val="2"/>
          <w:vertAlign w:val="baseline"/>
        </w:rPr>
        <w:t> </w:t>
      </w:r>
      <w:r>
        <w:rPr>
          <w:position w:val="2"/>
          <w:vertAlign w:val="baseline"/>
        </w:rPr>
        <w:t>χ</w:t>
      </w:r>
      <w:r>
        <w:rPr>
          <w:position w:val="2"/>
          <w:vertAlign w:val="superscript"/>
        </w:rPr>
        <w:t>2</w:t>
      </w:r>
      <w:r>
        <w:rPr>
          <w:sz w:val="16"/>
          <w:vertAlign w:val="baseline"/>
        </w:rPr>
        <w:t>Hetero</w:t>
      </w:r>
      <w:r>
        <w:rPr>
          <w:spacing w:val="7"/>
          <w:sz w:val="16"/>
          <w:vertAlign w:val="baseline"/>
        </w:rPr>
        <w:t> </w:t>
      </w:r>
      <w:r>
        <w:rPr>
          <w:position w:val="2"/>
          <w:vertAlign w:val="baseline"/>
        </w:rPr>
        <w:t>p-value</w:t>
      </w:r>
      <w:r>
        <w:rPr>
          <w:spacing w:val="-14"/>
          <w:position w:val="2"/>
          <w:vertAlign w:val="baseline"/>
        </w:rPr>
        <w:t> </w:t>
      </w:r>
      <w:r>
        <w:rPr>
          <w:position w:val="2"/>
          <w:vertAlign w:val="baseline"/>
        </w:rPr>
        <w:t>(0.725)</w:t>
      </w:r>
      <w:r>
        <w:rPr>
          <w:spacing w:val="-16"/>
          <w:position w:val="2"/>
          <w:vertAlign w:val="baseline"/>
        </w:rPr>
        <w:t> </w:t>
      </w:r>
      <w:r>
        <w:rPr>
          <w:position w:val="2"/>
          <w:vertAlign w:val="baseline"/>
        </w:rPr>
        <w:t>implies</w:t>
      </w:r>
      <w:r>
        <w:rPr>
          <w:spacing w:val="-15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-15"/>
          <w:position w:val="2"/>
          <w:vertAlign w:val="baseline"/>
        </w:rPr>
        <w:t> </w:t>
      </w:r>
      <w:r>
        <w:rPr>
          <w:position w:val="2"/>
          <w:vertAlign w:val="baseline"/>
        </w:rPr>
        <w:t>homoscedastic</w:t>
      </w:r>
      <w:r>
        <w:rPr>
          <w:spacing w:val="-57"/>
          <w:position w:val="2"/>
          <w:vertAlign w:val="baseline"/>
        </w:rPr>
        <w:t> </w:t>
      </w:r>
      <w:r>
        <w:rPr>
          <w:position w:val="2"/>
          <w:vertAlign w:val="baseline"/>
        </w:rPr>
        <w:t>behaviour of the errors and the χ</w:t>
      </w:r>
      <w:r>
        <w:rPr>
          <w:position w:val="2"/>
          <w:vertAlign w:val="superscript"/>
        </w:rPr>
        <w:t>2</w:t>
      </w:r>
      <w:r>
        <w:rPr>
          <w:sz w:val="16"/>
          <w:vertAlign w:val="baseline"/>
        </w:rPr>
        <w:t>Serial/Corr </w:t>
      </w:r>
      <w:r>
        <w:rPr>
          <w:position w:val="2"/>
          <w:vertAlign w:val="baseline"/>
        </w:rPr>
        <w:t>p-value (0.114) also reveals the absence of serial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correlation.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In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addition,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χ</w:t>
      </w:r>
      <w:r>
        <w:rPr>
          <w:position w:val="2"/>
          <w:vertAlign w:val="superscript"/>
        </w:rPr>
        <w:t>2</w:t>
      </w:r>
      <w:r>
        <w:rPr>
          <w:sz w:val="16"/>
          <w:vertAlign w:val="baseline"/>
        </w:rPr>
        <w:t>Norm</w:t>
      </w:r>
      <w:r>
        <w:rPr>
          <w:spacing w:val="1"/>
          <w:sz w:val="16"/>
          <w:vertAlign w:val="baseline"/>
        </w:rPr>
        <w:t> </w:t>
      </w:r>
      <w:r>
        <w:rPr>
          <w:position w:val="2"/>
          <w:vertAlign w:val="baseline"/>
        </w:rPr>
        <w:t>p-value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(0.086)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reveals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that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the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series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follow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a</w:t>
      </w:r>
      <w:r>
        <w:rPr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normal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distribution. The F-stat of 10.946 (p-value = 0.00) which is significant at 5% and suggest 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 hypothesis of a significant linear relationship between the dependent and independent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</w:t>
      </w:r>
      <w:r>
        <w:rPr>
          <w:spacing w:val="-12"/>
          <w:vertAlign w:val="baseline"/>
        </w:rPr>
        <w:t> </w:t>
      </w:r>
      <w:r>
        <w:rPr>
          <w:vertAlign w:val="baseline"/>
        </w:rPr>
        <w:t>cannot</w:t>
      </w:r>
      <w:r>
        <w:rPr>
          <w:spacing w:val="-13"/>
          <w:vertAlign w:val="baseline"/>
        </w:rPr>
        <w:t> </w:t>
      </w:r>
      <w:r>
        <w:rPr>
          <w:vertAlign w:val="baseline"/>
        </w:rPr>
        <w:t>be</w:t>
      </w:r>
      <w:r>
        <w:rPr>
          <w:spacing w:val="-12"/>
          <w:vertAlign w:val="baseline"/>
        </w:rPr>
        <w:t> </w:t>
      </w:r>
      <w:r>
        <w:rPr>
          <w:vertAlign w:val="baseline"/>
        </w:rPr>
        <w:t>rejected.</w:t>
      </w:r>
      <w:r>
        <w:rPr>
          <w:spacing w:val="-11"/>
          <w:vertAlign w:val="baseline"/>
        </w:rPr>
        <w:t> </w:t>
      </w:r>
      <w:r>
        <w:rPr>
          <w:vertAlign w:val="baseline"/>
        </w:rPr>
        <w:t>It</w:t>
      </w:r>
      <w:r>
        <w:rPr>
          <w:spacing w:val="-14"/>
          <w:vertAlign w:val="baseline"/>
        </w:rPr>
        <w:t> </w:t>
      </w:r>
      <w:r>
        <w:rPr>
          <w:vertAlign w:val="baseline"/>
        </w:rPr>
        <w:t>is</w:t>
      </w:r>
      <w:r>
        <w:rPr>
          <w:spacing w:val="-13"/>
          <w:vertAlign w:val="baseline"/>
        </w:rPr>
        <w:t> </w:t>
      </w:r>
      <w:r>
        <w:rPr>
          <w:vertAlign w:val="baseline"/>
        </w:rPr>
        <w:t>also</w:t>
      </w:r>
      <w:r>
        <w:rPr>
          <w:spacing w:val="-13"/>
          <w:vertAlign w:val="baseline"/>
        </w:rPr>
        <w:t> </w:t>
      </w:r>
      <w:r>
        <w:rPr>
          <w:vertAlign w:val="baseline"/>
        </w:rPr>
        <w:t>indicative</w:t>
      </w:r>
      <w:r>
        <w:rPr>
          <w:spacing w:val="-12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4"/>
          <w:vertAlign w:val="baseline"/>
        </w:rPr>
        <w:t> </w:t>
      </w:r>
      <w:r>
        <w:rPr>
          <w:vertAlign w:val="baseline"/>
        </w:rPr>
        <w:t>joint</w:t>
      </w:r>
      <w:r>
        <w:rPr>
          <w:spacing w:val="-13"/>
          <w:vertAlign w:val="baseline"/>
        </w:rPr>
        <w:t> </w:t>
      </w:r>
      <w:r>
        <w:rPr>
          <w:vertAlign w:val="baseline"/>
        </w:rPr>
        <w:t>statistical</w:t>
      </w:r>
      <w:r>
        <w:rPr>
          <w:spacing w:val="-13"/>
          <w:vertAlign w:val="baseline"/>
        </w:rPr>
        <w:t> </w:t>
      </w:r>
      <w:r>
        <w:rPr>
          <w:vertAlign w:val="baseline"/>
        </w:rPr>
        <w:t>significance</w:t>
      </w:r>
      <w:r>
        <w:rPr>
          <w:spacing w:val="-14"/>
          <w:vertAlign w:val="baseline"/>
        </w:rPr>
        <w:t> </w:t>
      </w:r>
      <w:r>
        <w:rPr>
          <w:vertAlign w:val="baseline"/>
        </w:rPr>
        <w:t>of</w:t>
      </w:r>
      <w:r>
        <w:rPr>
          <w:spacing w:val="-15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model.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analysis of the fixed effects estimation results, reveals that CEO-Age has a positive</w:t>
      </w:r>
      <w:r>
        <w:rPr>
          <w:spacing w:val="1"/>
          <w:vertAlign w:val="baseline"/>
        </w:rPr>
        <w:t> </w:t>
      </w:r>
      <w:r>
        <w:rPr>
          <w:vertAlign w:val="baseline"/>
        </w:rPr>
        <w:t>coefficient (0.0010) and significant (p=0.0199) at 5%. The results suggest that the presence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older</w:t>
      </w:r>
      <w:r>
        <w:rPr>
          <w:spacing w:val="-10"/>
          <w:vertAlign w:val="baseline"/>
        </w:rPr>
        <w:t> </w:t>
      </w:r>
      <w:r>
        <w:rPr>
          <w:vertAlign w:val="baseline"/>
        </w:rPr>
        <w:t>CEO’s</w:t>
      </w:r>
      <w:r>
        <w:rPr>
          <w:spacing w:val="-8"/>
          <w:vertAlign w:val="baseline"/>
        </w:rPr>
        <w:t> </w:t>
      </w:r>
      <w:r>
        <w:rPr>
          <w:vertAlign w:val="baseline"/>
        </w:rPr>
        <w:t>tends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result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an</w:t>
      </w:r>
      <w:r>
        <w:rPr>
          <w:spacing w:val="40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tax</w:t>
      </w:r>
      <w:r>
        <w:rPr>
          <w:spacing w:val="-8"/>
          <w:vertAlign w:val="baseline"/>
        </w:rPr>
        <w:t> </w:t>
      </w:r>
      <w:r>
        <w:rPr>
          <w:vertAlign w:val="baseline"/>
        </w:rPr>
        <w:t>paid/</w:t>
      </w:r>
      <w:r>
        <w:rPr>
          <w:spacing w:val="-7"/>
          <w:vertAlign w:val="baseline"/>
        </w:rPr>
        <w:t> </w:t>
      </w:r>
      <w:r>
        <w:rPr>
          <w:vertAlign w:val="baseline"/>
        </w:rPr>
        <w:t>pre-tax</w:t>
      </w:r>
      <w:r>
        <w:rPr>
          <w:spacing w:val="-8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9"/>
          <w:vertAlign w:val="baseline"/>
        </w:rPr>
        <w:t> </w:t>
      </w:r>
      <w:r>
        <w:rPr>
          <w:vertAlign w:val="baseline"/>
        </w:rPr>
        <w:t>ratio</w:t>
      </w:r>
      <w:r>
        <w:rPr>
          <w:spacing w:val="-8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this</w:t>
      </w:r>
      <w:r>
        <w:rPr>
          <w:spacing w:val="-7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-58"/>
          <w:vertAlign w:val="baseline"/>
        </w:rPr>
        <w:t> </w:t>
      </w:r>
      <w:r>
        <w:rPr>
          <w:vertAlign w:val="baseline"/>
        </w:rPr>
        <w:t>less tax aggressiveness activity. CEO-Own has a negative coefficient (-0.0012) and significant</w:t>
      </w:r>
      <w:r>
        <w:rPr>
          <w:spacing w:val="-57"/>
          <w:vertAlign w:val="baseline"/>
        </w:rPr>
        <w:t> </w:t>
      </w:r>
      <w:r>
        <w:rPr>
          <w:vertAlign w:val="baseline"/>
        </w:rPr>
        <w:t>(p=0.0402) at 5%. The results suggest that an increase in CEO equity ownership results in a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reduction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tax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paid/</w:t>
      </w:r>
      <w:r>
        <w:rPr>
          <w:spacing w:val="-13"/>
          <w:vertAlign w:val="baseline"/>
        </w:rPr>
        <w:t> </w:t>
      </w:r>
      <w:r>
        <w:rPr>
          <w:vertAlign w:val="baseline"/>
        </w:rPr>
        <w:t>pre-tax</w:t>
      </w:r>
      <w:r>
        <w:rPr>
          <w:spacing w:val="-13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3"/>
          <w:vertAlign w:val="baseline"/>
        </w:rPr>
        <w:t> </w:t>
      </w:r>
      <w:r>
        <w:rPr>
          <w:vertAlign w:val="baseline"/>
        </w:rPr>
        <w:t>ratio</w:t>
      </w:r>
      <w:r>
        <w:rPr>
          <w:spacing w:val="-12"/>
          <w:vertAlign w:val="baseline"/>
        </w:rPr>
        <w:t> </w:t>
      </w:r>
      <w:r>
        <w:rPr>
          <w:vertAlign w:val="baseline"/>
        </w:rPr>
        <w:t>and</w:t>
      </w:r>
      <w:r>
        <w:rPr>
          <w:spacing w:val="-1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2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-15"/>
          <w:vertAlign w:val="baseline"/>
        </w:rPr>
        <w:t> </w:t>
      </w:r>
      <w:r>
        <w:rPr>
          <w:vertAlign w:val="baseline"/>
        </w:rPr>
        <w:t>an</w:t>
      </w:r>
      <w:r>
        <w:rPr>
          <w:spacing w:val="-12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12"/>
          <w:vertAlign w:val="baseline"/>
        </w:rPr>
        <w:t> </w:t>
      </w:r>
      <w:r>
        <w:rPr>
          <w:vertAlign w:val="baseline"/>
        </w:rPr>
        <w:t>tax</w:t>
      </w:r>
      <w:r>
        <w:rPr>
          <w:spacing w:val="-13"/>
          <w:vertAlign w:val="baseline"/>
        </w:rPr>
        <w:t> </w:t>
      </w:r>
      <w:r>
        <w:rPr>
          <w:vertAlign w:val="baseline"/>
        </w:rPr>
        <w:t>aggressiveness.</w:t>
      </w:r>
      <w:r>
        <w:rPr>
          <w:spacing w:val="-57"/>
          <w:vertAlign w:val="baseline"/>
        </w:rPr>
        <w:t> </w:t>
      </w:r>
      <w:r>
        <w:rPr>
          <w:vertAlign w:val="baseline"/>
        </w:rPr>
        <w:t>CEOT has a negative coefficient (-0.0049) though not significant (p=0.7640) at 5%. Looking</w:t>
      </w:r>
      <w:r>
        <w:rPr>
          <w:spacing w:val="1"/>
          <w:vertAlign w:val="baseline"/>
        </w:rPr>
        <w:t> </w:t>
      </w:r>
      <w:r>
        <w:rPr>
          <w:vertAlign w:val="baseline"/>
        </w:rPr>
        <w:t>at the control variables, FSIZE is negative and significant at 5%, LEV is also negative but not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1"/>
          <w:vertAlign w:val="baseline"/>
        </w:rPr>
        <w:t> </w:t>
      </w:r>
      <w:r>
        <w:rPr>
          <w:vertAlign w:val="baseline"/>
        </w:rPr>
        <w:t>at 5%</w:t>
      </w:r>
      <w:r>
        <w:rPr>
          <w:spacing w:val="-1"/>
          <w:vertAlign w:val="baseline"/>
        </w:rPr>
        <w:t> </w:t>
      </w:r>
      <w:r>
        <w:rPr>
          <w:vertAlign w:val="baseline"/>
        </w:rPr>
        <w:t>and ROA is positive</w:t>
      </w:r>
      <w:r>
        <w:rPr>
          <w:spacing w:val="-1"/>
          <w:vertAlign w:val="baseline"/>
        </w:rPr>
        <w:t> </w:t>
      </w:r>
      <w:r>
        <w:rPr>
          <w:vertAlign w:val="baseline"/>
        </w:rPr>
        <w:t>and significant at</w:t>
      </w:r>
      <w:r>
        <w:rPr>
          <w:spacing w:val="-1"/>
          <w:vertAlign w:val="baseline"/>
        </w:rPr>
        <w:t> </w:t>
      </w:r>
      <w:r>
        <w:rPr>
          <w:vertAlign w:val="baseline"/>
        </w:rPr>
        <w:t>5%.</w:t>
      </w:r>
    </w:p>
    <w:p>
      <w:pPr>
        <w:pStyle w:val="BodyText"/>
        <w:spacing w:line="480" w:lineRule="auto" w:before="180"/>
        <w:ind w:right="834"/>
      </w:pPr>
      <w:r>
        <w:rPr/>
        <w:t>In column 5, board structure, CEO-attributes and the control variables are regressed jointly on</w:t>
      </w:r>
      <w:r>
        <w:rPr>
          <w:spacing w:val="-57"/>
        </w:rPr>
        <w:t> </w:t>
      </w:r>
      <w:r>
        <w:rPr/>
        <w:t>tax aggressiveness.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 the fixed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results,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</w:t>
      </w:r>
      <w:r>
        <w:rPr>
          <w:spacing w:val="23"/>
        </w:rPr>
        <w:t> </w:t>
      </w:r>
      <w:r>
        <w:rPr/>
        <w:t>outcome</w:t>
      </w:r>
      <w:r>
        <w:rPr>
          <w:spacing w:val="21"/>
        </w:rPr>
        <w:t> </w:t>
      </w:r>
      <w:r>
        <w:rPr/>
        <w:t>corroborates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earlier</w:t>
      </w:r>
      <w:r>
        <w:rPr>
          <w:spacing w:val="22"/>
        </w:rPr>
        <w:t> </w:t>
      </w:r>
      <w:r>
        <w:rPr/>
        <w:t>estimates</w:t>
      </w:r>
      <w:r>
        <w:rPr>
          <w:spacing w:val="23"/>
        </w:rPr>
        <w:t> </w:t>
      </w:r>
      <w:r>
        <w:rPr/>
        <w:t>for</w:t>
      </w:r>
      <w:r>
        <w:rPr>
          <w:spacing w:val="21"/>
        </w:rPr>
        <w:t> </w:t>
      </w:r>
      <w:r>
        <w:rPr/>
        <w:t>board</w:t>
      </w:r>
      <w:r>
        <w:rPr>
          <w:spacing w:val="22"/>
        </w:rPr>
        <w:t> </w:t>
      </w:r>
      <w:r>
        <w:rPr/>
        <w:t>structure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we</w:t>
      </w:r>
      <w:r>
        <w:rPr>
          <w:spacing w:val="21"/>
        </w:rPr>
        <w:t> </w:t>
      </w:r>
      <w:r>
        <w:rPr/>
        <w:t>observe</w:t>
      </w:r>
      <w:r>
        <w:rPr>
          <w:spacing w:val="21"/>
        </w:rPr>
        <w:t> </w:t>
      </w:r>
      <w:r>
        <w:rPr/>
        <w:t>that</w:t>
      </w:r>
    </w:p>
    <w:p>
      <w:pPr>
        <w:pStyle w:val="BodyText"/>
      </w:pPr>
      <w:r>
        <w:rPr/>
        <w:t>BDIND</w:t>
      </w:r>
      <w:r>
        <w:rPr>
          <w:spacing w:val="5"/>
        </w:rPr>
        <w:t> </w:t>
      </w:r>
      <w:r>
        <w:rPr/>
        <w:t>still</w:t>
      </w:r>
      <w:r>
        <w:rPr>
          <w:spacing w:val="6"/>
        </w:rPr>
        <w:t> </w:t>
      </w:r>
      <w:r>
        <w:rPr/>
        <w:t>maintains</w:t>
      </w:r>
      <w:r>
        <w:rPr>
          <w:spacing w:val="6"/>
        </w:rPr>
        <w:t> </w:t>
      </w:r>
      <w:r>
        <w:rPr/>
        <w:t>a</w:t>
      </w:r>
      <w:r>
        <w:rPr>
          <w:spacing w:val="8"/>
        </w:rPr>
        <w:t> </w:t>
      </w:r>
      <w:r>
        <w:rPr/>
        <w:t>negative</w:t>
      </w:r>
      <w:r>
        <w:rPr>
          <w:spacing w:val="5"/>
        </w:rPr>
        <w:t> </w:t>
      </w:r>
      <w:r>
        <w:rPr/>
        <w:t>coefficient</w:t>
      </w:r>
      <w:r>
        <w:rPr>
          <w:spacing w:val="6"/>
        </w:rPr>
        <w:t> </w:t>
      </w:r>
      <w:r>
        <w:rPr/>
        <w:t>(-0.0419)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significant</w:t>
      </w:r>
      <w:r>
        <w:rPr>
          <w:spacing w:val="8"/>
        </w:rPr>
        <w:t> </w:t>
      </w:r>
      <w:r>
        <w:rPr/>
        <w:t>(p=0.0011)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5%.</w:t>
      </w:r>
      <w:r>
        <w:rPr>
          <w:spacing w:val="5"/>
        </w:rPr>
        <w:t> </w:t>
      </w:r>
      <w:r>
        <w:rPr/>
        <w:t>The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5"/>
      </w:pPr>
      <w:r>
        <w:rPr/>
        <w:drawing>
          <wp:anchor distT="0" distB="0" distL="0" distR="0" allowOverlap="1" layoutInCell="1" locked="0" behindDoc="1" simplePos="0" relativeHeight="45405849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6" w:id="138"/>
      <w:bookmarkEnd w:id="138"/>
      <w:r>
        <w:rPr/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BDOWN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(-0.0513)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(p=0.0208)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5%.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BDS</w:t>
      </w:r>
      <w:r>
        <w:rPr>
          <w:spacing w:val="-3"/>
        </w:rPr>
        <w:t> </w:t>
      </w:r>
      <w:r>
        <w:rPr/>
        <w:t>also</w:t>
      </w:r>
      <w:r>
        <w:rPr>
          <w:spacing w:val="-3"/>
        </w:rPr>
        <w:t> </w:t>
      </w:r>
      <w:r>
        <w:rPr/>
        <w:t>maintains</w:t>
      </w:r>
      <w:r>
        <w:rPr>
          <w:spacing w:val="-3"/>
        </w:rPr>
        <w:t> </w:t>
      </w:r>
      <w:r>
        <w:rPr/>
        <w:t>its</w:t>
      </w:r>
      <w:r>
        <w:rPr>
          <w:spacing w:val="-4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(-0.0046)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significant (p=0.0008) at 5%. The coefficient of BGD also maintains its positive coefficient</w:t>
      </w:r>
      <w:r>
        <w:rPr>
          <w:spacing w:val="1"/>
        </w:rPr>
        <w:t> </w:t>
      </w:r>
      <w:r>
        <w:rPr/>
        <w:t>(0.0600) and also not statistically significant (p=0.0933) at 5%. On the overall, the behaviour</w:t>
      </w:r>
      <w:r>
        <w:rPr>
          <w:spacing w:val="1"/>
        </w:rPr>
        <w:t> </w:t>
      </w:r>
      <w:r>
        <w:rPr/>
        <w:t>of the board structure variables regressed on tax aggressiveness is the same across both the</w:t>
      </w:r>
      <w:r>
        <w:rPr>
          <w:spacing w:val="1"/>
        </w:rPr>
        <w:t> </w:t>
      </w:r>
      <w:r>
        <w:rPr/>
        <w:t>board structure estimation results and the robust estimation and this improves the reliability of</w:t>
      </w:r>
      <w:r>
        <w:rPr>
          <w:spacing w:val="-57"/>
        </w:rPr>
        <w:t> </w:t>
      </w:r>
      <w:r>
        <w:rPr/>
        <w:t>the observed relationship. Moving to the CEO variables, it is observed that CEO-Age has 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(-1.02e-06)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(p=0.9921)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5%.</w:t>
      </w:r>
      <w:r>
        <w:rPr>
          <w:spacing w:val="1"/>
        </w:rPr>
        <w:t> </w:t>
      </w:r>
      <w:r>
        <w:rPr/>
        <w:t>CEO-Own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statistically significant (0.0456) though with a negative coefficient (-0.0008) while the CEOT</w:t>
      </w:r>
      <w:r>
        <w:rPr>
          <w:spacing w:val="1"/>
        </w:rPr>
        <w:t> </w:t>
      </w:r>
      <w:r>
        <w:rPr/>
        <w:t>is statistically insignificant at 5% (p=0.6124). Looking at the control variables, FSIZE is</w:t>
      </w:r>
      <w:r>
        <w:rPr>
          <w:spacing w:val="1"/>
        </w:rPr>
        <w:t> </w:t>
      </w:r>
      <w:r>
        <w:rPr/>
        <w:t>negative and significant at 5%, ROA is also negative but not significant at 5% and LEV is</w:t>
      </w:r>
      <w:r>
        <w:rPr>
          <w:spacing w:val="1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and significant at 5%.</w:t>
      </w:r>
    </w:p>
    <w:p>
      <w:pPr>
        <w:pStyle w:val="Heading1"/>
        <w:spacing w:before="203"/>
        <w:ind w:left="822"/>
      </w:pPr>
      <w:bookmarkStart w:name="_bookmark85" w:id="139"/>
      <w:bookmarkEnd w:id="139"/>
      <w:r>
        <w:rPr>
          <w:b w:val="0"/>
        </w:rPr>
      </w:r>
      <w:r>
        <w:rPr/>
        <w:t>4.4.3</w:t>
      </w:r>
      <w:r>
        <w:rPr>
          <w:spacing w:val="-3"/>
        </w:rPr>
        <w:t> </w:t>
      </w:r>
      <w:r>
        <w:rPr/>
        <w:t>Robustness</w:t>
      </w:r>
      <w:r>
        <w:rPr>
          <w:spacing w:val="-2"/>
        </w:rPr>
        <w:t> </w:t>
      </w:r>
      <w:r>
        <w:rPr/>
        <w:t>Results:</w:t>
      </w:r>
      <w:r>
        <w:rPr>
          <w:spacing w:val="-2"/>
        </w:rPr>
        <w:t> </w:t>
      </w:r>
      <w:r>
        <w:rPr/>
        <w:t>Discrete</w:t>
      </w:r>
      <w:r>
        <w:rPr>
          <w:spacing w:val="-4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Regression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9"/>
      </w:pP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8"/>
        </w:rPr>
        <w:t> </w:t>
      </w:r>
      <w:r>
        <w:rPr/>
        <w:t>assumes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there</w:t>
      </w:r>
      <w:r>
        <w:rPr>
          <w:spacing w:val="-10"/>
        </w:rPr>
        <w:t> </w:t>
      </w:r>
      <w:r>
        <w:rPr/>
        <w:t>exists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optimal</w:t>
      </w:r>
      <w:r>
        <w:rPr>
          <w:spacing w:val="-10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composition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try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threshold</w:t>
      </w:r>
      <w:r>
        <w:rPr>
          <w:spacing w:val="-58"/>
        </w:rPr>
        <w:t> </w:t>
      </w:r>
      <w:r>
        <w:rPr/>
        <w:t>model to estimate this, which can capture the relationship as well as help policy institutions</w:t>
      </w:r>
      <w:r>
        <w:rPr>
          <w:spacing w:val="1"/>
        </w:rPr>
        <w:t> </w:t>
      </w:r>
      <w:r>
        <w:rPr/>
        <w:t>make decisions. The method of threshold model with the individual effect minimizes the sum</w:t>
      </w:r>
      <w:r>
        <w:rPr>
          <w:spacing w:val="1"/>
        </w:rPr>
        <w:t> </w:t>
      </w:r>
      <w:r>
        <w:rPr/>
        <w:t>of residuals squares to determine the threshold value and tests the prominence of the threshold</w:t>
      </w:r>
      <w:r>
        <w:rPr>
          <w:spacing w:val="-57"/>
        </w:rPr>
        <w:t> </w:t>
      </w:r>
      <w:r>
        <w:rPr/>
        <w:t>value. The specific idea is select a certain variable as the threshold variable, and divide the</w:t>
      </w:r>
      <w:r>
        <w:rPr>
          <w:spacing w:val="1"/>
        </w:rPr>
        <w:t> </w:t>
      </w:r>
      <w:r>
        <w:rPr/>
        <w:t>regression model into multiple intervals according to the searched threshold. The regression</w:t>
      </w:r>
      <w:r>
        <w:rPr>
          <w:spacing w:val="1"/>
        </w:rPr>
        <w:t> </w:t>
      </w:r>
      <w:r>
        <w:rPr/>
        <w:t>equations of each interval are expressed differently, and the other sample values are classified</w:t>
      </w:r>
      <w:r>
        <w:rPr>
          <w:spacing w:val="1"/>
        </w:rPr>
        <w:t> </w:t>
      </w:r>
      <w:r>
        <w:rPr/>
        <w:t>according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interval</w:t>
      </w:r>
      <w:r>
        <w:rPr>
          <w:spacing w:val="2"/>
        </w:rPr>
        <w:t> </w:t>
      </w:r>
      <w:r>
        <w:rPr/>
        <w:t>divided by</w:t>
      </w:r>
      <w:r>
        <w:rPr>
          <w:spacing w:val="-1"/>
        </w:rPr>
        <w:t> </w:t>
      </w:r>
      <w:r>
        <w:rPr/>
        <w:t>the threshold. The</w:t>
      </w:r>
      <w:r>
        <w:rPr>
          <w:spacing w:val="-3"/>
        </w:rPr>
        <w:t> </w:t>
      </w:r>
      <w:r>
        <w:rPr/>
        <w:t>results are</w:t>
      </w:r>
      <w:r>
        <w:rPr>
          <w:spacing w:val="-1"/>
        </w:rPr>
        <w:t> </w:t>
      </w:r>
      <w:r>
        <w:rPr/>
        <w:t>presented below;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jc w:val="left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4.6:</w:t>
      </w:r>
      <w:r>
        <w:rPr>
          <w:b/>
          <w:spacing w:val="-2"/>
        </w:rPr>
        <w:t> </w:t>
      </w:r>
      <w:r>
        <w:rPr/>
        <w:t>Tests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threshold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CG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</w:t>
      </w:r>
    </w:p>
    <w:tbl>
      <w:tblPr>
        <w:tblW w:w="0" w:type="auto"/>
        <w:jc w:val="left"/>
        <w:tblInd w:w="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0"/>
        <w:gridCol w:w="2640"/>
        <w:gridCol w:w="2638"/>
      </w:tblGrid>
      <w:tr>
        <w:trPr>
          <w:trHeight w:val="278" w:hRule="atLeast"/>
        </w:trPr>
        <w:tc>
          <w:tcPr>
            <w:tcW w:w="3490" w:type="dxa"/>
            <w:tcBorders>
              <w:left w:val="nil"/>
            </w:tcBorders>
          </w:tcPr>
          <w:p>
            <w:pPr>
              <w:pStyle w:val="TableParagraph"/>
              <w:spacing w:line="257" w:lineRule="exact" w:before="1"/>
              <w:ind w:left="1202" w:right="1175"/>
              <w:jc w:val="center"/>
              <w:rPr>
                <w:sz w:val="24"/>
              </w:rPr>
            </w:pPr>
            <w:r>
              <w:rPr>
                <w:sz w:val="24"/>
              </w:rPr>
              <w:t>Thresholds</w:t>
            </w:r>
          </w:p>
        </w:tc>
        <w:tc>
          <w:tcPr>
            <w:tcW w:w="2640" w:type="dxa"/>
          </w:tcPr>
          <w:p>
            <w:pPr>
              <w:pStyle w:val="TableParagraph"/>
              <w:spacing w:line="257" w:lineRule="exact" w:before="1"/>
              <w:ind w:left="478" w:right="627"/>
              <w:jc w:val="center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F</w:t>
            </w:r>
            <w:r>
              <w:rPr>
                <w:sz w:val="24"/>
              </w:rPr>
              <w:t>-statistics</w:t>
            </w:r>
          </w:p>
        </w:tc>
        <w:tc>
          <w:tcPr>
            <w:tcW w:w="2638" w:type="dxa"/>
            <w:tcBorders>
              <w:right w:val="nil"/>
            </w:tcBorders>
          </w:tcPr>
          <w:p>
            <w:pPr>
              <w:pStyle w:val="TableParagraph"/>
              <w:spacing w:line="257" w:lineRule="exact" w:before="1"/>
              <w:ind w:left="490" w:right="644"/>
              <w:jc w:val="center"/>
              <w:rPr>
                <w:sz w:val="24"/>
              </w:rPr>
            </w:pPr>
            <w:r>
              <w:rPr>
                <w:sz w:val="24"/>
              </w:rPr>
              <w:t>F-critical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value</w:t>
            </w:r>
          </w:p>
        </w:tc>
      </w:tr>
      <w:tr>
        <w:trPr>
          <w:trHeight w:val="275" w:hRule="atLeast"/>
        </w:trPr>
        <w:tc>
          <w:tcPr>
            <w:tcW w:w="3490" w:type="dxa"/>
            <w:tcBorders>
              <w:left w:val="nil"/>
            </w:tcBorders>
          </w:tcPr>
          <w:p>
            <w:pPr>
              <w:pStyle w:val="TableParagraph"/>
              <w:spacing w:line="256" w:lineRule="exact" w:before="0"/>
              <w:ind w:left="1200" w:right="1175"/>
              <w:jc w:val="center"/>
              <w:rPr>
                <w:sz w:val="24"/>
              </w:rPr>
            </w:pPr>
            <w:r>
              <w:rPr>
                <w:sz w:val="24"/>
              </w:rPr>
              <w:t>0 vs.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 *</w:t>
            </w:r>
          </w:p>
        </w:tc>
        <w:tc>
          <w:tcPr>
            <w:tcW w:w="2640" w:type="dxa"/>
          </w:tcPr>
          <w:p>
            <w:pPr>
              <w:pStyle w:val="TableParagraph"/>
              <w:spacing w:line="256" w:lineRule="exact" w:before="0"/>
              <w:ind w:left="478" w:right="626"/>
              <w:jc w:val="center"/>
              <w:rPr>
                <w:sz w:val="24"/>
              </w:rPr>
            </w:pPr>
            <w:r>
              <w:rPr>
                <w:sz w:val="24"/>
              </w:rPr>
              <w:t>154.0683</w:t>
            </w:r>
          </w:p>
        </w:tc>
        <w:tc>
          <w:tcPr>
            <w:tcW w:w="2638" w:type="dxa"/>
            <w:tcBorders>
              <w:right w:val="nil"/>
            </w:tcBorders>
          </w:tcPr>
          <w:p>
            <w:pPr>
              <w:pStyle w:val="TableParagraph"/>
              <w:spacing w:line="256" w:lineRule="exact" w:before="0"/>
              <w:ind w:left="490" w:right="639"/>
              <w:jc w:val="center"/>
              <w:rPr>
                <w:sz w:val="24"/>
              </w:rPr>
            </w:pPr>
            <w:r>
              <w:rPr>
                <w:sz w:val="24"/>
              </w:rPr>
              <w:t>23.70</w:t>
            </w:r>
          </w:p>
        </w:tc>
      </w:tr>
      <w:tr>
        <w:trPr>
          <w:trHeight w:val="285" w:hRule="atLeast"/>
        </w:trPr>
        <w:tc>
          <w:tcPr>
            <w:tcW w:w="3490" w:type="dxa"/>
            <w:tcBorders>
              <w:left w:val="nil"/>
            </w:tcBorders>
          </w:tcPr>
          <w:p>
            <w:pPr>
              <w:pStyle w:val="TableParagraph"/>
              <w:spacing w:line="265" w:lineRule="exact" w:before="0"/>
              <w:ind w:left="1200" w:right="1175"/>
              <w:jc w:val="center"/>
              <w:rPr>
                <w:sz w:val="24"/>
              </w:rPr>
            </w:pPr>
            <w:r>
              <w:rPr>
                <w:sz w:val="24"/>
              </w:rPr>
              <w:t>1 vs.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 *</w:t>
            </w:r>
          </w:p>
        </w:tc>
        <w:tc>
          <w:tcPr>
            <w:tcW w:w="2640" w:type="dxa"/>
          </w:tcPr>
          <w:p>
            <w:pPr>
              <w:pStyle w:val="TableParagraph"/>
              <w:spacing w:line="265" w:lineRule="exact" w:before="0"/>
              <w:ind w:left="478" w:right="626"/>
              <w:jc w:val="center"/>
              <w:rPr>
                <w:sz w:val="24"/>
              </w:rPr>
            </w:pPr>
            <w:r>
              <w:rPr>
                <w:sz w:val="24"/>
              </w:rPr>
              <w:t>47.02704</w:t>
            </w:r>
          </w:p>
        </w:tc>
        <w:tc>
          <w:tcPr>
            <w:tcW w:w="2638" w:type="dxa"/>
            <w:tcBorders>
              <w:right w:val="nil"/>
            </w:tcBorders>
          </w:tcPr>
          <w:p>
            <w:pPr>
              <w:pStyle w:val="TableParagraph"/>
              <w:spacing w:line="265" w:lineRule="exact" w:before="0"/>
              <w:ind w:left="490" w:right="639"/>
              <w:jc w:val="center"/>
              <w:rPr>
                <w:sz w:val="24"/>
              </w:rPr>
            </w:pPr>
            <w:r>
              <w:rPr>
                <w:sz w:val="24"/>
              </w:rPr>
              <w:t>25.75</w:t>
            </w:r>
          </w:p>
        </w:tc>
      </w:tr>
      <w:tr>
        <w:trPr>
          <w:trHeight w:val="275" w:hRule="atLeast"/>
        </w:trPr>
        <w:tc>
          <w:tcPr>
            <w:tcW w:w="3490" w:type="dxa"/>
            <w:tcBorders>
              <w:left w:val="nil"/>
            </w:tcBorders>
          </w:tcPr>
          <w:p>
            <w:pPr>
              <w:pStyle w:val="TableParagraph"/>
              <w:spacing w:line="256" w:lineRule="exact" w:before="0"/>
              <w:ind w:left="1200" w:right="1175"/>
              <w:jc w:val="center"/>
              <w:rPr>
                <w:sz w:val="24"/>
              </w:rPr>
            </w:pPr>
            <w:r>
              <w:rPr>
                <w:sz w:val="24"/>
              </w:rPr>
              <w:t>2 vs.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 *</w:t>
            </w:r>
          </w:p>
        </w:tc>
        <w:tc>
          <w:tcPr>
            <w:tcW w:w="2640" w:type="dxa"/>
          </w:tcPr>
          <w:p>
            <w:pPr>
              <w:pStyle w:val="TableParagraph"/>
              <w:spacing w:line="256" w:lineRule="exact" w:before="0"/>
              <w:ind w:left="478" w:right="626"/>
              <w:jc w:val="center"/>
              <w:rPr>
                <w:sz w:val="24"/>
              </w:rPr>
            </w:pPr>
            <w:r>
              <w:rPr>
                <w:sz w:val="24"/>
              </w:rPr>
              <w:t>49.18813</w:t>
            </w:r>
          </w:p>
        </w:tc>
        <w:tc>
          <w:tcPr>
            <w:tcW w:w="2638" w:type="dxa"/>
            <w:tcBorders>
              <w:right w:val="nil"/>
            </w:tcBorders>
          </w:tcPr>
          <w:p>
            <w:pPr>
              <w:pStyle w:val="TableParagraph"/>
              <w:spacing w:line="256" w:lineRule="exact" w:before="0"/>
              <w:ind w:left="490" w:right="639"/>
              <w:jc w:val="center"/>
              <w:rPr>
                <w:sz w:val="24"/>
              </w:rPr>
            </w:pPr>
            <w:r>
              <w:rPr>
                <w:sz w:val="24"/>
              </w:rPr>
              <w:t>26.81</w:t>
            </w:r>
          </w:p>
        </w:tc>
      </w:tr>
      <w:tr>
        <w:trPr>
          <w:trHeight w:val="275" w:hRule="atLeast"/>
        </w:trPr>
        <w:tc>
          <w:tcPr>
            <w:tcW w:w="3490" w:type="dxa"/>
            <w:tcBorders>
              <w:left w:val="nil"/>
            </w:tcBorders>
          </w:tcPr>
          <w:p>
            <w:pPr>
              <w:pStyle w:val="TableParagraph"/>
              <w:spacing w:line="256" w:lineRule="exact" w:before="0"/>
              <w:ind w:left="1202" w:right="117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vs. 4</w:t>
            </w:r>
          </w:p>
        </w:tc>
        <w:tc>
          <w:tcPr>
            <w:tcW w:w="2640" w:type="dxa"/>
          </w:tcPr>
          <w:p>
            <w:pPr>
              <w:pStyle w:val="TableParagraph"/>
              <w:spacing w:line="256" w:lineRule="exact" w:before="0"/>
              <w:ind w:left="478" w:right="626"/>
              <w:jc w:val="center"/>
              <w:rPr>
                <w:sz w:val="24"/>
              </w:rPr>
            </w:pPr>
            <w:r>
              <w:rPr>
                <w:sz w:val="24"/>
              </w:rPr>
              <w:t>19.03270</w:t>
            </w:r>
          </w:p>
        </w:tc>
        <w:tc>
          <w:tcPr>
            <w:tcW w:w="2638" w:type="dxa"/>
            <w:tcBorders>
              <w:right w:val="nil"/>
            </w:tcBorders>
          </w:tcPr>
          <w:p>
            <w:pPr>
              <w:pStyle w:val="TableParagraph"/>
              <w:spacing w:line="256" w:lineRule="exact" w:before="0"/>
              <w:ind w:left="490" w:right="639"/>
              <w:jc w:val="center"/>
              <w:rPr>
                <w:sz w:val="24"/>
              </w:rPr>
            </w:pPr>
            <w:r>
              <w:rPr>
                <w:sz w:val="24"/>
              </w:rPr>
              <w:t>27.65</w:t>
            </w:r>
          </w:p>
        </w:tc>
      </w:tr>
    </w:tbl>
    <w:p>
      <w:pPr>
        <w:pStyle w:val="BodyText"/>
        <w:jc w:val="left"/>
      </w:pPr>
      <w:r>
        <w:rPr>
          <w:b/>
        </w:rPr>
        <w:t>Source:</w:t>
      </w:r>
      <w:r>
        <w:rPr>
          <w:b/>
          <w:spacing w:val="-2"/>
        </w:rPr>
        <w:t> </w:t>
      </w:r>
      <w:r>
        <w:rPr/>
        <w:t>Researcher’s</w:t>
      </w:r>
      <w:r>
        <w:rPr>
          <w:spacing w:val="1"/>
        </w:rPr>
        <w:t> </w:t>
      </w:r>
      <w:r>
        <w:rPr/>
        <w:t>compilation</w:t>
      </w:r>
      <w:r>
        <w:rPr>
          <w:spacing w:val="-1"/>
        </w:rPr>
        <w:t> </w:t>
      </w:r>
      <w:r>
        <w:rPr/>
        <w:t>(2020)</w:t>
      </w:r>
      <w:r>
        <w:rPr>
          <w:spacing w:val="58"/>
        </w:rPr>
        <w:t> </w:t>
      </w:r>
      <w:r>
        <w:rPr/>
        <w:t>*</w:t>
      </w:r>
      <w:r>
        <w:rPr>
          <w:spacing w:val="-1"/>
        </w:rPr>
        <w:t> </w:t>
      </w:r>
      <w:r>
        <w:rPr/>
        <w:t>sig</w:t>
      </w:r>
      <w:r>
        <w:rPr>
          <w:spacing w:val="58"/>
        </w:rPr>
        <w:t> </w:t>
      </w:r>
      <w:r>
        <w:rPr/>
        <w:t>@5%, **</w:t>
      </w:r>
      <w:r>
        <w:rPr>
          <w:spacing w:val="-1"/>
        </w:rPr>
        <w:t> </w:t>
      </w:r>
      <w:r>
        <w:rPr/>
        <w:t>sig</w:t>
      </w:r>
      <w:r>
        <w:rPr>
          <w:spacing w:val="-1"/>
        </w:rPr>
        <w:t> </w:t>
      </w:r>
      <w:r>
        <w:rPr/>
        <w:t>@</w:t>
      </w:r>
      <w:r>
        <w:rPr>
          <w:spacing w:val="-1"/>
        </w:rPr>
        <w:t> </w:t>
      </w:r>
      <w:r>
        <w:rPr/>
        <w:t>10%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line="480" w:lineRule="auto" w:before="175"/>
        <w:ind w:right="829"/>
      </w:pPr>
      <w:r>
        <w:rPr/>
        <w:drawing>
          <wp:anchor distT="0" distB="0" distL="0" distR="0" allowOverlap="1" layoutInCell="1" locked="0" behindDoc="1" simplePos="0" relativeHeight="454059008">
            <wp:simplePos x="0" y="0"/>
            <wp:positionH relativeFrom="page">
              <wp:posOffset>1261605</wp:posOffset>
            </wp:positionH>
            <wp:positionV relativeFrom="paragraph">
              <wp:posOffset>316269</wp:posOffset>
            </wp:positionV>
            <wp:extent cx="5133225" cy="5265293"/>
            <wp:effectExtent l="0" t="0" r="0" b="0"/>
            <wp:wrapNone/>
            <wp:docPr id="22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>
          <w:i/>
        </w:rPr>
        <w:t>F</w:t>
      </w:r>
      <w:r>
        <w:rPr>
          <w:i/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assesses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none,</w:t>
      </w:r>
      <w:r>
        <w:rPr>
          <w:spacing w:val="1"/>
        </w:rPr>
        <w:t> </w:t>
      </w:r>
      <w:r>
        <w:rPr/>
        <w:t>one,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thresholds,</w:t>
      </w:r>
      <w:r>
        <w:rPr>
          <w:spacing w:val="1"/>
        </w:rPr>
        <w:t> </w:t>
      </w:r>
      <w:r>
        <w:rPr/>
        <w:t>respectively. Table 4.6 provides the tests for the single threshold, double-threshold and triple-</w:t>
      </w:r>
      <w:r>
        <w:rPr>
          <w:spacing w:val="1"/>
        </w:rPr>
        <w:t> </w:t>
      </w:r>
      <w:r>
        <w:rPr/>
        <w:t>threshold effects. The single-threshold effect is first tested to see if it exists. The </w:t>
      </w:r>
      <w:r>
        <w:rPr>
          <w:i/>
        </w:rPr>
        <w:t>F</w:t>
      </w:r>
      <w:r>
        <w:rPr/>
        <w:t>-statistics of</w:t>
      </w:r>
      <w:r>
        <w:rPr>
          <w:spacing w:val="-57"/>
        </w:rPr>
        <w:t> </w:t>
      </w:r>
      <w:r>
        <w:rPr/>
        <w:t>154.0683 exceeds the F-critical value of 23.70 and show significance under 1% significance</w:t>
      </w:r>
      <w:r>
        <w:rPr>
          <w:spacing w:val="1"/>
        </w:rPr>
        <w:t> </w:t>
      </w:r>
      <w:r>
        <w:rPr/>
        <w:t>level and reject the null hypothesis of no threshold effect; then the double threshold effect test</w:t>
      </w:r>
      <w:r>
        <w:rPr>
          <w:spacing w:val="1"/>
        </w:rPr>
        <w:t> </w:t>
      </w:r>
      <w:r>
        <w:rPr/>
        <w:t>is followed to see if it exists. The F-statistics of 47.027 exceeds the F-critical of 25.75 under a</w:t>
      </w:r>
      <w:r>
        <w:rPr>
          <w:spacing w:val="1"/>
        </w:rPr>
        <w:t> </w:t>
      </w:r>
      <w:r>
        <w:rPr/>
        <w:t>5% significance level and reject the null hypothesis of one threshold. Finally, triple-threshold</w:t>
      </w:r>
      <w:r>
        <w:rPr>
          <w:spacing w:val="1"/>
        </w:rPr>
        <w:t> </w:t>
      </w:r>
      <w:r>
        <w:rPr/>
        <w:t>effect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tested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see</w:t>
      </w:r>
      <w:r>
        <w:rPr>
          <w:spacing w:val="-10"/>
        </w:rPr>
        <w:t> </w:t>
      </w:r>
      <w:r>
        <w:rPr/>
        <w:t>if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exists.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F-statistics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49.188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higher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F-critical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5%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hence the null hypothesis of two thresholds is rejected and hence suggesting the possibility of</w:t>
      </w:r>
      <w:r>
        <w:rPr>
          <w:spacing w:val="1"/>
        </w:rPr>
        <w:t> </w:t>
      </w:r>
      <w:r>
        <w:rPr/>
        <w:t>three thresholds. No possibility of four thresholds is observed to exist as the F-value of 19.033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less than the F-critical</w:t>
      </w:r>
      <w:r>
        <w:rPr>
          <w:spacing w:val="2"/>
        </w:rPr>
        <w:t> </w:t>
      </w:r>
      <w:r>
        <w:rPr/>
        <w:t>of 27.65.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spacing w:before="77" w:after="4"/>
        <w:ind w:left="822" w:right="0" w:firstLine="0"/>
        <w:jc w:val="both"/>
        <w:rPr>
          <w:sz w:val="24"/>
        </w:rPr>
      </w:pPr>
      <w:r>
        <w:rPr/>
        <w:pict>
          <v:shape style="position:absolute;margin-left:353.455017pt;margin-top:143.863083pt;width:150.1pt;height:161.15pt;mso-position-horizontal-relative:page;mso-position-vertical-relative:paragraph;z-index:-49255936" coordorigin="7069,2877" coordsize="3002,3223" path="m8349,5760l8349,5732,8348,5721,8347,5713,8344,5703,8342,5697,8337,5685,8334,5680,8330,5674,8321,5662,8308,5648,8292,5631,8274,5615,8251,5593,8243,5588,8232,5581,8227,5579,8220,5579,8217,5580,8209,5588,8206,5601,8208,5621,8209,5636,8209,5653,8209,5671,8208,5691,8206,5712,8202,5734,8197,5756,8190,5779,8181,5803,8169,5825,8153,5847,8134,5868,8108,5890,8080,5908,8050,5920,8018,5928,7985,5932,7949,5931,7912,5925,7873,5914,7833,5899,7791,5879,7747,5854,7702,5824,7655,5790,7607,5751,7558,5707,7508,5659,7459,5608,7414,5558,7375,5509,7340,5461,7310,5415,7284,5370,7263,5326,7246,5285,7234,5244,7227,5206,7224,5170,7227,5135,7233,5103,7245,5074,7262,5047,7283,5022,7305,5003,7326,4987,7349,4974,7372,4965,7395,4959,7417,4954,7439,4951,7459,4949,7479,4949,7514,4949,7529,4950,7549,4952,7562,4951,7569,4943,7570,4939,7570,4934,7568,4925,7560,4911,7548,4895,7529,4874,7503,4847,7487,4834,7480,4829,7474,4824,7468,4820,7462,4817,7451,4811,7442,4809,7430,4806,7420,4804,7407,4804,7376,4804,7358,4805,7339,4808,7321,4812,7302,4816,7283,4822,7264,4829,7246,4837,7227,4846,7209,4857,7192,4869,7176,4882,7161,4897,7129,4932,7105,4971,7086,5013,7075,5059,7069,5107,7069,5158,7075,5210,7088,5265,7108,5323,7134,5382,7165,5442,7203,5504,7248,5568,7298,5633,7355,5699,7419,5765,7483,5827,7546,5882,7608,5931,7669,5973,7728,6010,7786,6040,7842,6064,7896,6082,7948,6094,7998,6100,8045,6099,8091,6092,8134,6080,8175,6061,8213,6036,8248,6005,8266,5985,8283,5965,8297,5944,8309,5922,8319,5900,8327,5878,8334,5857,8340,5835,8343,5815,8347,5796,8348,5778,8349,5760xm8952,5131l8945,5077,8932,5022,8911,4965,8885,4907,8852,4847,8813,4785,8794,4759,8794,5109,8794,5148,8787,5185,8774,5220,8754,5253,8727,5284,8695,5312,8663,5332,8629,5346,8593,5353,8556,5356,8518,5352,8479,5343,8439,5329,8398,5310,8356,5287,8312,5259,8268,5226,8223,5190,8177,5151,8131,5108,8084,5062,8043,5020,8004,4976,7967,4933,7932,4888,7901,4845,7874,4802,7852,4759,7833,4717,7819,4676,7810,4636,7806,4597,7807,4558,7813,4522,7826,4487,7846,4454,7873,4423,7903,4396,7936,4376,7970,4362,8006,4354,8043,4353,8081,4356,8120,4365,8161,4378,8202,4398,8244,4421,8287,4448,8331,4479,8376,4515,8421,4554,8466,4595,8511,4639,8553,4683,8593,4726,8630,4770,8665,4814,8697,4858,8724,4902,8747,4945,8766,4987,8781,5029,8790,5070,8794,5109,8794,4759,8768,4723,8717,4660,8661,4596,8599,4531,8534,4469,8471,4413,8410,4363,8396,4353,8350,4319,8291,4281,8234,4250,8178,4225,8124,4206,8072,4194,8022,4189,7973,4190,7926,4197,7880,4211,7837,4232,7796,4260,7757,4295,7721,4336,7692,4380,7671,4425,7657,4473,7650,4524,7650,4576,7656,4629,7670,4684,7690,4741,7716,4799,7748,4859,7786,4920,7831,4982,7881,5044,7936,5107,7997,5170,8062,5233,8126,5290,8188,5341,8249,5386,8308,5425,8366,5457,8422,5482,8476,5501,8527,5513,8578,5519,8627,5518,8674,5511,8720,5497,8764,5476,8806,5448,8846,5412,8882,5371,8892,5356,8910,5328,8931,5282,8945,5233,8952,5183,8952,5131xm9374,4839l9373,4834,9371,4829,9367,4824,8977,4434,9056,4355,9086,4323,9090,4317,9110,4289,9129,4255,9142,4219,9151,4184,9155,4148,9155,4109,9150,4071,9141,4032,9128,3993,9111,3953,9089,3912,9063,3871,9033,3831,9002,3794,9002,4103,9001,4126,8997,4148,8989,4170,8978,4192,8963,4213,8944,4234,8861,4317,8431,3888,8517,3802,8528,3791,8542,3780,8556,3769,8571,3759,8587,3751,8605,3745,8625,3741,8646,3739,8670,3740,8695,3744,8722,3753,8751,3765,8781,3781,8812,3802,8843,3828,8876,3858,8899,3883,8919,3907,8938,3932,8955,3957,8969,3982,8981,4007,8990,4032,8997,4056,9001,4080,9002,4103,9002,3794,8999,3790,8961,3750,8949,3739,8931,3721,8900,3695,8870,3671,8840,3650,8809,3632,8779,3617,8750,3604,8720,3594,8691,3586,8662,3581,8634,3578,8606,3578,8580,3581,8555,3586,8533,3592,8513,3600,8496,3610,8479,3619,8465,3628,8452,3636,8441,3646,8429,3656,8418,3666,8406,3677,8258,3826,8252,3834,8248,3843,8246,3853,8247,3865,8250,3878,8257,3892,8268,3907,8282,3924,9275,4916,9280,4920,9285,4922,9290,4923,9294,4924,9300,4922,9306,4920,9312,4917,9320,4913,9335,4902,9353,4883,9360,4875,9365,4868,9369,4861,9371,4855,9373,4849,9374,4844,9374,4839xm10071,4147l10070,4143,10067,4133,10063,4128,9664,3729,9590,3584,9368,3147,9256,2928,9250,2917,9239,2899,9235,2892,9228,2884,9222,2880,9208,2877,9200,2880,9191,2885,9185,2891,9169,2905,9150,2923,9133,2946,9129,2952,9128,2957,9127,2963,9127,2969,9129,2974,9131,2981,9134,2986,9138,2993,9174,3061,9351,3399,9401,3488,9468,3608,9486,3638,9485,3639,9242,3504,9175,3468,8838,3292,8831,3287,8825,3285,8819,3283,8814,3282,8802,3284,8796,3286,8789,3289,8782,3295,8765,3309,8742,3331,8734,3341,8722,3357,8719,3364,8722,3378,8726,3384,8741,3396,8750,3401,8771,3413,8917,3488,9354,3710,9572,3821,9971,4220,9976,4224,9981,4226,9985,4228,9990,4228,9996,4226,10002,4224,10016,4217,10030,4206,10048,4188,10060,4173,10067,4159,10069,4153,10071,4147xe" filled="true" fillcolor="#c0c0c0" stroked="false">
            <v:path arrowok="t"/>
            <v:fill opacity="32896f" type="solid"/>
            <w10:wrap type="none"/>
          </v:shape>
        </w:pict>
      </w:r>
      <w:bookmarkStart w:name="_bookmark87" w:id="140"/>
      <w:bookmarkEnd w:id="140"/>
      <w:r>
        <w:rPr/>
      </w: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4.7:</w:t>
      </w:r>
      <w:r>
        <w:rPr>
          <w:b/>
          <w:spacing w:val="57"/>
          <w:sz w:val="24"/>
        </w:rPr>
        <w:t> </w:t>
      </w:r>
      <w:r>
        <w:rPr>
          <w:sz w:val="24"/>
        </w:rPr>
        <w:t>Threshold</w:t>
      </w:r>
      <w:r>
        <w:rPr>
          <w:spacing w:val="-1"/>
          <w:sz w:val="24"/>
        </w:rPr>
        <w:t> </w:t>
      </w:r>
      <w:r>
        <w:rPr>
          <w:sz w:val="24"/>
        </w:rPr>
        <w:t>Estimates</w:t>
      </w:r>
      <w:r>
        <w:rPr>
          <w:spacing w:val="-1"/>
          <w:sz w:val="24"/>
        </w:rPr>
        <w:t> </w:t>
      </w:r>
      <w:r>
        <w:rPr>
          <w:sz w:val="24"/>
        </w:rPr>
        <w:t>Result</w:t>
      </w:r>
    </w:p>
    <w:tbl>
      <w:tblPr>
        <w:tblW w:w="0" w:type="auto"/>
        <w:jc w:val="left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991"/>
        <w:gridCol w:w="1136"/>
        <w:gridCol w:w="1275"/>
        <w:gridCol w:w="992"/>
        <w:gridCol w:w="1133"/>
        <w:gridCol w:w="992"/>
        <w:gridCol w:w="1138"/>
        <w:gridCol w:w="992"/>
      </w:tblGrid>
      <w:tr>
        <w:trPr>
          <w:trHeight w:val="460" w:hRule="atLeast"/>
        </w:trPr>
        <w:tc>
          <w:tcPr>
            <w:tcW w:w="1116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122" w:right="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Variable</w:t>
            </w:r>
          </w:p>
        </w:tc>
        <w:tc>
          <w:tcPr>
            <w:tcW w:w="991" w:type="dxa"/>
          </w:tcPr>
          <w:p>
            <w:pPr>
              <w:pStyle w:val="TableParagraph"/>
              <w:spacing w:line="240" w:lineRule="auto" w:before="0"/>
              <w:ind w:left="214" w:right="2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T1</w:t>
            </w:r>
          </w:p>
          <w:p>
            <w:pPr>
              <w:pStyle w:val="TableParagraph"/>
              <w:spacing w:line="210" w:lineRule="exact" w:before="1"/>
              <w:ind w:left="214" w:right="21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Low</w:t>
            </w: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40" w:lineRule="auto" w:before="0"/>
              <w:ind w:left="216" w:right="22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T2</w:t>
            </w:r>
          </w:p>
          <w:p>
            <w:pPr>
              <w:pStyle w:val="TableParagraph"/>
              <w:spacing w:line="210" w:lineRule="exact" w:before="1"/>
              <w:ind w:left="216" w:right="22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Moderate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40" w:lineRule="auto" w:before="0"/>
              <w:ind w:left="327" w:right="3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T3</w:t>
            </w:r>
          </w:p>
          <w:p>
            <w:pPr>
              <w:pStyle w:val="TableParagraph"/>
              <w:spacing w:line="210" w:lineRule="exact" w:before="1"/>
              <w:ind w:left="330" w:right="33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High</w:t>
            </w:r>
          </w:p>
        </w:tc>
        <w:tc>
          <w:tcPr>
            <w:tcW w:w="99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spacing w:line="240" w:lineRule="auto" w:before="0"/>
              <w:ind w:left="430" w:right="43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T4</w:t>
            </w:r>
          </w:p>
          <w:p>
            <w:pPr>
              <w:pStyle w:val="TableParagraph"/>
              <w:spacing w:line="240" w:lineRule="auto" w:before="0"/>
              <w:ind w:left="101" w:right="0"/>
              <w:jc w:val="left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  <w:t>Very</w:t>
            </w:r>
            <w:r>
              <w:rPr>
                <w:b/>
                <w:i/>
                <w:spacing w:val="-2"/>
                <w:sz w:val="18"/>
              </w:rPr>
              <w:t> </w:t>
            </w:r>
            <w:r>
              <w:rPr>
                <w:b/>
                <w:i/>
                <w:sz w:val="18"/>
              </w:rPr>
              <w:t>High</w:t>
            </w:r>
          </w:p>
        </w:tc>
        <w:tc>
          <w:tcPr>
            <w:tcW w:w="992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28" w:hRule="atLeast"/>
        </w:trPr>
        <w:tc>
          <w:tcPr>
            <w:tcW w:w="11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15" w:right="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209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0.3751*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9" w:lineRule="exact" w:before="0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0.5909*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09" w:lineRule="exact" w:before="0"/>
              <w:ind w:right="165"/>
              <w:rPr>
                <w:sz w:val="20"/>
              </w:rPr>
            </w:pPr>
            <w:r>
              <w:rPr>
                <w:sz w:val="20"/>
              </w:rPr>
              <w:t>0.4624*</w:t>
            </w:r>
          </w:p>
        </w:tc>
        <w:tc>
          <w:tcPr>
            <w:tcW w:w="1138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9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1.0341*</w:t>
            </w:r>
          </w:p>
        </w:tc>
      </w:tr>
      <w:tr>
        <w:trPr>
          <w:trHeight w:val="219" w:hRule="atLeast"/>
        </w:trPr>
        <w:tc>
          <w:tcPr>
            <w:tcW w:w="111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(0.1113)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0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(0.1026)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 w:before="0"/>
              <w:ind w:right="148"/>
              <w:rPr>
                <w:sz w:val="20"/>
              </w:rPr>
            </w:pPr>
            <w:r>
              <w:rPr>
                <w:sz w:val="20"/>
              </w:rPr>
              <w:t>(0.1261)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199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(0.1422)</w:t>
            </w:r>
          </w:p>
        </w:tc>
      </w:tr>
      <w:tr>
        <w:trPr>
          <w:trHeight w:val="220" w:hRule="atLeast"/>
        </w:trPr>
        <w:tc>
          <w:tcPr>
            <w:tcW w:w="11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200" w:lineRule="exact" w:before="0"/>
              <w:ind w:left="134" w:right="134"/>
              <w:jc w:val="center"/>
              <w:rPr>
                <w:sz w:val="20"/>
              </w:rPr>
            </w:pPr>
            <w:r>
              <w:rPr>
                <w:sz w:val="20"/>
              </w:rPr>
              <w:t>{0.000}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0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{0.000}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0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{0.0003}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0" w:lineRule="exact" w:before="0"/>
              <w:ind w:left="82" w:right="90"/>
              <w:jc w:val="center"/>
              <w:rPr>
                <w:sz w:val="20"/>
              </w:rPr>
            </w:pPr>
            <w:r>
              <w:rPr>
                <w:sz w:val="20"/>
              </w:rPr>
              <w:t>{0.000}</w:t>
            </w:r>
          </w:p>
        </w:tc>
      </w:tr>
      <w:tr>
        <w:trPr>
          <w:trHeight w:val="233" w:hRule="atLeast"/>
        </w:trPr>
        <w:tc>
          <w:tcPr>
            <w:tcW w:w="11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4" w:lineRule="exact" w:before="0"/>
              <w:ind w:left="247" w:right="0"/>
              <w:jc w:val="left"/>
              <w:rPr>
                <w:sz w:val="20"/>
              </w:rPr>
            </w:pPr>
            <w:r>
              <w:rPr>
                <w:sz w:val="20"/>
              </w:rPr>
              <w:t>BDIND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-0.0196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-0.2292*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0.1397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4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-0.1399</w:t>
            </w:r>
          </w:p>
        </w:tc>
      </w:tr>
      <w:tr>
        <w:trPr>
          <w:trHeight w:val="231" w:hRule="atLeast"/>
        </w:trPr>
        <w:tc>
          <w:tcPr>
            <w:tcW w:w="111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0"/>
              <w:ind w:left="214" w:right="214"/>
              <w:jc w:val="center"/>
              <w:rPr>
                <w:sz w:val="20"/>
              </w:rPr>
            </w:pPr>
            <w:r>
              <w:rPr>
                <w:sz w:val="20"/>
              </w:rPr>
              <w:t>&lt; 0.57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(0.0985)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0"/>
              <w:ind w:left="100" w:right="0"/>
              <w:jc w:val="left"/>
              <w:rPr>
                <w:sz w:val="20"/>
              </w:rPr>
            </w:pPr>
            <w:r>
              <w:rPr>
                <w:sz w:val="20"/>
              </w:rPr>
              <w:t>0.57-0.71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(0.084)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3" w:lineRule="exact" w:before="0"/>
              <w:ind w:left="101" w:right="0"/>
              <w:jc w:val="left"/>
              <w:rPr>
                <w:sz w:val="18"/>
              </w:rPr>
            </w:pPr>
            <w:r>
              <w:rPr>
                <w:sz w:val="18"/>
              </w:rPr>
              <w:t>0.71-0.88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0"/>
              <w:ind w:right="148"/>
              <w:rPr>
                <w:sz w:val="20"/>
              </w:rPr>
            </w:pPr>
            <w:r>
              <w:rPr>
                <w:sz w:val="20"/>
              </w:rPr>
              <w:t>(0.0915)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1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&gt;0.88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11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(0.1139)</w:t>
            </w:r>
          </w:p>
        </w:tc>
      </w:tr>
      <w:tr>
        <w:trPr>
          <w:trHeight w:val="225" w:hRule="atLeast"/>
        </w:trPr>
        <w:tc>
          <w:tcPr>
            <w:tcW w:w="11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{0.8426}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{0.007}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{0.1273}</w:t>
            </w: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0"/>
              <w:ind w:left="82" w:right="88"/>
              <w:jc w:val="center"/>
              <w:rPr>
                <w:sz w:val="20"/>
              </w:rPr>
            </w:pPr>
            <w:r>
              <w:rPr>
                <w:sz w:val="20"/>
              </w:rPr>
              <w:t>{0.2198}</w:t>
            </w:r>
          </w:p>
        </w:tc>
      </w:tr>
      <w:tr>
        <w:trPr>
          <w:trHeight w:val="234" w:hRule="atLeast"/>
        </w:trPr>
        <w:tc>
          <w:tcPr>
            <w:tcW w:w="11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5" w:lineRule="exact" w:before="0"/>
              <w:ind w:left="187" w:right="0"/>
              <w:jc w:val="left"/>
              <w:rPr>
                <w:sz w:val="20"/>
              </w:rPr>
            </w:pPr>
            <w:r>
              <w:rPr>
                <w:sz w:val="20"/>
              </w:rPr>
              <w:t>BDOWN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-0.0441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0.0661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0"/>
              <w:ind w:right="181"/>
              <w:rPr>
                <w:sz w:val="20"/>
              </w:rPr>
            </w:pPr>
            <w:r>
              <w:rPr>
                <w:sz w:val="20"/>
              </w:rPr>
              <w:t>-0.0811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5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0.0672</w:t>
            </w:r>
          </w:p>
        </w:tc>
      </w:tr>
      <w:tr>
        <w:trPr>
          <w:trHeight w:val="230" w:hRule="atLeast"/>
        </w:trPr>
        <w:tc>
          <w:tcPr>
            <w:tcW w:w="111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214" w:right="21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&lt;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0%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(0.0769)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right="332"/>
              <w:rPr>
                <w:sz w:val="20"/>
              </w:rPr>
            </w:pPr>
            <w:r>
              <w:rPr>
                <w:sz w:val="20"/>
              </w:rPr>
              <w:t>1%-9%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(0.0668)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0.9%-47%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right="148"/>
              <w:rPr>
                <w:sz w:val="20"/>
              </w:rPr>
            </w:pPr>
            <w:r>
              <w:rPr>
                <w:sz w:val="20"/>
              </w:rPr>
              <w:t>(0.0779)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&gt;47%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(0.0921)</w:t>
            </w:r>
          </w:p>
        </w:tc>
      </w:tr>
      <w:tr>
        <w:trPr>
          <w:trHeight w:val="225" w:hRule="atLeast"/>
        </w:trPr>
        <w:tc>
          <w:tcPr>
            <w:tcW w:w="11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{0.5663}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{0.3223}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{0.2975}</w:t>
            </w: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0"/>
              <w:ind w:left="82" w:right="88"/>
              <w:jc w:val="center"/>
              <w:rPr>
                <w:sz w:val="20"/>
              </w:rPr>
            </w:pPr>
            <w:r>
              <w:rPr>
                <w:sz w:val="20"/>
              </w:rPr>
              <w:t>{0.4659}</w:t>
            </w:r>
          </w:p>
        </w:tc>
      </w:tr>
      <w:tr>
        <w:trPr>
          <w:trHeight w:val="233" w:hRule="atLeast"/>
        </w:trPr>
        <w:tc>
          <w:tcPr>
            <w:tcW w:w="11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4" w:lineRule="exact" w:before="0"/>
              <w:ind w:left="369" w:right="0"/>
              <w:jc w:val="left"/>
              <w:rPr>
                <w:sz w:val="20"/>
              </w:rPr>
            </w:pPr>
            <w:r>
              <w:rPr>
                <w:sz w:val="20"/>
              </w:rPr>
              <w:t>BDS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-0.0131**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-0.0008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right="132"/>
              <w:rPr>
                <w:sz w:val="20"/>
              </w:rPr>
            </w:pPr>
            <w:r>
              <w:rPr>
                <w:sz w:val="20"/>
              </w:rPr>
              <w:t>-0.012**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4" w:lineRule="exact" w:before="0"/>
              <w:ind w:left="41" w:right="105"/>
              <w:jc w:val="center"/>
              <w:rPr>
                <w:sz w:val="20"/>
              </w:rPr>
            </w:pPr>
            <w:r>
              <w:rPr>
                <w:sz w:val="20"/>
              </w:rPr>
              <w:t>-0.0257*</w:t>
            </w:r>
          </w:p>
        </w:tc>
      </w:tr>
      <w:tr>
        <w:trPr>
          <w:trHeight w:val="229" w:hRule="atLeast"/>
        </w:trPr>
        <w:tc>
          <w:tcPr>
            <w:tcW w:w="111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214" w:right="214"/>
              <w:jc w:val="center"/>
              <w:rPr>
                <w:sz w:val="20"/>
              </w:rPr>
            </w:pPr>
            <w:r>
              <w:rPr>
                <w:sz w:val="20"/>
              </w:rPr>
              <w:t>&lt;7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(0.0071)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216" w:right="217"/>
              <w:jc w:val="center"/>
              <w:rPr>
                <w:sz w:val="20"/>
              </w:rPr>
            </w:pPr>
            <w:r>
              <w:rPr>
                <w:sz w:val="20"/>
              </w:rPr>
              <w:t>7-11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(0.005)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11-18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right="198"/>
              <w:rPr>
                <w:sz w:val="20"/>
              </w:rPr>
            </w:pPr>
            <w:r>
              <w:rPr>
                <w:sz w:val="20"/>
              </w:rPr>
              <w:t>(0.006)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&gt;18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9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(0.0079)</w:t>
            </w:r>
          </w:p>
        </w:tc>
      </w:tr>
      <w:tr>
        <w:trPr>
          <w:trHeight w:val="225" w:hRule="atLeast"/>
        </w:trPr>
        <w:tc>
          <w:tcPr>
            <w:tcW w:w="11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{0.0624}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{0.870}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right="135"/>
              <w:rPr>
                <w:sz w:val="20"/>
              </w:rPr>
            </w:pPr>
            <w:r>
              <w:rPr>
                <w:sz w:val="20"/>
              </w:rPr>
              <w:t>{0.0704}</w:t>
            </w: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0"/>
              <w:ind w:left="65" w:right="105"/>
              <w:jc w:val="center"/>
              <w:rPr>
                <w:sz w:val="20"/>
              </w:rPr>
            </w:pPr>
            <w:r>
              <w:rPr>
                <w:sz w:val="20"/>
              </w:rPr>
              <w:t>{0.0014}</w:t>
            </w:r>
          </w:p>
        </w:tc>
      </w:tr>
      <w:tr>
        <w:trPr>
          <w:trHeight w:val="235" w:hRule="atLeast"/>
        </w:trPr>
        <w:tc>
          <w:tcPr>
            <w:tcW w:w="11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5" w:lineRule="exact" w:before="1"/>
              <w:ind w:left="352" w:right="0"/>
              <w:jc w:val="left"/>
              <w:rPr>
                <w:sz w:val="20"/>
              </w:rPr>
            </w:pPr>
            <w:r>
              <w:rPr>
                <w:sz w:val="20"/>
              </w:rPr>
              <w:t>BGD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1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0.1871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1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-0.1971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1"/>
              <w:ind w:left="214" w:right="0"/>
              <w:jc w:val="left"/>
              <w:rPr>
                <w:sz w:val="20"/>
              </w:rPr>
            </w:pPr>
            <w:r>
              <w:rPr>
                <w:sz w:val="20"/>
              </w:rPr>
              <w:t>0.0961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5" w:lineRule="exact" w:before="1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0.6708*</w:t>
            </w:r>
          </w:p>
        </w:tc>
      </w:tr>
      <w:tr>
        <w:trPr>
          <w:trHeight w:val="230" w:hRule="atLeast"/>
        </w:trPr>
        <w:tc>
          <w:tcPr>
            <w:tcW w:w="111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214" w:right="21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&lt;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(0.1281)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right="273"/>
              <w:rPr>
                <w:sz w:val="20"/>
              </w:rPr>
            </w:pPr>
            <w:r>
              <w:rPr>
                <w:sz w:val="20"/>
              </w:rPr>
              <w:t>0.1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-0.11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(0.1289)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0.11-0.22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right="148"/>
              <w:rPr>
                <w:sz w:val="20"/>
              </w:rPr>
            </w:pPr>
            <w:r>
              <w:rPr>
                <w:sz w:val="20"/>
              </w:rPr>
              <w:t>(0.2218)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&gt;0.22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(0.2548)</w:t>
            </w:r>
          </w:p>
        </w:tc>
      </w:tr>
      <w:tr>
        <w:trPr>
          <w:trHeight w:val="225" w:hRule="atLeast"/>
        </w:trPr>
        <w:tc>
          <w:tcPr>
            <w:tcW w:w="11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{0.1447}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{0.1266}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{0.6650}</w:t>
            </w: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0"/>
              <w:ind w:left="82" w:right="88"/>
              <w:jc w:val="center"/>
              <w:rPr>
                <w:sz w:val="20"/>
              </w:rPr>
            </w:pPr>
            <w:r>
              <w:rPr>
                <w:sz w:val="20"/>
              </w:rPr>
              <w:t>{0.0087}</w:t>
            </w:r>
          </w:p>
        </w:tc>
      </w:tr>
      <w:tr>
        <w:trPr>
          <w:trHeight w:val="234" w:hRule="atLeast"/>
        </w:trPr>
        <w:tc>
          <w:tcPr>
            <w:tcW w:w="11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5" w:lineRule="exact" w:before="0"/>
              <w:ind w:left="158" w:right="0"/>
              <w:jc w:val="left"/>
              <w:rPr>
                <w:sz w:val="20"/>
              </w:rPr>
            </w:pPr>
            <w:r>
              <w:rPr>
                <w:sz w:val="20"/>
              </w:rPr>
              <w:t>CEOAGE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0.0006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0.0004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5" w:lineRule="exact" w:before="0"/>
              <w:ind w:right="165"/>
              <w:rPr>
                <w:sz w:val="20"/>
              </w:rPr>
            </w:pPr>
            <w:r>
              <w:rPr>
                <w:sz w:val="20"/>
              </w:rPr>
              <w:t>0.0018*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5" w:lineRule="exact" w:before="0"/>
              <w:ind w:left="82" w:right="90"/>
              <w:jc w:val="center"/>
              <w:rPr>
                <w:sz w:val="20"/>
              </w:rPr>
            </w:pPr>
            <w:r>
              <w:rPr>
                <w:sz w:val="20"/>
              </w:rPr>
              <w:t>-0.002**</w:t>
            </w:r>
          </w:p>
        </w:tc>
      </w:tr>
      <w:tr>
        <w:trPr>
          <w:trHeight w:val="230" w:hRule="atLeast"/>
        </w:trPr>
        <w:tc>
          <w:tcPr>
            <w:tcW w:w="111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214" w:right="214"/>
              <w:jc w:val="center"/>
              <w:rPr>
                <w:sz w:val="20"/>
              </w:rPr>
            </w:pPr>
            <w:r>
              <w:rPr>
                <w:sz w:val="20"/>
              </w:rPr>
              <w:t>&lt;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43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(0.0006)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395" w:right="0"/>
              <w:jc w:val="left"/>
              <w:rPr>
                <w:sz w:val="20"/>
              </w:rPr>
            </w:pPr>
            <w:r>
              <w:rPr>
                <w:sz w:val="20"/>
              </w:rPr>
              <w:t>43-51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(0.0005)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202" w:right="0"/>
              <w:jc w:val="left"/>
              <w:rPr>
                <w:sz w:val="20"/>
              </w:rPr>
            </w:pPr>
            <w:r>
              <w:rPr>
                <w:sz w:val="20"/>
              </w:rPr>
              <w:t>51-59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right="148"/>
              <w:rPr>
                <w:sz w:val="20"/>
              </w:rPr>
            </w:pPr>
            <w:r>
              <w:rPr>
                <w:sz w:val="20"/>
              </w:rPr>
              <w:t>(0.0007)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&gt;59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82" w:right="88"/>
              <w:jc w:val="center"/>
              <w:rPr>
                <w:sz w:val="20"/>
              </w:rPr>
            </w:pPr>
            <w:r>
              <w:rPr>
                <w:sz w:val="20"/>
              </w:rPr>
              <w:t>(0.0009)</w:t>
            </w:r>
          </w:p>
        </w:tc>
      </w:tr>
      <w:tr>
        <w:trPr>
          <w:trHeight w:val="225" w:hRule="atLeast"/>
        </w:trPr>
        <w:tc>
          <w:tcPr>
            <w:tcW w:w="11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34" w:right="134"/>
              <w:jc w:val="center"/>
              <w:rPr>
                <w:sz w:val="20"/>
              </w:rPr>
            </w:pPr>
            <w:r>
              <w:rPr>
                <w:sz w:val="20"/>
              </w:rPr>
              <w:t>{0.3948}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{0.3889}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{0.0077}</w:t>
            </w: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0"/>
              <w:ind w:left="82" w:right="88"/>
              <w:jc w:val="center"/>
              <w:rPr>
                <w:sz w:val="20"/>
              </w:rPr>
            </w:pPr>
            <w:r>
              <w:rPr>
                <w:sz w:val="20"/>
              </w:rPr>
              <w:t>{0.0681}</w:t>
            </w:r>
          </w:p>
        </w:tc>
      </w:tr>
      <w:tr>
        <w:trPr>
          <w:trHeight w:val="233" w:hRule="atLeast"/>
        </w:trPr>
        <w:tc>
          <w:tcPr>
            <w:tcW w:w="11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4" w:lineRule="exact" w:before="0"/>
              <w:ind w:left="124" w:right="0"/>
              <w:jc w:val="left"/>
              <w:rPr>
                <w:sz w:val="20"/>
              </w:rPr>
            </w:pPr>
            <w:r>
              <w:rPr>
                <w:sz w:val="20"/>
              </w:rPr>
              <w:t>CEOOWN</w:t>
            </w:r>
          </w:p>
        </w:tc>
        <w:tc>
          <w:tcPr>
            <w:tcW w:w="991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-0.0012</w:t>
            </w:r>
          </w:p>
        </w:tc>
        <w:tc>
          <w:tcPr>
            <w:tcW w:w="1275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0.0014</w:t>
            </w:r>
          </w:p>
        </w:tc>
        <w:tc>
          <w:tcPr>
            <w:tcW w:w="1133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4" w:lineRule="exact" w:before="0"/>
              <w:ind w:right="165"/>
              <w:rPr>
                <w:sz w:val="20"/>
              </w:rPr>
            </w:pPr>
            <w:r>
              <w:rPr>
                <w:sz w:val="20"/>
              </w:rPr>
              <w:t>0.0046*</w:t>
            </w:r>
          </w:p>
        </w:tc>
        <w:tc>
          <w:tcPr>
            <w:tcW w:w="1138" w:type="dxa"/>
            <w:tcBorders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4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-0.0017</w:t>
            </w:r>
          </w:p>
        </w:tc>
      </w:tr>
      <w:tr>
        <w:trPr>
          <w:trHeight w:val="229" w:hRule="atLeast"/>
        </w:trPr>
        <w:tc>
          <w:tcPr>
            <w:tcW w:w="111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214" w:right="21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&lt;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0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(0.0001)</w:t>
            </w:r>
          </w:p>
        </w:tc>
        <w:tc>
          <w:tcPr>
            <w:tcW w:w="12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412" w:right="0"/>
              <w:jc w:val="left"/>
              <w:rPr>
                <w:sz w:val="20"/>
              </w:rPr>
            </w:pPr>
            <w:r>
              <w:rPr>
                <w:sz w:val="20"/>
              </w:rPr>
              <w:t>0-5%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(0.0011)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0.5-24%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right="148"/>
              <w:rPr>
                <w:sz w:val="20"/>
              </w:rPr>
            </w:pPr>
            <w:r>
              <w:rPr>
                <w:sz w:val="20"/>
              </w:rPr>
              <w:t>(0.0014)</w:t>
            </w:r>
          </w:p>
        </w:tc>
        <w:tc>
          <w:tcPr>
            <w:tcW w:w="113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9" w:lineRule="exact" w:before="0"/>
              <w:ind w:left="101" w:right="0"/>
              <w:jc w:val="left"/>
              <w:rPr>
                <w:sz w:val="20"/>
              </w:rPr>
            </w:pPr>
            <w:r>
              <w:rPr>
                <w:sz w:val="20"/>
              </w:rPr>
              <w:t>&gt;24%</w:t>
            </w: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9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(0.002)</w:t>
            </w:r>
          </w:p>
        </w:tc>
      </w:tr>
      <w:tr>
        <w:trPr>
          <w:trHeight w:val="225" w:hRule="atLeast"/>
        </w:trPr>
        <w:tc>
          <w:tcPr>
            <w:tcW w:w="11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{0.4851}</w:t>
            </w:r>
          </w:p>
        </w:tc>
        <w:tc>
          <w:tcPr>
            <w:tcW w:w="1275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{0.2129}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5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{0.0011}</w:t>
            </w:r>
          </w:p>
        </w:tc>
        <w:tc>
          <w:tcPr>
            <w:tcW w:w="1138" w:type="dxa"/>
            <w:tcBorders>
              <w:top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5" w:lineRule="exact" w:before="0"/>
              <w:ind w:left="82" w:right="88"/>
              <w:jc w:val="center"/>
              <w:rPr>
                <w:sz w:val="20"/>
              </w:rPr>
            </w:pPr>
            <w:r>
              <w:rPr>
                <w:sz w:val="20"/>
              </w:rPr>
              <w:t>{0.3309}</w:t>
            </w:r>
          </w:p>
        </w:tc>
      </w:tr>
      <w:tr>
        <w:trPr>
          <w:trHeight w:val="229" w:hRule="atLeast"/>
        </w:trPr>
        <w:tc>
          <w:tcPr>
            <w:tcW w:w="1116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10" w:lineRule="exact" w:before="0"/>
              <w:ind w:left="271" w:right="0"/>
              <w:jc w:val="left"/>
              <w:rPr>
                <w:sz w:val="20"/>
              </w:rPr>
            </w:pPr>
            <w:r>
              <w:rPr>
                <w:sz w:val="20"/>
              </w:rPr>
              <w:t>CEO-T</w:t>
            </w:r>
          </w:p>
        </w:tc>
        <w:tc>
          <w:tcPr>
            <w:tcW w:w="991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6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-0.0293</w:t>
            </w:r>
          </w:p>
        </w:tc>
        <w:tc>
          <w:tcPr>
            <w:tcW w:w="1275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-0.0175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>
            <w:pPr>
              <w:pStyle w:val="TableParagraph"/>
              <w:spacing w:line="210" w:lineRule="exact" w:before="0"/>
              <w:ind w:right="181"/>
              <w:rPr>
                <w:sz w:val="20"/>
              </w:rPr>
            </w:pPr>
            <w:r>
              <w:rPr>
                <w:sz w:val="20"/>
              </w:rPr>
              <w:t>-0.0467</w:t>
            </w:r>
          </w:p>
        </w:tc>
        <w:tc>
          <w:tcPr>
            <w:tcW w:w="1138" w:type="dxa"/>
            <w:vMerge w:val="restart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92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10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-0.1049*</w:t>
            </w:r>
          </w:p>
        </w:tc>
      </w:tr>
      <w:tr>
        <w:trPr>
          <w:trHeight w:val="220" w:hRule="atLeast"/>
        </w:trPr>
        <w:tc>
          <w:tcPr>
            <w:tcW w:w="1116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(0.0287)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0"/>
              <w:ind w:left="99" w:right="100"/>
              <w:jc w:val="center"/>
              <w:rPr>
                <w:sz w:val="20"/>
              </w:rPr>
            </w:pPr>
            <w:r>
              <w:rPr>
                <w:sz w:val="20"/>
              </w:rPr>
              <w:t>(0.0254)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00" w:lineRule="exact" w:before="0"/>
              <w:ind w:right="198"/>
              <w:rPr>
                <w:sz w:val="20"/>
              </w:rPr>
            </w:pPr>
            <w:r>
              <w:rPr>
                <w:sz w:val="20"/>
              </w:rPr>
              <w:t>(0.032)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00" w:lineRule="exact" w:before="0"/>
              <w:ind w:left="82" w:right="89"/>
              <w:jc w:val="center"/>
              <w:rPr>
                <w:sz w:val="20"/>
              </w:rPr>
            </w:pPr>
            <w:r>
              <w:rPr>
                <w:sz w:val="20"/>
              </w:rPr>
              <w:t>(0.0374)</w:t>
            </w:r>
          </w:p>
        </w:tc>
      </w:tr>
      <w:tr>
        <w:trPr>
          <w:trHeight w:val="220" w:hRule="atLeast"/>
        </w:trPr>
        <w:tc>
          <w:tcPr>
            <w:tcW w:w="1116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>
            <w:pPr>
              <w:pStyle w:val="TableParagraph"/>
              <w:spacing w:line="200" w:lineRule="exact" w:before="0"/>
              <w:ind w:left="134" w:right="135"/>
              <w:jc w:val="center"/>
              <w:rPr>
                <w:sz w:val="20"/>
              </w:rPr>
            </w:pPr>
            <w:r>
              <w:rPr>
                <w:sz w:val="20"/>
              </w:rPr>
              <w:t>{0.3079}</w:t>
            </w:r>
          </w:p>
        </w:tc>
        <w:tc>
          <w:tcPr>
            <w:tcW w:w="12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0" w:lineRule="exact" w:before="0"/>
              <w:ind w:left="100" w:right="100"/>
              <w:jc w:val="center"/>
              <w:rPr>
                <w:sz w:val="20"/>
              </w:rPr>
            </w:pPr>
            <w:r>
              <w:rPr>
                <w:sz w:val="20"/>
              </w:rPr>
              <w:t>{0.4914}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>
            <w:pPr>
              <w:pStyle w:val="TableParagraph"/>
              <w:spacing w:line="200" w:lineRule="exact" w:before="0"/>
              <w:ind w:right="118"/>
              <w:rPr>
                <w:sz w:val="20"/>
              </w:rPr>
            </w:pPr>
            <w:r>
              <w:rPr>
                <w:sz w:val="20"/>
              </w:rPr>
              <w:t>{0.1483}</w:t>
            </w:r>
          </w:p>
        </w:tc>
        <w:tc>
          <w:tcPr>
            <w:tcW w:w="11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00" w:lineRule="exact" w:before="0"/>
              <w:ind w:left="82" w:right="88"/>
              <w:jc w:val="center"/>
              <w:rPr>
                <w:sz w:val="20"/>
              </w:rPr>
            </w:pPr>
            <w:r>
              <w:rPr>
                <w:sz w:val="20"/>
              </w:rPr>
              <w:t>{0.0052}</w:t>
            </w:r>
          </w:p>
        </w:tc>
      </w:tr>
    </w:tbl>
    <w:p>
      <w:pPr>
        <w:pStyle w:val="BodyText"/>
        <w:ind w:left="0"/>
        <w:jc w:val="left"/>
        <w:rPr>
          <w:sz w:val="20"/>
        </w:rPr>
      </w:pPr>
    </w:p>
    <w:tbl>
      <w:tblPr>
        <w:tblW w:w="0" w:type="auto"/>
        <w:jc w:val="left"/>
        <w:tblInd w:w="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6"/>
        <w:gridCol w:w="3401"/>
        <w:gridCol w:w="2266"/>
        <w:gridCol w:w="2979"/>
      </w:tblGrid>
      <w:tr>
        <w:trPr>
          <w:trHeight w:val="297" w:hRule="atLeast"/>
        </w:trPr>
        <w:tc>
          <w:tcPr>
            <w:tcW w:w="1116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76" w:right="261"/>
              <w:jc w:val="center"/>
              <w:rPr>
                <w:sz w:val="20"/>
              </w:rPr>
            </w:pPr>
            <w:r>
              <w:rPr>
                <w:sz w:val="20"/>
              </w:rPr>
              <w:t>FSIZE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uto" w:before="0"/>
              <w:ind w:left="1401" w:right="1400"/>
              <w:jc w:val="center"/>
              <w:rPr>
                <w:sz w:val="20"/>
              </w:rPr>
            </w:pPr>
            <w:r>
              <w:rPr>
                <w:sz w:val="20"/>
              </w:rPr>
              <w:t>0.0153</w:t>
            </w:r>
          </w:p>
        </w:tc>
        <w:tc>
          <w:tcPr>
            <w:tcW w:w="2266" w:type="dxa"/>
          </w:tcPr>
          <w:p>
            <w:pPr>
              <w:pStyle w:val="TableParagraph"/>
              <w:spacing w:line="240" w:lineRule="auto" w:before="0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0.0119</w:t>
            </w:r>
          </w:p>
        </w:tc>
        <w:tc>
          <w:tcPr>
            <w:tcW w:w="297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1191" w:right="1192"/>
              <w:jc w:val="center"/>
              <w:rPr>
                <w:sz w:val="20"/>
              </w:rPr>
            </w:pPr>
            <w:r>
              <w:rPr>
                <w:sz w:val="20"/>
              </w:rPr>
              <w:t>0.1988</w:t>
            </w:r>
          </w:p>
        </w:tc>
      </w:tr>
      <w:tr>
        <w:trPr>
          <w:trHeight w:val="273" w:hRule="atLeast"/>
        </w:trPr>
        <w:tc>
          <w:tcPr>
            <w:tcW w:w="1116" w:type="dxa"/>
            <w:tcBorders>
              <w:left w:val="nil"/>
            </w:tcBorders>
          </w:tcPr>
          <w:p>
            <w:pPr>
              <w:pStyle w:val="TableParagraph"/>
              <w:spacing w:line="240" w:lineRule="auto" w:before="0"/>
              <w:ind w:left="276" w:right="259"/>
              <w:jc w:val="center"/>
              <w:rPr>
                <w:sz w:val="20"/>
              </w:rPr>
            </w:pPr>
            <w:r>
              <w:rPr>
                <w:sz w:val="20"/>
              </w:rPr>
              <w:t>LEV</w:t>
            </w:r>
          </w:p>
        </w:tc>
        <w:tc>
          <w:tcPr>
            <w:tcW w:w="3401" w:type="dxa"/>
          </w:tcPr>
          <w:p>
            <w:pPr>
              <w:pStyle w:val="TableParagraph"/>
              <w:spacing w:line="240" w:lineRule="auto" w:before="0"/>
              <w:ind w:left="1401" w:right="1400"/>
              <w:jc w:val="center"/>
              <w:rPr>
                <w:sz w:val="20"/>
              </w:rPr>
            </w:pPr>
            <w:r>
              <w:rPr>
                <w:sz w:val="20"/>
              </w:rPr>
              <w:t>0.0003</w:t>
            </w:r>
          </w:p>
        </w:tc>
        <w:tc>
          <w:tcPr>
            <w:tcW w:w="2266" w:type="dxa"/>
          </w:tcPr>
          <w:p>
            <w:pPr>
              <w:pStyle w:val="TableParagraph"/>
              <w:spacing w:line="240" w:lineRule="auto" w:before="0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0.0003</w:t>
            </w:r>
          </w:p>
        </w:tc>
        <w:tc>
          <w:tcPr>
            <w:tcW w:w="2979" w:type="dxa"/>
            <w:tcBorders>
              <w:right w:val="nil"/>
            </w:tcBorders>
          </w:tcPr>
          <w:p>
            <w:pPr>
              <w:pStyle w:val="TableParagraph"/>
              <w:spacing w:line="240" w:lineRule="auto" w:before="0"/>
              <w:ind w:left="1191" w:right="1192"/>
              <w:jc w:val="center"/>
              <w:rPr>
                <w:sz w:val="20"/>
              </w:rPr>
            </w:pPr>
            <w:r>
              <w:rPr>
                <w:sz w:val="20"/>
              </w:rPr>
              <w:t>0.3539</w:t>
            </w:r>
          </w:p>
        </w:tc>
      </w:tr>
      <w:tr>
        <w:trPr>
          <w:trHeight w:val="230" w:hRule="atLeast"/>
        </w:trPr>
        <w:tc>
          <w:tcPr>
            <w:tcW w:w="1116" w:type="dxa"/>
            <w:tcBorders>
              <w:left w:val="nil"/>
            </w:tcBorders>
          </w:tcPr>
          <w:p>
            <w:pPr>
              <w:pStyle w:val="TableParagraph"/>
              <w:spacing w:line="210" w:lineRule="exact" w:before="0"/>
              <w:ind w:left="275" w:right="261"/>
              <w:jc w:val="center"/>
              <w:rPr>
                <w:sz w:val="20"/>
              </w:rPr>
            </w:pPr>
            <w:r>
              <w:rPr>
                <w:sz w:val="20"/>
              </w:rPr>
              <w:t>ROA</w:t>
            </w:r>
          </w:p>
        </w:tc>
        <w:tc>
          <w:tcPr>
            <w:tcW w:w="3401" w:type="dxa"/>
          </w:tcPr>
          <w:p>
            <w:pPr>
              <w:pStyle w:val="TableParagraph"/>
              <w:spacing w:line="210" w:lineRule="exact" w:before="0"/>
              <w:ind w:left="1401" w:right="1400"/>
              <w:jc w:val="center"/>
              <w:rPr>
                <w:sz w:val="20"/>
              </w:rPr>
            </w:pPr>
            <w:r>
              <w:rPr>
                <w:sz w:val="20"/>
              </w:rPr>
              <w:t>0.0518</w:t>
            </w:r>
          </w:p>
        </w:tc>
        <w:tc>
          <w:tcPr>
            <w:tcW w:w="2266" w:type="dxa"/>
          </w:tcPr>
          <w:p>
            <w:pPr>
              <w:pStyle w:val="TableParagraph"/>
              <w:spacing w:line="210" w:lineRule="exact" w:before="0"/>
              <w:ind w:left="833" w:right="833"/>
              <w:jc w:val="center"/>
              <w:rPr>
                <w:sz w:val="20"/>
              </w:rPr>
            </w:pPr>
            <w:r>
              <w:rPr>
                <w:sz w:val="20"/>
              </w:rPr>
              <w:t>0.0316</w:t>
            </w:r>
          </w:p>
        </w:tc>
        <w:tc>
          <w:tcPr>
            <w:tcW w:w="2979" w:type="dxa"/>
            <w:tcBorders>
              <w:right w:val="nil"/>
            </w:tcBorders>
          </w:tcPr>
          <w:p>
            <w:pPr>
              <w:pStyle w:val="TableParagraph"/>
              <w:spacing w:line="210" w:lineRule="exact" w:before="0"/>
              <w:ind w:left="1191" w:right="1192"/>
              <w:jc w:val="center"/>
              <w:rPr>
                <w:sz w:val="20"/>
              </w:rPr>
            </w:pPr>
            <w:r>
              <w:rPr>
                <w:sz w:val="20"/>
              </w:rPr>
              <w:t>0.1014</w:t>
            </w:r>
          </w:p>
        </w:tc>
      </w:tr>
    </w:tbl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ind w:left="0"/>
        <w:jc w:val="left"/>
        <w:rPr>
          <w:sz w:val="26"/>
        </w:rPr>
      </w:pPr>
    </w:p>
    <w:p>
      <w:pPr>
        <w:pStyle w:val="BodyText"/>
        <w:spacing w:before="5"/>
        <w:ind w:left="0"/>
        <w:jc w:val="left"/>
        <w:rPr>
          <w:sz w:val="37"/>
        </w:rPr>
      </w:pPr>
    </w:p>
    <w:p>
      <w:pPr>
        <w:pStyle w:val="BodyText"/>
        <w:spacing w:line="550" w:lineRule="atLeast"/>
        <w:ind w:right="828"/>
      </w:pPr>
      <w:r>
        <w:rPr/>
        <w:pict>
          <v:shape style="position:absolute;margin-left:99.338997pt;margin-top:-30.175709pt;width:57.15pt;height:57.2pt;mso-position-horizontal-relative:page;mso-position-vertical-relative:paragraph;z-index:-49256960" coordorigin="1987,-604" coordsize="1143,1144" path="m2066,-604l2009,-564,1987,-519,1990,-509,3030,533,3049,540,3054,538,3061,537,3119,485,3127,465,3129,460,2085,-596,2071,-603,2066,-60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67.103996pt;margin-top:-243.980713pt;width:488.15pt;height:250.3pt;mso-position-horizontal-relative:page;mso-position-vertical-relative:paragraph;z-index:-49256448" coordorigin="1342,-4880" coordsize="9763,5006">
            <v:shape style="position:absolute;left:2261;top:-1903;width:2154;height:2029" coordorigin="2261,-1903" coordsize="2154,2029" path="m3691,-184l3689,-226,3682,-269,3670,-313,3654,-358,3632,-405,3605,-452,3574,-499,3538,-547,3496,-595,3450,-644,2792,-1302,2787,-1306,2777,-1309,2772,-1309,2766,-1308,2761,-1306,2747,-1299,2732,-1288,2715,-1270,2703,-1255,2696,-1241,2694,-1236,2693,-1230,2693,-1225,2696,-1215,2700,-1211,3359,-552,3393,-516,3424,-481,3450,-447,3474,-414,3493,-382,3509,-351,3521,-320,3531,-291,3536,-262,3538,-235,3537,-209,3532,-183,3524,-159,3512,-135,3497,-114,3478,-93,3458,-75,3437,-61,3414,-50,3389,-42,3364,-37,3337,-36,3309,-38,3280,-44,3250,-53,3219,-65,3187,-81,3154,-101,3120,-125,3085,-153,3049,-184,3012,-220,2360,-871,2356,-875,2346,-878,2341,-878,2336,-878,2330,-876,2316,-868,2301,-856,2284,-839,2272,-824,2265,-810,2263,-805,2261,-799,2262,-794,2265,-784,2269,-780,2938,-111,2987,-64,3035,-22,3083,14,3130,45,3176,71,3221,92,3265,108,3307,118,3348,125,3388,126,3427,122,3464,113,3500,101,3533,83,3565,61,3594,35,3623,2,3647,-32,3666,-67,3679,-105,3687,-144,3691,-184xm4415,-960l4408,-1014,4394,-1070,4374,-1127,4347,-1185,4315,-1245,4276,-1306,4257,-1332,4257,-982,4256,-944,4250,-907,4236,-871,4216,-838,4189,-807,4158,-780,4125,-759,4091,-745,4056,-738,4019,-736,3981,-739,3942,-748,3901,-763,3860,-782,3818,-805,3775,-833,3731,-866,3686,-902,3640,-941,3594,-984,3547,-1029,3505,-1072,3466,-1115,3430,-1159,3395,-1203,3363,-1247,3337,-1290,3315,-1332,3296,-1374,3282,-1415,3273,-1456,3269,-1495,3269,-1533,3275,-1570,3288,-1605,3308,-1638,3335,-1669,3366,-1696,3398,-1716,3432,-1730,3468,-1737,3505,-1739,3544,-1735,3583,-1727,3623,-1713,3665,-1694,3707,-1671,3750,-1644,3794,-1612,3838,-1577,3883,-1538,3928,-1497,3974,-1453,4016,-1409,4055,-1365,4093,-1321,4128,-1277,4159,-1233,4187,-1189,4210,-1147,4228,-1105,4243,-1063,4253,-1022,4257,-982,4257,-1332,4231,-1368,4180,-1431,4124,-1495,4061,-1560,3997,-1622,3934,-1678,3872,-1729,3859,-1739,3812,-1773,3753,-1811,3696,-1842,3641,-1867,3587,-1886,3535,-1898,3485,-1903,3436,-1901,3388,-1894,3343,-1880,3300,-1859,3259,-1831,3219,-1796,3183,-1755,3155,-1712,3133,-1666,3119,-1619,3113,-1568,3113,-1516,3119,-1462,3132,-1408,3152,-1351,3178,-1292,3210,-1233,3249,-1172,3293,-1110,3343,-1048,3399,-985,3459,-922,3525,-858,3589,-801,3651,-750,3712,-706,3771,-667,3829,-635,3884,-610,3938,-591,3990,-578,4040,-573,4089,-574,4137,-581,4183,-594,4227,-615,4268,-644,4308,-680,4344,-720,4355,-736,4373,-764,4394,-810,4407,-858,4414,-908,4415,-960xe" filled="true" fillcolor="#c0c0c0" stroked="false">
              <v:path arrowok="t"/>
              <v:fill opacity="32896f" type="solid"/>
            </v:shape>
            <v:shape style="position:absolute;left:4237;top:-1827;width:352;height:351" type="#_x0000_t75" stroked="false">
              <v:imagedata r:id="rId11" o:title=""/>
            </v:shape>
            <v:shape style="position:absolute;left:4030;top:-4880;width:3361;height:3376" coordorigin="4031,-4880" coordsize="3361,3376" path="m5174,-1585l5173,-1589,5170,-1599,5166,-1604,5162,-1608,4130,-2640,4125,-2644,4115,-2647,4110,-2648,4104,-2646,4099,-2644,4093,-2642,4085,-2637,4070,-2626,4053,-2608,4042,-2594,4034,-2580,4032,-2575,4031,-2568,4031,-2563,4034,-2553,4037,-2548,5074,-1511,5079,-1508,5088,-1504,5093,-1504,5099,-1506,5105,-1507,5119,-1515,5134,-1527,5151,-1544,5163,-1559,5170,-1573,5171,-1579,5174,-1585xm5450,-1866l5448,-1871,5446,-1876,5443,-1880,5053,-2270,5132,-2349,5161,-2381,5165,-2387,5186,-2415,5204,-2449,5218,-2485,5226,-2521,5230,-2556,5230,-2595,5226,-2633,5216,-2672,5203,-2712,5186,-2752,5164,-2792,5138,-2833,5109,-2873,5078,-2910,5078,-2601,5076,-2578,5072,-2556,5065,-2534,5053,-2513,5038,-2491,5019,-2470,4936,-2387,4506,-2817,4592,-2902,4604,-2913,4617,-2924,4631,-2935,4646,-2945,4663,-2953,4681,-2959,4700,-2964,4722,-2966,4745,-2965,4770,-2960,4797,-2952,4826,-2940,4856,-2923,4887,-2902,4919,-2876,4951,-2846,4974,-2821,4995,-2797,5013,-2772,5030,-2748,5045,-2722,5056,-2697,5065,-2673,5072,-2649,5076,-2625,5078,-2601,5078,-2910,5075,-2914,5037,-2954,5025,-2966,5006,-2983,4976,-3009,4945,-3033,4915,-3055,4885,-3072,4855,-3088,4825,-3100,4796,-3111,4767,-3119,4738,-3124,4709,-3126,4682,-3126,4655,-3123,4631,-3119,4609,-3112,4589,-3104,4571,-3095,4555,-3085,4540,-3076,4527,-3068,4516,-3058,4504,-3048,4493,-3038,4482,-3027,4333,-2878,4327,-2871,4323,-2862,4322,-2851,4322,-2839,4325,-2826,4332,-2812,4343,-2797,4358,-2781,5351,-1788,5355,-1784,5360,-1783,5365,-1781,5370,-1781,5375,-1783,5381,-1784,5395,-1791,5402,-1797,5410,-1803,5419,-1812,5428,-1821,5435,-1829,5440,-1836,5444,-1844,5447,-1849,5448,-1856,5450,-1861,5450,-1866xm6146,-2557l6146,-2562,6143,-2572,6139,-2577,5206,-3510,5404,-3708,5406,-3711,5406,-3716,5404,-3726,5399,-3739,5393,-3746,5371,-3772,5360,-3783,5349,-3794,5323,-3817,5315,-3822,5302,-3829,5296,-3830,5292,-3830,5286,-3830,5283,-3828,4795,-3341,4793,-3337,4794,-3332,4793,-3327,4795,-3322,4802,-3309,4807,-3301,4814,-3294,4821,-3284,4830,-3275,4852,-3253,4861,-3244,4870,-3238,4878,-3231,4886,-3226,4898,-3220,4903,-3218,4908,-3218,4913,-3218,4916,-3220,5114,-3418,6047,-2484,6052,-2481,6061,-2477,6066,-2477,6072,-2479,6078,-2480,6092,-2488,6107,-2500,6125,-2517,6136,-2532,6143,-2546,6144,-2552,6146,-2557xm6681,-3092l6681,-3097,6678,-3107,6674,-3112,5741,-4045,5939,-4243,5941,-4246,5941,-4251,5941,-4256,5940,-4261,5936,-4268,5934,-4274,5928,-4281,5906,-4307,5895,-4318,5884,-4329,5858,-4352,5850,-4357,5837,-4364,5831,-4365,5827,-4365,5821,-4365,5818,-4363,5330,-3876,5328,-3872,5329,-3867,5328,-3862,5330,-3857,5337,-3844,5342,-3836,5349,-3829,5357,-3819,5365,-3810,5387,-3788,5396,-3779,5405,-3773,5413,-3766,5421,-3761,5433,-3755,5438,-3753,5443,-3753,5448,-3753,5451,-3755,5649,-3953,6582,-3019,6587,-3016,6597,-3012,6601,-3012,6607,-3014,6613,-3015,6627,-3023,6634,-3028,6642,-3035,6660,-3052,6671,-3067,6678,-3081,6679,-3087,6681,-3092xm7391,-3937l7385,-3991,7371,-4047,7351,-4103,7324,-4162,7292,-4222,7253,-4283,7234,-4309,7234,-3959,7233,-3921,7227,-3884,7213,-3848,7193,-3815,7166,-3784,7135,-3757,7102,-3736,7068,-3722,7033,-3715,6996,-3713,6958,-3716,6919,-3725,6878,-3740,6837,-3758,6795,-3782,6752,-3810,6708,-3842,6663,-3879,6617,-3918,6571,-3960,6524,-4006,6482,-4049,6443,-4092,6406,-4136,6371,-4180,6340,-4223,6314,-4266,6291,-4309,6273,-4351,6259,-4392,6250,-4432,6245,-4472,6246,-4510,6252,-4547,6265,-4582,6285,-4614,6312,-4646,6343,-4672,6375,-4693,6409,-4707,6445,-4714,6482,-4716,6521,-4712,6560,-4704,6600,-4690,6641,-4671,6684,-4648,6727,-4621,6771,-4589,6815,-4553,6860,-4515,6905,-4474,6951,-4430,6993,-4386,7032,-4342,7069,-4298,7104,-4254,7136,-4210,7163,-4166,7186,-4124,7205,-4082,7220,-4040,7229,-3999,7234,-3959,7234,-4309,7208,-4345,7157,-4408,7100,-4472,7038,-4537,6974,-4599,6911,-4655,6849,-4706,6835,-4716,6789,-4750,6730,-4788,6673,-4819,6618,-4844,6564,-4863,6512,-4875,6461,-4880,6413,-4878,6365,-4871,6320,-4857,6277,-4836,6235,-4808,6196,-4773,6160,-4732,6131,-4689,6110,-4643,6096,-4595,6090,-4545,6090,-4493,6096,-4439,6109,-4384,6129,-4327,6155,-4269,6187,-4209,6226,-4149,6270,-4087,6320,-4025,6375,-3962,6436,-3899,6502,-3835,6566,-3778,6628,-3727,6689,-3683,6748,-3644,6806,-3612,6861,-3587,6915,-3568,6967,-3555,7017,-3550,7066,-3550,7114,-3558,7160,-3571,7204,-3592,7245,-3621,7285,-3656,7321,-3697,7331,-3713,7350,-3741,7371,-3787,7384,-3835,7391,-3885,7391,-3937xe" filled="true" fillcolor="#c0c0c0" stroked="false">
              <v:path arrowok="t"/>
              <v:fill opacity="32896f" type="solid"/>
            </v:shape>
            <v:shape style="position:absolute;left:1342;top:-2892;width:9763;height:252" coordorigin="1342,-2891" coordsize="9763,252" path="m11105,-2649l1342,-2649,1342,-2639,11105,-2639,11105,-2649xm11105,-2891l1356,-2891,1356,-2882,11105,-2882,11105,-2891xe" filled="true" fillcolor="#000000" stroked="false">
              <v:path arrowok="t"/>
              <v:fill type="solid"/>
            </v:shape>
            <v:shape style="position:absolute;left:5211;top:-4183;width:205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Non-Threshold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Variables</w:t>
                    </w:r>
                  </w:p>
                </w:txbxContent>
              </v:textbox>
              <w10:wrap type="none"/>
            </v:shape>
            <v:shape style="position:absolute;left:1464;top:-3113;width:7757;height:727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4034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Model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Parameters</w:t>
                    </w:r>
                  </w:p>
                  <w:p>
                    <w:pPr>
                      <w:tabs>
                        <w:tab w:pos="1310" w:val="left" w:leader="none"/>
                        <w:tab w:pos="2580" w:val="left" w:leader="none"/>
                        <w:tab w:pos="3542" w:val="left" w:leader="none"/>
                        <w:tab w:pos="5295" w:val="left" w:leader="none"/>
                      </w:tabs>
                      <w:spacing w:before="1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pacing w:val="47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=</w:t>
                    </w:r>
                    <w:r>
                      <w:rPr>
                        <w:spacing w:val="49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0.341</w:t>
                      <w:tab/>
                      <w:t>Adjusted R</w:t>
                    </w:r>
                    <w:r>
                      <w:rPr>
                        <w:sz w:val="20"/>
                        <w:vertAlign w:val="superscript"/>
                      </w:rPr>
                      <w:t>2</w:t>
                    </w:r>
                    <w:r>
                      <w:rPr>
                        <w:sz w:val="20"/>
                        <w:vertAlign w:val="baseline"/>
                      </w:rPr>
                      <w:tab/>
                      <w:t>=</w:t>
                    </w:r>
                    <w:r>
                      <w:rPr>
                        <w:spacing w:val="-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0.308</w:t>
                      <w:tab/>
                      <w:t>F-statistic=</w:t>
                    </w:r>
                    <w:r>
                      <w:rPr>
                        <w:spacing w:val="49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10.343</w:t>
                      <w:tab/>
                      <w:t>(0.000),</w:t>
                    </w:r>
                    <w:r>
                      <w:rPr>
                        <w:spacing w:val="46"/>
                        <w:sz w:val="20"/>
                        <w:vertAlign w:val="baseline"/>
                      </w:rPr>
                      <w:t> </w:t>
                    </w:r>
                    <w:r>
                      <w:rPr>
                        <w:sz w:val="20"/>
                        <w:vertAlign w:val="baseline"/>
                      </w:rPr>
                      <w:t>Durbin-Watson=1.67</w:t>
                    </w:r>
                  </w:p>
                  <w:p>
                    <w:pPr>
                      <w:spacing w:before="13"/>
                      <w:ind w:left="23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Source: </w:t>
                    </w:r>
                    <w:r>
                      <w:rPr>
                        <w:sz w:val="22"/>
                      </w:rPr>
                      <w:t>Researcher’s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compilation (2020)</w:t>
                    </w:r>
                    <w:r>
                      <w:rPr>
                        <w:spacing w:val="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*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sig</w:t>
                    </w:r>
                    <w:r>
                      <w:rPr>
                        <w:spacing w:val="5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@5%,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**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sig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@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10%</w:t>
                    </w:r>
                  </w:p>
                </w:txbxContent>
              </v:textbox>
              <w10:wrap type="none"/>
            </v:shape>
            <v:shape style="position:absolute;left:1702;top:-1925;width:9090;height:1923" type="#_x0000_t202" filled="false" stroked="false">
              <v:textbox inset="0,0,0,0">
                <w:txbxContent>
                  <w:p>
                    <w:pPr>
                      <w:spacing w:line="480" w:lineRule="auto" w:before="0"/>
                      <w:ind w:left="0" w:right="1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Table 4.7 shows the results for the threshold regression to provide deeper insight into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behaviour of corporate governance in relation to tax aggressiveness. The analysis of the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threshold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estimation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results,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reveals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when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BDIND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less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than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57%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total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board,</w:t>
                    </w:r>
                    <w:r>
                      <w:rPr>
                        <w:spacing w:val="-1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1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effect</w:t>
                    </w:r>
                  </w:p>
                  <w:p>
                    <w:pPr>
                      <w:spacing w:before="0"/>
                      <w:ind w:left="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tax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aggressiveness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tends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negative</w:t>
                    </w:r>
                    <w:r>
                      <w:rPr>
                        <w:spacing w:val="2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(-0.0196)</w:t>
                    </w:r>
                    <w:r>
                      <w:rPr>
                        <w:spacing w:val="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but</w:t>
                    </w:r>
                    <w:r>
                      <w:rPr>
                        <w:spacing w:val="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this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statistically</w:t>
                    </w:r>
                    <w:r>
                      <w:rPr>
                        <w:spacing w:val="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significant</w:t>
                    </w:r>
                    <w:r>
                      <w:rPr>
                        <w:spacing w:val="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5%</w:t>
      </w:r>
      <w:r>
        <w:rPr>
          <w:spacing w:val="-7"/>
        </w:rPr>
        <w:t> </w:t>
      </w:r>
      <w:r>
        <w:rPr/>
        <w:t>(0.8426).</w:t>
      </w:r>
      <w:r>
        <w:rPr>
          <w:spacing w:val="-5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when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BDIND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between</w:t>
      </w:r>
      <w:r>
        <w:rPr>
          <w:spacing w:val="-5"/>
        </w:rPr>
        <w:t> </w:t>
      </w:r>
      <w:r>
        <w:rPr/>
        <w:t>57%-71%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total</w:t>
      </w:r>
      <w:r>
        <w:rPr>
          <w:spacing w:val="-6"/>
        </w:rPr>
        <w:t> </w:t>
      </w:r>
      <w:r>
        <w:rPr/>
        <w:t>board,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tax</w:t>
      </w:r>
      <w:r>
        <w:rPr>
          <w:spacing w:val="-57"/>
        </w:rPr>
        <w:t> </w:t>
      </w:r>
      <w:r>
        <w:rPr/>
        <w:t>aggressiveness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(-0.2292)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now</w:t>
      </w:r>
      <w:r>
        <w:rPr>
          <w:spacing w:val="-5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</w:t>
      </w:r>
      <w:r>
        <w:rPr>
          <w:spacing w:val="-4"/>
        </w:rPr>
        <w:t> </w:t>
      </w:r>
      <w:r>
        <w:rPr/>
        <w:t>(p=0.007)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5%.</w:t>
      </w:r>
      <w:r>
        <w:rPr>
          <w:spacing w:val="-5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9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-6"/>
          <w:vertAlign w:val="baseline"/>
        </w:rPr>
        <w:t> </w:t>
      </w:r>
      <w:r>
        <w:rPr>
          <w:vertAlign w:val="baseline"/>
        </w:rPr>
        <w:t>threshold,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effect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board</w:t>
      </w:r>
      <w:r>
        <w:rPr>
          <w:spacing w:val="-8"/>
          <w:vertAlign w:val="baseline"/>
        </w:rPr>
        <w:t> </w:t>
      </w:r>
      <w:r>
        <w:rPr>
          <w:vertAlign w:val="baseline"/>
        </w:rPr>
        <w:t>independence</w:t>
      </w:r>
      <w:r>
        <w:rPr>
          <w:spacing w:val="-4"/>
          <w:vertAlign w:val="baseline"/>
        </w:rPr>
        <w:t> </w:t>
      </w:r>
      <w:r>
        <w:rPr>
          <w:vertAlign w:val="baseline"/>
        </w:rPr>
        <w:t>is</w:t>
      </w:r>
      <w:r>
        <w:rPr>
          <w:spacing w:val="-8"/>
          <w:vertAlign w:val="baseline"/>
        </w:rPr>
        <w:t> </w:t>
      </w:r>
      <w:r>
        <w:rPr>
          <w:vertAlign w:val="baseline"/>
        </w:rPr>
        <w:t>positive</w:t>
      </w:r>
      <w:r>
        <w:rPr>
          <w:spacing w:val="-9"/>
          <w:vertAlign w:val="baseline"/>
        </w:rPr>
        <w:t> </w:t>
      </w:r>
      <w:r>
        <w:rPr>
          <w:vertAlign w:val="baseline"/>
        </w:rPr>
        <w:t>(0.1397)</w:t>
      </w:r>
      <w:r>
        <w:rPr>
          <w:spacing w:val="-8"/>
          <w:vertAlign w:val="baseline"/>
        </w:rPr>
        <w:t> </w:t>
      </w:r>
      <w:r>
        <w:rPr>
          <w:vertAlign w:val="baseline"/>
        </w:rPr>
        <w:t>but</w:t>
      </w:r>
      <w:r>
        <w:rPr>
          <w:spacing w:val="-7"/>
          <w:vertAlign w:val="baseline"/>
        </w:rPr>
        <w:t> </w:t>
      </w:r>
      <w:r>
        <w:rPr>
          <w:vertAlign w:val="baseline"/>
        </w:rPr>
        <w:t>not</w:t>
      </w:r>
      <w:r>
        <w:rPr>
          <w:spacing w:val="-8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-7"/>
          <w:vertAlign w:val="baseline"/>
        </w:rPr>
        <w:t> </w:t>
      </w:r>
      <w:r>
        <w:rPr>
          <w:vertAlign w:val="baseline"/>
        </w:rPr>
        <w:t>at</w:t>
      </w:r>
      <w:r>
        <w:rPr>
          <w:spacing w:val="-7"/>
          <w:vertAlign w:val="baseline"/>
        </w:rPr>
        <w:t> </w:t>
      </w:r>
      <w:r>
        <w:rPr>
          <w:vertAlign w:val="baseline"/>
        </w:rPr>
        <w:t>5%</w:t>
      </w:r>
      <w:r>
        <w:rPr>
          <w:spacing w:val="-58"/>
          <w:vertAlign w:val="baseline"/>
        </w:rPr>
        <w:t> </w:t>
      </w:r>
      <w:r>
        <w:rPr>
          <w:vertAlign w:val="baseline"/>
        </w:rPr>
        <w:t>(0.1273). Though BDIND has been seen to significantly impact tax aggressiveness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panel regression results in such a way that increase in the number of independent directors 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board</w:t>
      </w:r>
      <w:r>
        <w:rPr>
          <w:spacing w:val="33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33"/>
          <w:vertAlign w:val="baseline"/>
        </w:rPr>
        <w:t> </w:t>
      </w:r>
      <w:r>
        <w:rPr>
          <w:vertAlign w:val="baseline"/>
        </w:rPr>
        <w:t>in</w:t>
      </w:r>
      <w:r>
        <w:rPr>
          <w:spacing w:val="35"/>
          <w:vertAlign w:val="baseline"/>
        </w:rPr>
        <w:t> </w:t>
      </w:r>
      <w:r>
        <w:rPr>
          <w:vertAlign w:val="baseline"/>
        </w:rPr>
        <w:t>a</w:t>
      </w:r>
      <w:r>
        <w:rPr>
          <w:spacing w:val="34"/>
          <w:vertAlign w:val="baseline"/>
        </w:rPr>
        <w:t> </w:t>
      </w:r>
      <w:r>
        <w:rPr>
          <w:vertAlign w:val="baseline"/>
        </w:rPr>
        <w:t>reduction</w:t>
      </w:r>
      <w:r>
        <w:rPr>
          <w:spacing w:val="32"/>
          <w:vertAlign w:val="baseline"/>
        </w:rPr>
        <w:t> </w:t>
      </w:r>
      <w:r>
        <w:rPr>
          <w:vertAlign w:val="baseline"/>
        </w:rPr>
        <w:t>in</w:t>
      </w:r>
      <w:r>
        <w:rPr>
          <w:spacing w:val="33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tax</w:t>
      </w:r>
      <w:r>
        <w:rPr>
          <w:spacing w:val="38"/>
          <w:vertAlign w:val="baseline"/>
        </w:rPr>
        <w:t> </w:t>
      </w:r>
      <w:r>
        <w:rPr>
          <w:vertAlign w:val="baseline"/>
        </w:rPr>
        <w:t>paid/</w:t>
      </w:r>
      <w:r>
        <w:rPr>
          <w:spacing w:val="36"/>
          <w:vertAlign w:val="baseline"/>
        </w:rPr>
        <w:t> </w:t>
      </w:r>
      <w:r>
        <w:rPr>
          <w:vertAlign w:val="baseline"/>
        </w:rPr>
        <w:t>pre-tax</w:t>
      </w:r>
      <w:r>
        <w:rPr>
          <w:spacing w:val="34"/>
          <w:vertAlign w:val="baseline"/>
        </w:rPr>
        <w:t> </w:t>
      </w:r>
      <w:r>
        <w:rPr>
          <w:vertAlign w:val="baseline"/>
        </w:rPr>
        <w:t>income</w:t>
      </w:r>
      <w:r>
        <w:rPr>
          <w:spacing w:val="34"/>
          <w:vertAlign w:val="baseline"/>
        </w:rPr>
        <w:t> </w:t>
      </w:r>
      <w:r>
        <w:rPr>
          <w:vertAlign w:val="baseline"/>
        </w:rPr>
        <w:t>ratio</w:t>
      </w:r>
      <w:r>
        <w:rPr>
          <w:spacing w:val="32"/>
          <w:vertAlign w:val="baseline"/>
        </w:rPr>
        <w:t> </w:t>
      </w:r>
      <w:r>
        <w:rPr>
          <w:vertAlign w:val="baseline"/>
        </w:rPr>
        <w:t>which</w:t>
      </w:r>
      <w:r>
        <w:rPr>
          <w:spacing w:val="32"/>
          <w:vertAlign w:val="baseline"/>
        </w:rPr>
        <w:t> </w:t>
      </w:r>
      <w:r>
        <w:rPr>
          <w:vertAlign w:val="baseline"/>
        </w:rPr>
        <w:t>the</w:t>
      </w:r>
      <w:r>
        <w:rPr>
          <w:spacing w:val="34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33"/>
          <w:vertAlign w:val="baseline"/>
        </w:rPr>
        <w:t> </w:t>
      </w:r>
      <w:r>
        <w:rPr>
          <w:vertAlign w:val="baseline"/>
        </w:rPr>
        <w:t>an</w:t>
      </w:r>
    </w:p>
    <w:p>
      <w:pPr>
        <w:spacing w:after="0" w:line="550" w:lineRule="atLeas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3"/>
      </w:pPr>
      <w:r>
        <w:rPr/>
        <w:t>increase in tax aggressive practices, this effect is dominant when the BDIND is between the</w:t>
      </w:r>
      <w:r>
        <w:rPr>
          <w:spacing w:val="1"/>
        </w:rPr>
        <w:t> </w:t>
      </w:r>
      <w:r>
        <w:rPr/>
        <w:t>ratio</w:t>
      </w:r>
      <w:r>
        <w:rPr>
          <w:spacing w:val="-1"/>
        </w:rPr>
        <w:t> </w:t>
      </w:r>
      <w:r>
        <w:rPr/>
        <w:t>of 0.57-0.71 of</w:t>
      </w:r>
      <w:r>
        <w:rPr>
          <w:spacing w:val="-1"/>
        </w:rPr>
        <w:t> </w:t>
      </w:r>
      <w:r>
        <w:rPr/>
        <w:t>total</w:t>
      </w:r>
      <w:r>
        <w:rPr>
          <w:spacing w:val="2"/>
        </w:rPr>
        <w:t> </w:t>
      </w:r>
      <w:r>
        <w:rPr/>
        <w:t>board.</w:t>
      </w:r>
    </w:p>
    <w:p>
      <w:pPr>
        <w:pStyle w:val="BodyText"/>
        <w:spacing w:line="480" w:lineRule="auto" w:before="202"/>
        <w:ind w:right="829"/>
      </w:pPr>
      <w:r>
        <w:rPr/>
        <w:drawing>
          <wp:anchor distT="0" distB="0" distL="0" distR="0" allowOverlap="1" layoutInCell="1" locked="0" behindDoc="1" simplePos="0" relativeHeight="454061056">
            <wp:simplePos x="0" y="0"/>
            <wp:positionH relativeFrom="page">
              <wp:posOffset>1261605</wp:posOffset>
            </wp:positionH>
            <wp:positionV relativeFrom="paragraph">
              <wp:posOffset>1077126</wp:posOffset>
            </wp:positionV>
            <wp:extent cx="5133225" cy="5265293"/>
            <wp:effectExtent l="0" t="0" r="0" b="0"/>
            <wp:wrapNone/>
            <wp:docPr id="22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10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threshold</w:t>
      </w:r>
      <w:r>
        <w:rPr>
          <w:spacing w:val="-8"/>
        </w:rPr>
        <w:t> </w:t>
      </w:r>
      <w:r>
        <w:rPr/>
        <w:t>estimation</w:t>
      </w:r>
      <w:r>
        <w:rPr>
          <w:spacing w:val="-7"/>
        </w:rPr>
        <w:t> </w:t>
      </w:r>
      <w:r>
        <w:rPr/>
        <w:t>results</w:t>
      </w:r>
      <w:r>
        <w:rPr>
          <w:spacing w:val="-8"/>
        </w:rPr>
        <w:t> </w:t>
      </w:r>
      <w:r>
        <w:rPr/>
        <w:t>for</w:t>
      </w:r>
      <w:r>
        <w:rPr>
          <w:spacing w:val="-10"/>
        </w:rPr>
        <w:t> </w:t>
      </w:r>
      <w:r>
        <w:rPr/>
        <w:t>BDOWN</w:t>
      </w:r>
      <w:r>
        <w:rPr>
          <w:spacing w:val="-8"/>
        </w:rPr>
        <w:t> </w:t>
      </w:r>
      <w:r>
        <w:rPr/>
        <w:t>reveals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when</w:t>
      </w:r>
      <w:r>
        <w:rPr>
          <w:spacing w:val="-8"/>
        </w:rPr>
        <w:t> </w:t>
      </w:r>
      <w:r>
        <w:rPr/>
        <w:t>BDOWN</w:t>
      </w:r>
      <w:r>
        <w:rPr>
          <w:spacing w:val="-9"/>
        </w:rPr>
        <w:t> </w:t>
      </w:r>
      <w:r>
        <w:rPr/>
        <w:t>is</w:t>
      </w:r>
      <w:r>
        <w:rPr>
          <w:spacing w:val="-8"/>
        </w:rPr>
        <w:t> </w:t>
      </w:r>
      <w:r>
        <w:rPr/>
        <w:t>less</w:t>
      </w:r>
      <w:r>
        <w:rPr>
          <w:spacing w:val="-57"/>
        </w:rPr>
        <w:t> </w:t>
      </w:r>
      <w:r>
        <w:rPr/>
        <w:t>than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equal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0%,</w:t>
      </w:r>
      <w:r>
        <w:rPr>
          <w:spacing w:val="-8"/>
        </w:rPr>
        <w:t> </w:t>
      </w:r>
      <w:r>
        <w:rPr/>
        <w:t>i.e.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situation</w:t>
      </w:r>
      <w:r>
        <w:rPr>
          <w:spacing w:val="-8"/>
        </w:rPr>
        <w:t> </w:t>
      </w:r>
      <w:r>
        <w:rPr/>
        <w:t>where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staff</w:t>
      </w:r>
      <w:r>
        <w:rPr>
          <w:spacing w:val="-8"/>
        </w:rPr>
        <w:t> </w:t>
      </w:r>
      <w:r>
        <w:rPr/>
        <w:t>holds</w:t>
      </w:r>
      <w:r>
        <w:rPr>
          <w:spacing w:val="-8"/>
        </w:rPr>
        <w:t> </w:t>
      </w:r>
      <w:r>
        <w:rPr/>
        <w:t>any</w:t>
      </w:r>
      <w:r>
        <w:rPr>
          <w:spacing w:val="-5"/>
        </w:rPr>
        <w:t> </w:t>
      </w:r>
      <w:r>
        <w:rPr/>
        <w:t>equity</w:t>
      </w:r>
      <w:r>
        <w:rPr>
          <w:spacing w:val="-8"/>
        </w:rPr>
        <w:t> </w:t>
      </w:r>
      <w:r>
        <w:rPr/>
        <w:t>ownership,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tax</w:t>
      </w:r>
      <w:r>
        <w:rPr>
          <w:spacing w:val="-12"/>
        </w:rPr>
        <w:t> </w:t>
      </w:r>
      <w:r>
        <w:rPr/>
        <w:t>aggressiveness</w:t>
      </w:r>
      <w:r>
        <w:rPr>
          <w:spacing w:val="-11"/>
        </w:rPr>
        <w:t> </w:t>
      </w:r>
      <w:r>
        <w:rPr/>
        <w:t>tends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negative</w:t>
      </w:r>
      <w:r>
        <w:rPr>
          <w:spacing w:val="-10"/>
        </w:rPr>
        <w:t> </w:t>
      </w:r>
      <w:r>
        <w:rPr/>
        <w:t>(-0.0441)</w:t>
      </w:r>
      <w:r>
        <w:rPr>
          <w:spacing w:val="-12"/>
        </w:rPr>
        <w:t> </w:t>
      </w:r>
      <w:r>
        <w:rPr/>
        <w:t>but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not</w:t>
      </w:r>
      <w:r>
        <w:rPr>
          <w:spacing w:val="-10"/>
        </w:rPr>
        <w:t> </w:t>
      </w:r>
      <w:r>
        <w:rPr/>
        <w:t>statistically</w:t>
      </w:r>
      <w:r>
        <w:rPr>
          <w:spacing w:val="-11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at 5% (0.5663). However, when BDOWN is between 1%-9%, the effect on tax aggressiveness</w:t>
      </w:r>
      <w:r>
        <w:rPr>
          <w:spacing w:val="-57"/>
        </w:rPr>
        <w:t> </w:t>
      </w:r>
      <w:r>
        <w:rPr/>
        <w:t>is positive (0.0661) though not also statistically significant (p=0.3223) at 5%. For the 3</w:t>
      </w:r>
      <w:r>
        <w:rPr>
          <w:vertAlign w:val="superscript"/>
        </w:rPr>
        <w:t>rd</w:t>
      </w:r>
      <w:r>
        <w:rPr>
          <w:spacing w:val="1"/>
          <w:vertAlign w:val="baseline"/>
        </w:rPr>
        <w:t> </w:t>
      </w:r>
      <w:r>
        <w:rPr>
          <w:vertAlign w:val="baseline"/>
        </w:rPr>
        <w:t>threshold (9%-47%) the effect of board ownership is negative (-0.0811) and not significant at</w:t>
      </w:r>
      <w:r>
        <w:rPr>
          <w:spacing w:val="1"/>
          <w:vertAlign w:val="baseline"/>
        </w:rPr>
        <w:t> </w:t>
      </w:r>
      <w:r>
        <w:rPr>
          <w:vertAlign w:val="baseline"/>
        </w:rPr>
        <w:t>5% (0.2975). The results thus suggest that though BDOWN in the panel fixed estimation,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-6"/>
          <w:vertAlign w:val="baseline"/>
        </w:rPr>
        <w:t> </w:t>
      </w:r>
      <w:r>
        <w:rPr>
          <w:vertAlign w:val="baseline"/>
        </w:rPr>
        <w:t>seen</w:t>
      </w:r>
      <w:r>
        <w:rPr>
          <w:spacing w:val="-6"/>
          <w:vertAlign w:val="baseline"/>
        </w:rPr>
        <w:t> </w:t>
      </w:r>
      <w:r>
        <w:rPr>
          <w:vertAlign w:val="baseline"/>
        </w:rPr>
        <w:t>to</w:t>
      </w:r>
      <w:r>
        <w:rPr>
          <w:spacing w:val="-5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4"/>
          <w:vertAlign w:val="baseline"/>
        </w:rPr>
        <w:t> </w:t>
      </w:r>
      <w:r>
        <w:rPr>
          <w:vertAlign w:val="baseline"/>
        </w:rPr>
        <w:t>impact</w:t>
      </w:r>
      <w:r>
        <w:rPr>
          <w:spacing w:val="-6"/>
          <w:vertAlign w:val="baseline"/>
        </w:rPr>
        <w:t> </w:t>
      </w:r>
      <w:r>
        <w:rPr>
          <w:vertAlign w:val="baseline"/>
        </w:rPr>
        <w:t>tax</w:t>
      </w:r>
      <w:r>
        <w:rPr>
          <w:spacing w:val="-6"/>
          <w:vertAlign w:val="baseline"/>
        </w:rPr>
        <w:t> </w:t>
      </w:r>
      <w:r>
        <w:rPr>
          <w:vertAlign w:val="baseline"/>
        </w:rPr>
        <w:t>aggressiveness</w:t>
      </w:r>
      <w:r>
        <w:rPr>
          <w:spacing w:val="-6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such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7"/>
          <w:vertAlign w:val="baseline"/>
        </w:rPr>
        <w:t> </w:t>
      </w:r>
      <w:r>
        <w:rPr>
          <w:vertAlign w:val="baseline"/>
        </w:rPr>
        <w:t>way</w:t>
      </w:r>
      <w:r>
        <w:rPr>
          <w:spacing w:val="-3"/>
          <w:vertAlign w:val="baseline"/>
        </w:rPr>
        <w:t> </w:t>
      </w:r>
      <w:r>
        <w:rPr>
          <w:vertAlign w:val="baseline"/>
        </w:rPr>
        <w:t>that</w:t>
      </w:r>
      <w:r>
        <w:rPr>
          <w:spacing w:val="-6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5"/>
          <w:vertAlign w:val="baseline"/>
        </w:rPr>
        <w:t> </w:t>
      </w:r>
      <w:r>
        <w:rPr>
          <w:vertAlign w:val="baseline"/>
        </w:rPr>
        <w:t>the</w:t>
      </w:r>
      <w:r>
        <w:rPr>
          <w:spacing w:val="-7"/>
          <w:vertAlign w:val="baseline"/>
        </w:rPr>
        <w:t> </w:t>
      </w:r>
      <w:r>
        <w:rPr>
          <w:vertAlign w:val="baseline"/>
        </w:rPr>
        <w:t>extent</w:t>
      </w:r>
      <w:r>
        <w:rPr>
          <w:spacing w:val="-6"/>
          <w:vertAlign w:val="baseline"/>
        </w:rPr>
        <w:t> </w:t>
      </w:r>
      <w:r>
        <w:rPr>
          <w:vertAlign w:val="baseline"/>
        </w:rPr>
        <w:t>of</w:t>
      </w:r>
      <w:r>
        <w:rPr>
          <w:spacing w:val="-57"/>
          <w:vertAlign w:val="baseline"/>
        </w:rPr>
        <w:t> </w:t>
      </w:r>
      <w:r>
        <w:rPr>
          <w:vertAlign w:val="baseline"/>
        </w:rPr>
        <w:t>board equity ownership results in a reduction in the tax paid/ pre-tax income ratio and this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 an increase in tax aggressive practices, there is no identified threshold restriction on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relationship.</w:t>
      </w:r>
    </w:p>
    <w:p>
      <w:pPr>
        <w:pStyle w:val="BodyText"/>
        <w:spacing w:line="480" w:lineRule="auto" w:before="201"/>
        <w:ind w:right="830"/>
      </w:pP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threshold</w:t>
      </w:r>
      <w:r>
        <w:rPr>
          <w:spacing w:val="-3"/>
        </w:rPr>
        <w:t> </w:t>
      </w:r>
      <w:r>
        <w:rPr/>
        <w:t>estimation</w:t>
      </w:r>
      <w:r>
        <w:rPr>
          <w:spacing w:val="-3"/>
        </w:rPr>
        <w:t> </w:t>
      </w:r>
      <w:r>
        <w:rPr/>
        <w:t>results,</w:t>
      </w:r>
      <w:r>
        <w:rPr>
          <w:spacing w:val="-4"/>
        </w:rPr>
        <w:t> </w:t>
      </w:r>
      <w:r>
        <w:rPr/>
        <w:t>reveals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BDS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seven</w:t>
      </w:r>
      <w:r>
        <w:rPr>
          <w:spacing w:val="-1"/>
        </w:rPr>
        <w:t> </w:t>
      </w:r>
      <w:r>
        <w:rPr/>
        <w:t>(&lt;7),</w:t>
      </w:r>
      <w:r>
        <w:rPr>
          <w:spacing w:val="-57"/>
        </w:rPr>
        <w:t> </w:t>
      </w:r>
      <w:r>
        <w:rPr/>
        <w:t>the effect on tax aggressiveness tends to be negative (-0.0131) but this is not statistically</w:t>
      </w:r>
      <w:r>
        <w:rPr>
          <w:spacing w:val="1"/>
        </w:rPr>
        <w:t> </w:t>
      </w:r>
      <w:r>
        <w:rPr/>
        <w:t>significant at 5% (0.0624), moving the threshold to between 7-11, the negative coefficient is</w:t>
      </w:r>
      <w:r>
        <w:rPr>
          <w:spacing w:val="1"/>
        </w:rPr>
        <w:t> </w:t>
      </w:r>
      <w:r>
        <w:rPr/>
        <w:t>still maintained (-0.0008) though not significant at 5% (0.870). Furthermore, at BDS between</w:t>
      </w:r>
      <w:r>
        <w:rPr>
          <w:spacing w:val="1"/>
        </w:rPr>
        <w:t> </w:t>
      </w:r>
      <w:r>
        <w:rPr/>
        <w:t>11-18, the negative coefficient holds (-0.0116) though not significant at 5% (0.0704).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BDS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significantly impact tax aggressiveness in such that increase in the board size results in a</w:t>
      </w:r>
      <w:r>
        <w:rPr>
          <w:spacing w:val="1"/>
        </w:rPr>
        <w:t> </w:t>
      </w:r>
      <w:r>
        <w:rPr/>
        <w:t>reduction in the tax paid/ pre-tax income ratio and this implies an increase in tax aggressive</w:t>
      </w:r>
      <w:r>
        <w:rPr>
          <w:spacing w:val="1"/>
        </w:rPr>
        <w:t> </w:t>
      </w:r>
      <w:r>
        <w:rPr/>
        <w:t>practices, there is no identified significant threshold restriction on this relationship. Therefore,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estimation</w:t>
      </w:r>
      <w:r>
        <w:rPr>
          <w:spacing w:val="-6"/>
        </w:rPr>
        <w:t> </w:t>
      </w:r>
      <w:r>
        <w:rPr/>
        <w:t>did</w:t>
      </w:r>
      <w:r>
        <w:rPr>
          <w:spacing w:val="-5"/>
        </w:rPr>
        <w:t> </w:t>
      </w:r>
      <w:r>
        <w:rPr/>
        <w:t>not</w:t>
      </w:r>
      <w:r>
        <w:rPr>
          <w:spacing w:val="-8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optimal</w:t>
      </w:r>
      <w:r>
        <w:rPr>
          <w:spacing w:val="-6"/>
        </w:rPr>
        <w:t> </w:t>
      </w:r>
      <w:r>
        <w:rPr/>
        <w:t>board</w:t>
      </w:r>
      <w:r>
        <w:rPr>
          <w:spacing w:val="-6"/>
        </w:rPr>
        <w:t> </w:t>
      </w:r>
      <w:r>
        <w:rPr/>
        <w:t>size</w:t>
      </w:r>
      <w:r>
        <w:rPr>
          <w:spacing w:val="-7"/>
        </w:rPr>
        <w:t> </w:t>
      </w:r>
      <w:r>
        <w:rPr/>
        <w:t>threshold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may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may</w:t>
      </w:r>
      <w:r>
        <w:rPr>
          <w:spacing w:val="-6"/>
        </w:rPr>
        <w:t> </w:t>
      </w:r>
      <w:r>
        <w:rPr/>
        <w:t>not</w:t>
      </w:r>
      <w:r>
        <w:rPr>
          <w:spacing w:val="-58"/>
        </w:rPr>
        <w:t> </w:t>
      </w:r>
      <w:r>
        <w:rPr/>
        <w:t>stimulate</w:t>
      </w:r>
      <w:r>
        <w:rPr>
          <w:spacing w:val="-1"/>
        </w:rPr>
        <w:t> </w:t>
      </w:r>
      <w:r>
        <w:rPr/>
        <w:t>tax aggressive</w:t>
      </w:r>
      <w:r>
        <w:rPr>
          <w:spacing w:val="1"/>
        </w:rPr>
        <w:t> </w:t>
      </w:r>
      <w:r>
        <w:rPr/>
        <w:t>activity.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jc w:val="left"/>
      </w:pPr>
      <w:r>
        <w:rPr/>
        <w:t>The</w:t>
      </w:r>
      <w:r>
        <w:rPr>
          <w:spacing w:val="4"/>
        </w:rPr>
        <w:t> </w:t>
      </w:r>
      <w:r>
        <w:rPr/>
        <w:t>analysis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threshold</w:t>
      </w:r>
      <w:r>
        <w:rPr>
          <w:spacing w:val="6"/>
        </w:rPr>
        <w:t> </w:t>
      </w:r>
      <w:r>
        <w:rPr/>
        <w:t>estimation</w:t>
      </w:r>
      <w:r>
        <w:rPr>
          <w:spacing w:val="7"/>
        </w:rPr>
        <w:t> </w:t>
      </w:r>
      <w:r>
        <w:rPr/>
        <w:t>results,</w:t>
      </w:r>
      <w:r>
        <w:rPr>
          <w:spacing w:val="6"/>
        </w:rPr>
        <w:t> </w:t>
      </w:r>
      <w:r>
        <w:rPr/>
        <w:t>reveals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when</w:t>
      </w:r>
      <w:r>
        <w:rPr>
          <w:spacing w:val="6"/>
        </w:rPr>
        <w:t> </w:t>
      </w:r>
      <w:r>
        <w:rPr/>
        <w:t>BGD</w:t>
      </w:r>
      <w:r>
        <w:rPr>
          <w:spacing w:val="7"/>
        </w:rPr>
        <w:t> </w:t>
      </w:r>
      <w:r>
        <w:rPr/>
        <w:t>ratio</w:t>
      </w:r>
      <w:r>
        <w:rPr>
          <w:spacing w:val="6"/>
        </w:rPr>
        <w:t> </w:t>
      </w:r>
      <w:r>
        <w:rPr/>
        <w:t>is</w:t>
      </w:r>
      <w:r>
        <w:rPr>
          <w:spacing w:val="14"/>
        </w:rPr>
        <w:t> </w:t>
      </w:r>
      <w:r>
        <w:rPr>
          <w:sz w:val="20"/>
          <w:u w:val="single"/>
        </w:rPr>
        <w:t>&lt;</w:t>
      </w:r>
      <w:r>
        <w:rPr>
          <w:spacing w:val="7"/>
          <w:sz w:val="20"/>
        </w:rPr>
        <w:t> </w:t>
      </w:r>
      <w:r>
        <w:rPr>
          <w:sz w:val="20"/>
        </w:rPr>
        <w:t>0</w:t>
      </w:r>
      <w:r>
        <w:rPr/>
        <w:t>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effect</w:t>
      </w:r>
    </w:p>
    <w:p>
      <w:pPr>
        <w:pStyle w:val="BodyText"/>
        <w:spacing w:before="3"/>
        <w:ind w:left="0"/>
        <w:jc w:val="left"/>
        <w:rPr>
          <w:sz w:val="16"/>
        </w:rPr>
      </w:pPr>
    </w:p>
    <w:p>
      <w:pPr>
        <w:pStyle w:val="BodyText"/>
        <w:spacing w:line="480" w:lineRule="auto" w:before="90"/>
        <w:ind w:right="830"/>
      </w:pPr>
      <w:r>
        <w:rPr/>
        <w:t>on tax aggressiveness tends to be positive (0.1871) but not statistically significant at 5%</w:t>
      </w:r>
      <w:r>
        <w:rPr>
          <w:spacing w:val="1"/>
        </w:rPr>
        <w:t> </w:t>
      </w:r>
      <w:r>
        <w:rPr/>
        <w:t>(0.1447). At a threshold ratio of between 0.1 and 0.11, a negative coefficient is observed (-</w:t>
      </w:r>
      <w:r>
        <w:rPr>
          <w:spacing w:val="1"/>
        </w:rPr>
        <w:t> </w:t>
      </w:r>
      <w:r>
        <w:rPr/>
        <w:t>0.1971)</w:t>
      </w:r>
      <w:r>
        <w:rPr>
          <w:spacing w:val="-3"/>
        </w:rPr>
        <w:t> </w:t>
      </w:r>
      <w:r>
        <w:rPr/>
        <w:t>though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5%</w:t>
      </w:r>
      <w:r>
        <w:rPr>
          <w:spacing w:val="-3"/>
        </w:rPr>
        <w:t> </w:t>
      </w:r>
      <w:r>
        <w:rPr/>
        <w:t>(0.1266).</w:t>
      </w:r>
      <w:r>
        <w:rPr>
          <w:spacing w:val="-1"/>
        </w:rPr>
        <w:t> </w:t>
      </w:r>
      <w:r>
        <w:rPr/>
        <w:t>Furthermore,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BGD</w:t>
      </w:r>
      <w:r>
        <w:rPr>
          <w:spacing w:val="-3"/>
        </w:rPr>
        <w:t> </w:t>
      </w:r>
      <w:r>
        <w:rPr/>
        <w:t>ratio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between</w:t>
      </w:r>
      <w:r>
        <w:rPr>
          <w:spacing w:val="-1"/>
        </w:rPr>
        <w:t> </w:t>
      </w:r>
      <w:r>
        <w:rPr/>
        <w:t>0.11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spacing w:line="480" w:lineRule="auto"/>
        <w:ind w:right="833"/>
      </w:pPr>
      <w:r>
        <w:rPr/>
        <w:drawing>
          <wp:anchor distT="0" distB="0" distL="0" distR="0" allowOverlap="1" layoutInCell="1" locked="0" behindDoc="1" simplePos="0" relativeHeight="454061568">
            <wp:simplePos x="0" y="0"/>
            <wp:positionH relativeFrom="page">
              <wp:posOffset>1261605</wp:posOffset>
            </wp:positionH>
            <wp:positionV relativeFrom="paragraph">
              <wp:posOffset>375832</wp:posOffset>
            </wp:positionV>
            <wp:extent cx="5133225" cy="5265293"/>
            <wp:effectExtent l="0" t="0" r="0" b="0"/>
            <wp:wrapNone/>
            <wp:docPr id="22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0.22 depicts a positive coefficient (0.0961) though not significant at 5% (0.6650). The results</w:t>
      </w:r>
      <w:r>
        <w:rPr>
          <w:spacing w:val="1"/>
        </w:rPr>
        <w:t> </w:t>
      </w:r>
      <w:r>
        <w:rPr/>
        <w:t>tends to also corroborate the fixed effects estimation output as BGD exhibited a positive</w:t>
      </w:r>
      <w:r>
        <w:rPr>
          <w:spacing w:val="1"/>
        </w:rPr>
        <w:t> </w:t>
      </w:r>
      <w:r>
        <w:rPr/>
        <w:t>coefficient (0.0600) though not significant (p=0.0916) at 5%. The results suggest that an</w:t>
      </w:r>
      <w:r>
        <w:rPr>
          <w:spacing w:val="1"/>
        </w:rPr>
        <w:t> </w:t>
      </w:r>
      <w:r>
        <w:rPr/>
        <w:t>increase in the board gender diversity of board’s results and from the threshold results there is</w:t>
      </w:r>
      <w:r>
        <w:rPr>
          <w:spacing w:val="-57"/>
        </w:rPr>
        <w:t> </w:t>
      </w:r>
      <w:r>
        <w:rPr/>
        <w:t>no</w:t>
      </w:r>
      <w:r>
        <w:rPr>
          <w:spacing w:val="-1"/>
        </w:rPr>
        <w:t> </w:t>
      </w:r>
      <w:r>
        <w:rPr/>
        <w:t>identified significant threshold restriction on this relationship.</w:t>
      </w:r>
    </w:p>
    <w:p>
      <w:pPr>
        <w:pStyle w:val="BodyText"/>
        <w:spacing w:line="480" w:lineRule="auto" w:before="202"/>
        <w:ind w:right="830"/>
      </w:pPr>
      <w:r>
        <w:rPr/>
        <w:t>For CEO age, the threshold estimation results, reveals that when CEO age is less than 45, the</w:t>
      </w:r>
      <w:r>
        <w:rPr>
          <w:spacing w:val="1"/>
        </w:rPr>
        <w:t> </w:t>
      </w:r>
      <w:r>
        <w:rPr/>
        <w:t>effect on tax aggressiveness tends to be positive (0.3948) but this is not statistically significant</w:t>
      </w:r>
      <w:r>
        <w:rPr>
          <w:spacing w:val="-57"/>
        </w:rPr>
        <w:t> </w:t>
      </w:r>
      <w:r>
        <w:rPr/>
        <w:t>at 5% (0.3948). Moving the threshold to between 45 and 51, the positive coefficient is still</w:t>
      </w:r>
      <w:r>
        <w:rPr>
          <w:spacing w:val="1"/>
        </w:rPr>
        <w:t> </w:t>
      </w:r>
      <w:r>
        <w:rPr/>
        <w:t>maintained (0.0004) though not significant at 5% (0.3889) but when the threshold is at 51-</w:t>
      </w:r>
      <w:r>
        <w:rPr>
          <w:spacing w:val="1"/>
        </w:rPr>
        <w:t> </w:t>
      </w:r>
      <w:r>
        <w:rPr/>
        <w:t>60yrs, the results is also positive (0.0018) and significant at 5% (0.0077). The finding suggest</w:t>
      </w:r>
      <w:r>
        <w:rPr>
          <w:spacing w:val="1"/>
        </w:rPr>
        <w:t> </w:t>
      </w:r>
      <w:r>
        <w:rPr/>
        <w:t>that older CEO’s between the ages of 51 and 60 tend to have a significant effect on increasing</w:t>
      </w:r>
      <w:r>
        <w:rPr>
          <w:spacing w:val="1"/>
        </w:rPr>
        <w:t> </w:t>
      </w:r>
      <w:r>
        <w:rPr>
          <w:spacing w:val="-1"/>
        </w:rPr>
        <w:t>tax</w:t>
      </w:r>
      <w:r>
        <w:rPr>
          <w:spacing w:val="-15"/>
        </w:rPr>
        <w:t> </w:t>
      </w:r>
      <w:r>
        <w:rPr>
          <w:spacing w:val="-1"/>
        </w:rPr>
        <w:t>paid/</w:t>
      </w:r>
      <w:r>
        <w:rPr>
          <w:spacing w:val="-14"/>
        </w:rPr>
        <w:t> </w:t>
      </w:r>
      <w:r>
        <w:rPr>
          <w:spacing w:val="-1"/>
        </w:rPr>
        <w:t>pre-tax</w:t>
      </w:r>
      <w:r>
        <w:rPr>
          <w:spacing w:val="-13"/>
        </w:rPr>
        <w:t> </w:t>
      </w:r>
      <w:r>
        <w:rPr>
          <w:spacing w:val="-1"/>
        </w:rPr>
        <w:t>income</w:t>
      </w:r>
      <w:r>
        <w:rPr>
          <w:spacing w:val="-15"/>
        </w:rPr>
        <w:t> </w:t>
      </w:r>
      <w:r>
        <w:rPr/>
        <w:t>ratio</w:t>
      </w:r>
      <w:r>
        <w:rPr>
          <w:spacing w:val="-15"/>
        </w:rPr>
        <w:t> </w:t>
      </w:r>
      <w:r>
        <w:rPr/>
        <w:t>which</w:t>
      </w:r>
      <w:r>
        <w:rPr>
          <w:spacing w:val="-15"/>
        </w:rPr>
        <w:t> </w:t>
      </w:r>
      <w:r>
        <w:rPr/>
        <w:t>implies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CEO’s</w:t>
      </w:r>
      <w:r>
        <w:rPr>
          <w:spacing w:val="-15"/>
        </w:rPr>
        <w:t> </w:t>
      </w:r>
      <w:r>
        <w:rPr/>
        <w:t>within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age</w:t>
      </w:r>
      <w:r>
        <w:rPr>
          <w:spacing w:val="-13"/>
        </w:rPr>
        <w:t> </w:t>
      </w:r>
      <w:r>
        <w:rPr/>
        <w:t>range</w:t>
      </w:r>
      <w:r>
        <w:rPr>
          <w:spacing w:val="-15"/>
        </w:rPr>
        <w:t> </w:t>
      </w:r>
      <w:r>
        <w:rPr/>
        <w:t>tend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discourage</w:t>
      </w:r>
      <w:r>
        <w:rPr>
          <w:spacing w:val="-57"/>
        </w:rPr>
        <w:t> </w:t>
      </w:r>
      <w:r>
        <w:rPr/>
        <w:t>tax aggressive activity. Thus though CEO-Age as seen from the fixed estimation output has a</w:t>
      </w:r>
      <w:r>
        <w:rPr>
          <w:spacing w:val="1"/>
        </w:rPr>
        <w:t> </w:t>
      </w:r>
      <w:r>
        <w:rPr/>
        <w:t>positive coefficient (0.0010) and significant (p=0.0199) at 5% and hence suggest that the</w:t>
      </w:r>
      <w:r>
        <w:rPr>
          <w:spacing w:val="1"/>
        </w:rPr>
        <w:t> </w:t>
      </w:r>
      <w:r>
        <w:rPr/>
        <w:t>presence of older CEO’s tends to result in less tax aggressiveness activity, there is a threshold</w:t>
      </w:r>
      <w:r>
        <w:rPr>
          <w:spacing w:val="1"/>
        </w:rPr>
        <w:t> </w:t>
      </w:r>
      <w:r>
        <w:rPr/>
        <w:t>restriction</w:t>
      </w:r>
      <w:r>
        <w:rPr>
          <w:spacing w:val="-1"/>
        </w:rPr>
        <w:t> </w:t>
      </w:r>
      <w:r>
        <w:rPr/>
        <w:t>on this relationship.</w:t>
      </w:r>
    </w:p>
    <w:p>
      <w:pPr>
        <w:pStyle w:val="BodyText"/>
        <w:spacing w:before="201"/>
      </w:pPr>
      <w:r>
        <w:rPr/>
        <w:t>For</w:t>
      </w:r>
      <w:r>
        <w:rPr>
          <w:spacing w:val="-7"/>
        </w:rPr>
        <w:t> </w:t>
      </w:r>
      <w:r>
        <w:rPr/>
        <w:t>CEO-Own,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threshold</w:t>
      </w:r>
      <w:r>
        <w:rPr>
          <w:spacing w:val="-6"/>
        </w:rPr>
        <w:t> </w:t>
      </w:r>
      <w:r>
        <w:rPr/>
        <w:t>estimation</w:t>
      </w:r>
      <w:r>
        <w:rPr>
          <w:spacing w:val="-5"/>
        </w:rPr>
        <w:t> </w:t>
      </w:r>
      <w:r>
        <w:rPr/>
        <w:t>results,</w:t>
      </w:r>
      <w:r>
        <w:rPr>
          <w:spacing w:val="-6"/>
        </w:rPr>
        <w:t> </w:t>
      </w:r>
      <w:r>
        <w:rPr/>
        <w:t>reveals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when</w:t>
      </w:r>
      <w:r>
        <w:rPr>
          <w:spacing w:val="-6"/>
        </w:rPr>
        <w:t> </w:t>
      </w:r>
      <w:r>
        <w:rPr/>
        <w:t>CEO-Own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>
          <w:sz w:val="20"/>
          <w:u w:val="single"/>
        </w:rPr>
        <w:t>&lt;</w:t>
      </w:r>
      <w:r>
        <w:rPr>
          <w:spacing w:val="91"/>
          <w:sz w:val="20"/>
        </w:rPr>
        <w:t> </w:t>
      </w:r>
      <w:r>
        <w:rPr>
          <w:sz w:val="20"/>
        </w:rPr>
        <w:t>0</w:t>
      </w:r>
      <w:r>
        <w:rPr/>
        <w:t>,</w:t>
      </w:r>
      <w:r>
        <w:rPr>
          <w:spacing w:val="49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</w:p>
    <w:p>
      <w:pPr>
        <w:pStyle w:val="BodyText"/>
        <w:spacing w:before="2"/>
        <w:ind w:left="0"/>
        <w:jc w:val="left"/>
        <w:rPr>
          <w:sz w:val="16"/>
        </w:rPr>
      </w:pPr>
    </w:p>
    <w:p>
      <w:pPr>
        <w:pStyle w:val="BodyText"/>
        <w:spacing w:line="480" w:lineRule="auto" w:before="90"/>
        <w:ind w:right="830"/>
      </w:pPr>
      <w:r>
        <w:rPr/>
        <w:t>on tax aggressiveness tends to be negative (-0.0012) but this is not statistically significant at</w:t>
      </w:r>
      <w:r>
        <w:rPr>
          <w:spacing w:val="1"/>
        </w:rPr>
        <w:t> </w:t>
      </w:r>
      <w:r>
        <w:rPr/>
        <w:t>5%</w:t>
      </w:r>
      <w:r>
        <w:rPr>
          <w:spacing w:val="-9"/>
        </w:rPr>
        <w:t> </w:t>
      </w:r>
      <w:r>
        <w:rPr/>
        <w:t>(0.4851),</w:t>
      </w:r>
      <w:r>
        <w:rPr>
          <w:spacing w:val="-9"/>
        </w:rPr>
        <w:t> </w:t>
      </w:r>
      <w:r>
        <w:rPr/>
        <w:t>moving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threshold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between</w:t>
      </w:r>
      <w:r>
        <w:rPr>
          <w:spacing w:val="-9"/>
        </w:rPr>
        <w:t> </w:t>
      </w:r>
      <w:r>
        <w:rPr/>
        <w:t>0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5%,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coefficient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now</w:t>
      </w:r>
      <w:r>
        <w:rPr>
          <w:spacing w:val="-8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(0.0014)</w:t>
      </w:r>
      <w:r>
        <w:rPr>
          <w:spacing w:val="-6"/>
        </w:rPr>
        <w:t> </w:t>
      </w:r>
      <w:r>
        <w:rPr/>
        <w:t>though</w:t>
      </w:r>
      <w:r>
        <w:rPr>
          <w:spacing w:val="-3"/>
        </w:rPr>
        <w:t> </w:t>
      </w:r>
      <w:r>
        <w:rPr/>
        <w:t>not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at</w:t>
      </w:r>
      <w:r>
        <w:rPr>
          <w:spacing w:val="-4"/>
        </w:rPr>
        <w:t> </w:t>
      </w:r>
      <w:r>
        <w:rPr/>
        <w:t>5%</w:t>
      </w:r>
      <w:r>
        <w:rPr>
          <w:spacing w:val="-5"/>
        </w:rPr>
        <w:t> </w:t>
      </w:r>
      <w:r>
        <w:rPr/>
        <w:t>(0.2129)</w:t>
      </w:r>
      <w:r>
        <w:rPr>
          <w:spacing w:val="-5"/>
        </w:rPr>
        <w:t> </w:t>
      </w:r>
      <w:r>
        <w:rPr/>
        <w:t>but</w:t>
      </w:r>
      <w:r>
        <w:rPr>
          <w:spacing w:val="-7"/>
        </w:rPr>
        <w:t> </w:t>
      </w:r>
      <w:r>
        <w:rPr/>
        <w:t>when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threshold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5%-24%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6208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2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coefficient is positive (0.0046) and significant at 5% (0.0011). The finding suggest that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CEO’s</w:t>
      </w:r>
      <w:r>
        <w:rPr>
          <w:spacing w:val="-12"/>
        </w:rPr>
        <w:t> </w:t>
      </w:r>
      <w:r>
        <w:rPr/>
        <w:t>equity</w:t>
      </w:r>
      <w:r>
        <w:rPr>
          <w:spacing w:val="-11"/>
        </w:rPr>
        <w:t> </w:t>
      </w:r>
      <w:r>
        <w:rPr/>
        <w:t>ownership</w:t>
      </w:r>
      <w:r>
        <w:rPr>
          <w:spacing w:val="-8"/>
        </w:rPr>
        <w:t> </w:t>
      </w:r>
      <w:r>
        <w:rPr/>
        <w:t>tend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effect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increasing</w:t>
      </w:r>
      <w:r>
        <w:rPr>
          <w:spacing w:val="-10"/>
        </w:rPr>
        <w:t> </w:t>
      </w:r>
      <w:r>
        <w:rPr/>
        <w:t>tax</w:t>
      </w:r>
      <w:r>
        <w:rPr>
          <w:spacing w:val="-8"/>
        </w:rPr>
        <w:t> </w:t>
      </w:r>
      <w:r>
        <w:rPr/>
        <w:t>paid/</w:t>
      </w:r>
      <w:r>
        <w:rPr>
          <w:spacing w:val="-10"/>
        </w:rPr>
        <w:t> </w:t>
      </w:r>
      <w:r>
        <w:rPr/>
        <w:t>pre-tax</w:t>
      </w:r>
      <w:r>
        <w:rPr>
          <w:spacing w:val="-8"/>
        </w:rPr>
        <w:t> </w:t>
      </w:r>
      <w:r>
        <w:rPr/>
        <w:t>income</w:t>
      </w:r>
      <w:r>
        <w:rPr>
          <w:spacing w:val="-58"/>
        </w:rPr>
        <w:t> </w:t>
      </w:r>
      <w:r>
        <w:rPr/>
        <w:t>ratio which implies that CEO’s that have equity ownership within that range of 5-24% tend to</w:t>
      </w:r>
      <w:r>
        <w:rPr>
          <w:spacing w:val="1"/>
        </w:rPr>
        <w:t> </w:t>
      </w:r>
      <w:r>
        <w:rPr/>
        <w:t>discourage tax aggressive activity. Furthermore, the result shows that though CEO-OWN as</w:t>
      </w:r>
      <w:r>
        <w:rPr>
          <w:spacing w:val="1"/>
        </w:rPr>
        <w:t> </w:t>
      </w:r>
      <w:r>
        <w:rPr/>
        <w:t>seen from the fixed estimation output has a negative coefficient (-0.0012) and significant</w:t>
      </w:r>
      <w:r>
        <w:rPr>
          <w:spacing w:val="1"/>
        </w:rPr>
        <w:t> </w:t>
      </w:r>
      <w:r>
        <w:rPr/>
        <w:t>(p=0.402) at 5% and hence suggest that an increase in CEO equity ownership results in a</w:t>
      </w:r>
      <w:r>
        <w:rPr>
          <w:spacing w:val="1"/>
        </w:rPr>
        <w:t> </w:t>
      </w:r>
      <w:r>
        <w:rPr>
          <w:spacing w:val="-1"/>
        </w:rPr>
        <w:t>reduction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tax</w:t>
      </w:r>
      <w:r>
        <w:rPr>
          <w:spacing w:val="-13"/>
        </w:rPr>
        <w:t> </w:t>
      </w:r>
      <w:r>
        <w:rPr>
          <w:spacing w:val="-1"/>
        </w:rPr>
        <w:t>paid/</w:t>
      </w:r>
      <w:r>
        <w:rPr>
          <w:spacing w:val="-13"/>
        </w:rPr>
        <w:t> </w:t>
      </w:r>
      <w:r>
        <w:rPr/>
        <w:t>pre-tax</w:t>
      </w:r>
      <w:r>
        <w:rPr>
          <w:spacing w:val="-13"/>
        </w:rPr>
        <w:t> </w:t>
      </w:r>
      <w:r>
        <w:rPr/>
        <w:t>income</w:t>
      </w:r>
      <w:r>
        <w:rPr>
          <w:spacing w:val="-13"/>
        </w:rPr>
        <w:t> </w:t>
      </w:r>
      <w:r>
        <w:rPr/>
        <w:t>ratio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this</w:t>
      </w:r>
      <w:r>
        <w:rPr>
          <w:spacing w:val="-12"/>
        </w:rPr>
        <w:t> </w:t>
      </w:r>
      <w:r>
        <w:rPr/>
        <w:t>implies</w:t>
      </w:r>
      <w:r>
        <w:rPr>
          <w:spacing w:val="-15"/>
        </w:rPr>
        <w:t> </w:t>
      </w:r>
      <w:r>
        <w:rPr/>
        <w:t>an</w:t>
      </w:r>
      <w:r>
        <w:rPr>
          <w:spacing w:val="-11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tax</w:t>
      </w:r>
      <w:r>
        <w:rPr>
          <w:spacing w:val="-13"/>
        </w:rPr>
        <w:t> </w:t>
      </w:r>
      <w:r>
        <w:rPr/>
        <w:t>aggressiveness,</w:t>
      </w:r>
      <w:r>
        <w:rPr>
          <w:spacing w:val="-57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a threshold restriction on this relationship.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ind w:left="2165" w:right="2175"/>
        <w:jc w:val="center"/>
      </w:pPr>
      <w:bookmarkStart w:name="_bookmark88" w:id="141"/>
      <w:bookmarkEnd w:id="141"/>
      <w:r>
        <w:rPr>
          <w:b w:val="0"/>
        </w:rPr>
      </w: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spacing w:before="1"/>
        <w:ind w:left="2170" w:right="2175" w:firstLine="0"/>
        <w:jc w:val="center"/>
        <w:rPr>
          <w:b/>
          <w:sz w:val="24"/>
        </w:rPr>
      </w:pPr>
      <w:bookmarkStart w:name="_bookmark89" w:id="142"/>
      <w:bookmarkEnd w:id="142"/>
      <w:r>
        <w:rPr/>
      </w:r>
      <w:r>
        <w:rPr>
          <w:b/>
          <w:sz w:val="24"/>
        </w:rPr>
        <w:t>DISCUSSION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HYPOTHESES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Heading1"/>
        <w:numPr>
          <w:ilvl w:val="1"/>
          <w:numId w:val="31"/>
        </w:numPr>
        <w:tabs>
          <w:tab w:pos="1242" w:val="left" w:leader="none"/>
        </w:tabs>
        <w:spacing w:line="240" w:lineRule="auto" w:before="1" w:after="0"/>
        <w:ind w:left="1242" w:right="0" w:hanging="420"/>
        <w:jc w:val="left"/>
      </w:pPr>
      <w:bookmarkStart w:name="_bookmark90" w:id="143"/>
      <w:bookmarkEnd w:id="143"/>
      <w:r>
        <w:rPr>
          <w:b w:val="0"/>
        </w:rPr>
      </w:r>
      <w:bookmarkStart w:name="_bookmark90" w:id="144"/>
      <w:bookmarkEnd w:id="144"/>
      <w:r>
        <w:rPr/>
        <w:t>In</w:t>
      </w:r>
      <w:r>
        <w:rPr/>
        <w:t>troduction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1"/>
      </w:pPr>
      <w:r>
        <w:rPr/>
        <w:drawing>
          <wp:anchor distT="0" distB="0" distL="0" distR="0" allowOverlap="1" layoutInCell="1" locked="0" behindDoc="1" simplePos="0" relativeHeight="454062592">
            <wp:simplePos x="0" y="0"/>
            <wp:positionH relativeFrom="page">
              <wp:posOffset>1261605</wp:posOffset>
            </wp:positionH>
            <wp:positionV relativeFrom="paragraph">
              <wp:posOffset>607480</wp:posOffset>
            </wp:positionV>
            <wp:extent cx="5133225" cy="5265293"/>
            <wp:effectExtent l="0" t="0" r="0" b="0"/>
            <wp:wrapNone/>
            <wp:docPr id="22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chapter examines the hypotheses testing and the discussion of the results of the study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light of the</w:t>
      </w:r>
      <w:r>
        <w:rPr>
          <w:spacing w:val="-2"/>
        </w:rPr>
        <w:t> </w:t>
      </w:r>
      <w:r>
        <w:rPr/>
        <w:t>study</w:t>
      </w:r>
      <w:r>
        <w:rPr>
          <w:spacing w:val="1"/>
        </w:rPr>
        <w:t> </w:t>
      </w:r>
      <w:r>
        <w:rPr/>
        <w:t>objectives.</w:t>
      </w:r>
    </w:p>
    <w:p>
      <w:pPr>
        <w:pStyle w:val="Heading1"/>
        <w:numPr>
          <w:ilvl w:val="1"/>
          <w:numId w:val="31"/>
        </w:numPr>
        <w:tabs>
          <w:tab w:pos="1242" w:val="left" w:leader="none"/>
        </w:tabs>
        <w:spacing w:line="240" w:lineRule="auto" w:before="200" w:after="0"/>
        <w:ind w:left="1242" w:right="0" w:hanging="420"/>
        <w:jc w:val="left"/>
      </w:pPr>
      <w:bookmarkStart w:name="_bookmark91" w:id="145"/>
      <w:bookmarkEnd w:id="145"/>
      <w:r>
        <w:rPr>
          <w:b w:val="0"/>
        </w:rPr>
      </w:r>
      <w:bookmarkStart w:name="_bookmark91" w:id="146"/>
      <w:bookmarkEnd w:id="146"/>
      <w:r>
        <w:rPr/>
        <w:t>Hy</w:t>
      </w:r>
      <w:r>
        <w:rPr/>
        <w:t>potheses</w:t>
      </w:r>
      <w:r>
        <w:rPr>
          <w:spacing w:val="-3"/>
        </w:rPr>
        <w:t> </w:t>
      </w:r>
      <w:r>
        <w:rPr/>
        <w:t>Testing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spacing w:line="480" w:lineRule="auto" w:before="0"/>
        <w:ind w:left="822" w:right="837" w:firstLine="0"/>
        <w:jc w:val="both"/>
        <w:rPr>
          <w:b/>
          <w:sz w:val="24"/>
        </w:rPr>
      </w:pPr>
      <w:r>
        <w:rPr>
          <w:b/>
          <w:position w:val="1"/>
          <w:sz w:val="24"/>
        </w:rPr>
        <w:t>H</w:t>
      </w:r>
      <w:r>
        <w:rPr>
          <w:b/>
          <w:sz w:val="16"/>
        </w:rPr>
        <w:t>01</w:t>
      </w:r>
      <w:r>
        <w:rPr>
          <w:b/>
          <w:position w:val="1"/>
          <w:sz w:val="24"/>
        </w:rPr>
        <w:t>: Board independence has no significant effect on tax aggressiveness in quoted firms</w:t>
      </w:r>
      <w:r>
        <w:rPr>
          <w:b/>
          <w:spacing w:val="1"/>
          <w:position w:val="1"/>
          <w:sz w:val="24"/>
        </w:rPr>
        <w:t> </w:t>
      </w:r>
      <w:r>
        <w:rPr>
          <w:b/>
          <w:sz w:val="24"/>
        </w:rPr>
        <w:t>in Nigeria</w:t>
      </w:r>
    </w:p>
    <w:p>
      <w:pPr>
        <w:pStyle w:val="BodyText"/>
        <w:spacing w:line="480" w:lineRule="auto" w:before="200"/>
        <w:ind w:right="829"/>
      </w:pPr>
      <w:r>
        <w:rPr/>
        <w:t>BDIND has a negative coefficient (-0.0318) and significant (p=0.0116) at 5%. The results</w:t>
      </w:r>
      <w:r>
        <w:rPr>
          <w:spacing w:val="1"/>
        </w:rPr>
        <w:t> </w:t>
      </w:r>
      <w:r>
        <w:rPr/>
        <w:t>suggest that an increase in the number of independent directors on the board results in a</w:t>
      </w:r>
      <w:r>
        <w:rPr>
          <w:spacing w:val="1"/>
        </w:rPr>
        <w:t> </w:t>
      </w:r>
      <w:r>
        <w:rPr/>
        <w:t>reduction in the tax paid/ pre-tax income ratio and this implies an increase in tax aggressive</w:t>
      </w:r>
      <w:r>
        <w:rPr>
          <w:spacing w:val="1"/>
        </w:rPr>
        <w:t> </w:t>
      </w:r>
      <w:r>
        <w:rPr/>
        <w:t>practices. </w:t>
      </w:r>
      <w:r>
        <w:rPr>
          <w:b/>
        </w:rPr>
        <w:t>Hence the null hypothesis that Board independence has no significant effect on</w:t>
      </w:r>
      <w:r>
        <w:rPr>
          <w:b/>
          <w:spacing w:val="1"/>
        </w:rPr>
        <w:t> </w:t>
      </w:r>
      <w:r>
        <w:rPr>
          <w:b/>
        </w:rPr>
        <w:t>tax</w:t>
      </w:r>
      <w:r>
        <w:rPr>
          <w:b/>
          <w:spacing w:val="-10"/>
        </w:rPr>
        <w:t> </w:t>
      </w:r>
      <w:r>
        <w:rPr>
          <w:b/>
        </w:rPr>
        <w:t>aggressiveness</w:t>
      </w:r>
      <w:r>
        <w:rPr>
          <w:b/>
          <w:spacing w:val="-8"/>
        </w:rPr>
        <w:t> </w:t>
      </w:r>
      <w:r>
        <w:rPr>
          <w:b/>
        </w:rPr>
        <w:t>in</w:t>
      </w:r>
      <w:r>
        <w:rPr>
          <w:b/>
          <w:spacing w:val="-7"/>
        </w:rPr>
        <w:t> </w:t>
      </w:r>
      <w:r>
        <w:rPr>
          <w:b/>
        </w:rPr>
        <w:t>quoted</w:t>
      </w:r>
      <w:r>
        <w:rPr>
          <w:b/>
          <w:spacing w:val="-9"/>
        </w:rPr>
        <w:t> </w:t>
      </w:r>
      <w:r>
        <w:rPr>
          <w:b/>
        </w:rPr>
        <w:t>firms</w:t>
      </w:r>
      <w:r>
        <w:rPr>
          <w:b/>
          <w:spacing w:val="-8"/>
        </w:rPr>
        <w:t> </w:t>
      </w:r>
      <w:r>
        <w:rPr>
          <w:b/>
        </w:rPr>
        <w:t>in</w:t>
      </w:r>
      <w:r>
        <w:rPr>
          <w:b/>
          <w:spacing w:val="-7"/>
        </w:rPr>
        <w:t> </w:t>
      </w:r>
      <w:r>
        <w:rPr>
          <w:b/>
        </w:rPr>
        <w:t>Nigeria</w:t>
      </w:r>
      <w:r>
        <w:rPr>
          <w:b/>
          <w:spacing w:val="-9"/>
        </w:rPr>
        <w:t> </w:t>
      </w:r>
      <w:r>
        <w:rPr>
          <w:b/>
        </w:rPr>
        <w:t>is</w:t>
      </w:r>
      <w:r>
        <w:rPr>
          <w:b/>
          <w:spacing w:val="-6"/>
        </w:rPr>
        <w:t> </w:t>
      </w:r>
      <w:r>
        <w:rPr>
          <w:b/>
        </w:rPr>
        <w:t>rejected.</w:t>
      </w:r>
      <w:r>
        <w:rPr>
          <w:b/>
          <w:spacing w:val="-5"/>
        </w:rPr>
        <w:t> </w:t>
      </w:r>
      <w:r>
        <w:rPr/>
        <w:t>The</w:t>
      </w:r>
      <w:r>
        <w:rPr>
          <w:spacing w:val="-11"/>
        </w:rPr>
        <w:t> </w:t>
      </w:r>
      <w:r>
        <w:rPr/>
        <w:t>robustness</w:t>
      </w:r>
      <w:r>
        <w:rPr>
          <w:spacing w:val="-5"/>
        </w:rPr>
        <w:t> </w:t>
      </w:r>
      <w:r>
        <w:rPr/>
        <w:t>results</w:t>
      </w:r>
      <w:r>
        <w:rPr>
          <w:spacing w:val="-8"/>
        </w:rPr>
        <w:t> </w:t>
      </w:r>
      <w:r>
        <w:rPr/>
        <w:t>also</w:t>
      </w:r>
      <w:r>
        <w:rPr>
          <w:spacing w:val="-9"/>
        </w:rPr>
        <w:t> </w:t>
      </w:r>
      <w:r>
        <w:rPr/>
        <w:t>suggest</w:t>
      </w:r>
      <w:r>
        <w:rPr>
          <w:spacing w:val="-57"/>
        </w:rPr>
        <w:t> </w:t>
      </w:r>
      <w:r>
        <w:rPr/>
        <w:t>that</w:t>
      </w:r>
      <w:r>
        <w:rPr>
          <w:spacing w:val="-6"/>
        </w:rPr>
        <w:t> </w:t>
      </w:r>
      <w:r>
        <w:rPr/>
        <w:t>though</w:t>
      </w:r>
      <w:r>
        <w:rPr>
          <w:spacing w:val="-6"/>
        </w:rPr>
        <w:t> </w:t>
      </w:r>
      <w:r>
        <w:rPr/>
        <w:t>BDIND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seen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impact</w:t>
      </w:r>
      <w:r>
        <w:rPr>
          <w:spacing w:val="-6"/>
        </w:rPr>
        <w:t> </w:t>
      </w:r>
      <w:r>
        <w:rPr/>
        <w:t>tax</w:t>
      </w:r>
      <w:r>
        <w:rPr>
          <w:spacing w:val="-6"/>
        </w:rPr>
        <w:t> </w:t>
      </w:r>
      <w:r>
        <w:rPr/>
        <w:t>aggressiveness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such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way</w:t>
      </w:r>
      <w:r>
        <w:rPr>
          <w:spacing w:val="-6"/>
        </w:rPr>
        <w:t> </w:t>
      </w:r>
      <w:r>
        <w:rPr/>
        <w:t>that</w:t>
      </w:r>
      <w:r>
        <w:rPr>
          <w:spacing w:val="-57"/>
        </w:rPr>
        <w:t> </w:t>
      </w:r>
      <w:r>
        <w:rPr/>
        <w:t>increase in the number of independent directors on the board results in a reduction in the tax</w:t>
      </w:r>
      <w:r>
        <w:rPr>
          <w:spacing w:val="1"/>
        </w:rPr>
        <w:t> </w:t>
      </w:r>
      <w:r>
        <w:rPr/>
        <w:t>paid/ pre-tax income ratio and this implies an increase in tax aggressive practices, this effect is</w:t>
      </w:r>
      <w:r>
        <w:rPr>
          <w:spacing w:val="-58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when the BDIND is between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ratio</w:t>
      </w:r>
      <w:r>
        <w:rPr>
          <w:spacing w:val="2"/>
        </w:rPr>
        <w:t> </w:t>
      </w:r>
      <w:r>
        <w:rPr/>
        <w:t>of 0.57-0.71 of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board.</w:t>
      </w:r>
    </w:p>
    <w:p>
      <w:pPr>
        <w:pStyle w:val="Heading1"/>
        <w:spacing w:before="200"/>
        <w:ind w:left="822"/>
      </w:pPr>
      <w:r>
        <w:rPr>
          <w:position w:val="1"/>
        </w:rPr>
        <w:t>H</w:t>
      </w:r>
      <w:r>
        <w:rPr>
          <w:sz w:val="16"/>
        </w:rPr>
        <w:t>02</w:t>
      </w:r>
      <w:r>
        <w:rPr>
          <w:position w:val="1"/>
        </w:rPr>
        <w:t>:</w:t>
      </w:r>
      <w:r>
        <w:rPr>
          <w:spacing w:val="58"/>
          <w:position w:val="1"/>
        </w:rPr>
        <w:t> </w:t>
      </w:r>
      <w:r>
        <w:rPr>
          <w:position w:val="1"/>
        </w:rPr>
        <w:t>Board</w:t>
      </w:r>
      <w:r>
        <w:rPr>
          <w:spacing w:val="-1"/>
          <w:position w:val="1"/>
        </w:rPr>
        <w:t> </w:t>
      </w:r>
      <w:r>
        <w:rPr>
          <w:position w:val="1"/>
        </w:rPr>
        <w:t>size</w:t>
      </w:r>
      <w:r>
        <w:rPr>
          <w:spacing w:val="-2"/>
          <w:position w:val="1"/>
        </w:rPr>
        <w:t> </w:t>
      </w:r>
      <w:r>
        <w:rPr>
          <w:position w:val="1"/>
        </w:rPr>
        <w:t>has</w:t>
      </w:r>
      <w:r>
        <w:rPr>
          <w:spacing w:val="-1"/>
          <w:position w:val="1"/>
        </w:rPr>
        <w:t> </w:t>
      </w:r>
      <w:r>
        <w:rPr>
          <w:position w:val="1"/>
        </w:rPr>
        <w:t>no</w:t>
      </w:r>
      <w:r>
        <w:rPr>
          <w:spacing w:val="-4"/>
          <w:position w:val="1"/>
        </w:rPr>
        <w:t> </w:t>
      </w:r>
      <w:r>
        <w:rPr>
          <w:position w:val="1"/>
        </w:rPr>
        <w:t>significant effect</w:t>
      </w:r>
      <w:r>
        <w:rPr>
          <w:spacing w:val="-1"/>
          <w:position w:val="1"/>
        </w:rPr>
        <w:t> </w:t>
      </w:r>
      <w:r>
        <w:rPr>
          <w:position w:val="1"/>
        </w:rPr>
        <w:t>on</w:t>
      </w:r>
      <w:r>
        <w:rPr>
          <w:spacing w:val="-1"/>
          <w:position w:val="1"/>
        </w:rPr>
        <w:t> </w:t>
      </w:r>
      <w:r>
        <w:rPr>
          <w:position w:val="1"/>
        </w:rPr>
        <w:t>aggressiveness</w:t>
      </w:r>
      <w:r>
        <w:rPr>
          <w:spacing w:val="-1"/>
          <w:position w:val="1"/>
        </w:rPr>
        <w:t> </w:t>
      </w:r>
      <w:r>
        <w:rPr>
          <w:position w:val="1"/>
        </w:rPr>
        <w:t>in quoted</w:t>
      </w:r>
      <w:r>
        <w:rPr>
          <w:spacing w:val="-1"/>
          <w:position w:val="1"/>
        </w:rPr>
        <w:t> </w:t>
      </w:r>
      <w:r>
        <w:rPr>
          <w:position w:val="1"/>
        </w:rPr>
        <w:t>firms</w:t>
      </w:r>
      <w:r>
        <w:rPr>
          <w:spacing w:val="-1"/>
          <w:position w:val="1"/>
        </w:rPr>
        <w:t> </w:t>
      </w:r>
      <w:r>
        <w:rPr>
          <w:position w:val="1"/>
        </w:rPr>
        <w:t>in Nigeria.</w:t>
      </w:r>
    </w:p>
    <w:p>
      <w:pPr>
        <w:pStyle w:val="BodyText"/>
        <w:ind w:left="0"/>
        <w:jc w:val="left"/>
        <w:rPr>
          <w:b/>
          <w:sz w:val="26"/>
        </w:rPr>
      </w:pPr>
    </w:p>
    <w:p>
      <w:pPr>
        <w:spacing w:line="480" w:lineRule="auto" w:before="179"/>
        <w:ind w:left="822" w:right="828" w:firstLine="0"/>
        <w:jc w:val="both"/>
        <w:rPr>
          <w:sz w:val="24"/>
        </w:rPr>
      </w:pPr>
      <w:r>
        <w:rPr>
          <w:sz w:val="24"/>
        </w:rPr>
        <w:t>BDS</w:t>
      </w:r>
      <w:r>
        <w:rPr>
          <w:spacing w:val="-6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negative</w:t>
      </w:r>
      <w:r>
        <w:rPr>
          <w:spacing w:val="-5"/>
          <w:sz w:val="24"/>
        </w:rPr>
        <w:t> </w:t>
      </w:r>
      <w:r>
        <w:rPr>
          <w:sz w:val="24"/>
        </w:rPr>
        <w:t>coefficient</w:t>
      </w:r>
      <w:r>
        <w:rPr>
          <w:spacing w:val="-5"/>
          <w:sz w:val="24"/>
        </w:rPr>
        <w:t> </w:t>
      </w:r>
      <w:r>
        <w:rPr>
          <w:sz w:val="24"/>
        </w:rPr>
        <w:t>(-0.0042)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significant</w:t>
      </w:r>
      <w:r>
        <w:rPr>
          <w:spacing w:val="-6"/>
          <w:sz w:val="24"/>
        </w:rPr>
        <w:t> </w:t>
      </w:r>
      <w:r>
        <w:rPr>
          <w:sz w:val="24"/>
        </w:rPr>
        <w:t>(p=0.0036)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6"/>
          <w:sz w:val="24"/>
        </w:rPr>
        <w:t> </w:t>
      </w:r>
      <w:r>
        <w:rPr>
          <w:sz w:val="24"/>
        </w:rPr>
        <w:t>5%.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results</w:t>
      </w:r>
      <w:r>
        <w:rPr>
          <w:spacing w:val="-5"/>
          <w:sz w:val="24"/>
        </w:rPr>
        <w:t> </w:t>
      </w:r>
      <w:r>
        <w:rPr>
          <w:sz w:val="24"/>
        </w:rPr>
        <w:t>suggest</w:t>
      </w:r>
      <w:r>
        <w:rPr>
          <w:spacing w:val="-58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increase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board</w:t>
      </w:r>
      <w:r>
        <w:rPr>
          <w:spacing w:val="-5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results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reduction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tax</w:t>
      </w:r>
      <w:r>
        <w:rPr>
          <w:spacing w:val="-3"/>
          <w:sz w:val="24"/>
        </w:rPr>
        <w:t> </w:t>
      </w:r>
      <w:r>
        <w:rPr>
          <w:sz w:val="24"/>
        </w:rPr>
        <w:t>paid/</w:t>
      </w:r>
      <w:r>
        <w:rPr>
          <w:spacing w:val="-2"/>
          <w:sz w:val="24"/>
        </w:rPr>
        <w:t> </w:t>
      </w:r>
      <w:r>
        <w:rPr>
          <w:sz w:val="24"/>
        </w:rPr>
        <w:t>pre-tax</w:t>
      </w:r>
      <w:r>
        <w:rPr>
          <w:spacing w:val="-3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ratio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implies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increase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tax</w:t>
      </w:r>
      <w:r>
        <w:rPr>
          <w:spacing w:val="-1"/>
          <w:sz w:val="24"/>
        </w:rPr>
        <w:t> </w:t>
      </w:r>
      <w:r>
        <w:rPr>
          <w:sz w:val="24"/>
        </w:rPr>
        <w:t>aggressiveness. </w:t>
      </w:r>
      <w:r>
        <w:rPr>
          <w:b/>
          <w:sz w:val="24"/>
        </w:rPr>
        <w:t>Hence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null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Board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has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no significant effect on tax aggressiveness in quoted firms in Nigeria is rejected.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robustness</w:t>
      </w:r>
      <w:r>
        <w:rPr>
          <w:spacing w:val="9"/>
          <w:sz w:val="24"/>
        </w:rPr>
        <w:t> </w:t>
      </w:r>
      <w:r>
        <w:rPr>
          <w:sz w:val="24"/>
        </w:rPr>
        <w:t>results</w:t>
      </w:r>
      <w:r>
        <w:rPr>
          <w:spacing w:val="8"/>
          <w:sz w:val="24"/>
        </w:rPr>
        <w:t> </w:t>
      </w:r>
      <w:r>
        <w:rPr>
          <w:sz w:val="24"/>
        </w:rPr>
        <w:t>thus</w:t>
      </w:r>
      <w:r>
        <w:rPr>
          <w:spacing w:val="9"/>
          <w:sz w:val="24"/>
        </w:rPr>
        <w:t> </w:t>
      </w:r>
      <w:r>
        <w:rPr>
          <w:sz w:val="24"/>
        </w:rPr>
        <w:t>suggest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though</w:t>
      </w:r>
      <w:r>
        <w:rPr>
          <w:spacing w:val="8"/>
          <w:sz w:val="24"/>
        </w:rPr>
        <w:t> </w:t>
      </w:r>
      <w:r>
        <w:rPr>
          <w:sz w:val="24"/>
        </w:rPr>
        <w:t>BDS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8"/>
          <w:sz w:val="24"/>
        </w:rPr>
        <w:t> </w:t>
      </w:r>
      <w:r>
        <w:rPr>
          <w:sz w:val="24"/>
        </w:rPr>
        <w:t>estimation</w:t>
      </w:r>
      <w:r>
        <w:rPr>
          <w:spacing w:val="8"/>
          <w:sz w:val="24"/>
        </w:rPr>
        <w:t> </w:t>
      </w:r>
      <w:r>
        <w:rPr>
          <w:sz w:val="24"/>
        </w:rPr>
        <w:t>output,</w:t>
      </w:r>
      <w:r>
        <w:rPr>
          <w:spacing w:val="8"/>
          <w:sz w:val="24"/>
        </w:rPr>
        <w:t> </w:t>
      </w:r>
      <w:r>
        <w:rPr>
          <w:sz w:val="24"/>
        </w:rPr>
        <w:t>has</w:t>
      </w:r>
      <w:r>
        <w:rPr>
          <w:spacing w:val="8"/>
          <w:sz w:val="24"/>
        </w:rPr>
        <w:t> </w:t>
      </w:r>
      <w:r>
        <w:rPr>
          <w:sz w:val="24"/>
        </w:rPr>
        <w:t>been</w:t>
      </w:r>
      <w:r>
        <w:rPr>
          <w:spacing w:val="8"/>
          <w:sz w:val="24"/>
        </w:rPr>
        <w:t> </w:t>
      </w:r>
      <w:r>
        <w:rPr>
          <w:sz w:val="24"/>
        </w:rPr>
        <w:t>seen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5"/>
      </w:pPr>
      <w:r>
        <w:rPr/>
        <w:t>to</w:t>
      </w:r>
      <w:r>
        <w:rPr>
          <w:spacing w:val="-10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impact</w:t>
      </w:r>
      <w:r>
        <w:rPr>
          <w:spacing w:val="-9"/>
        </w:rPr>
        <w:t> </w:t>
      </w:r>
      <w:r>
        <w:rPr/>
        <w:t>tax</w:t>
      </w:r>
      <w:r>
        <w:rPr>
          <w:spacing w:val="-10"/>
        </w:rPr>
        <w:t> </w:t>
      </w:r>
      <w:r>
        <w:rPr/>
        <w:t>aggressiveness,</w:t>
      </w:r>
      <w:r>
        <w:rPr>
          <w:spacing w:val="-9"/>
        </w:rPr>
        <w:t> </w:t>
      </w:r>
      <w:r>
        <w:rPr/>
        <w:t>there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identified</w:t>
      </w:r>
      <w:r>
        <w:rPr>
          <w:spacing w:val="-10"/>
        </w:rPr>
        <w:t> </w:t>
      </w:r>
      <w:r>
        <w:rPr/>
        <w:t>significant</w:t>
      </w:r>
      <w:r>
        <w:rPr>
          <w:spacing w:val="-9"/>
        </w:rPr>
        <w:t> </w:t>
      </w:r>
      <w:r>
        <w:rPr/>
        <w:t>threshold</w:t>
      </w:r>
      <w:r>
        <w:rPr>
          <w:spacing w:val="-10"/>
        </w:rPr>
        <w:t> </w:t>
      </w:r>
      <w:r>
        <w:rPr/>
        <w:t>restriction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this relationship.</w:t>
      </w:r>
    </w:p>
    <w:p>
      <w:pPr>
        <w:pStyle w:val="Heading1"/>
        <w:spacing w:line="480" w:lineRule="auto" w:before="202"/>
        <w:ind w:left="822" w:right="833"/>
      </w:pPr>
      <w:r>
        <w:rPr>
          <w:position w:val="1"/>
        </w:rPr>
        <w:t>H</w:t>
      </w:r>
      <w:r>
        <w:rPr>
          <w:sz w:val="16"/>
        </w:rPr>
        <w:t>03</w:t>
      </w:r>
      <w:r>
        <w:rPr>
          <w:position w:val="1"/>
        </w:rPr>
        <w:t>.</w:t>
      </w:r>
      <w:r>
        <w:rPr>
          <w:spacing w:val="-10"/>
          <w:position w:val="1"/>
        </w:rPr>
        <w:t> </w:t>
      </w:r>
      <w:r>
        <w:rPr>
          <w:position w:val="1"/>
        </w:rPr>
        <w:t>Board</w:t>
      </w:r>
      <w:r>
        <w:rPr>
          <w:spacing w:val="-8"/>
          <w:position w:val="1"/>
        </w:rPr>
        <w:t> </w:t>
      </w:r>
      <w:r>
        <w:rPr>
          <w:position w:val="1"/>
        </w:rPr>
        <w:t>gender</w:t>
      </w:r>
      <w:r>
        <w:rPr>
          <w:spacing w:val="-10"/>
          <w:position w:val="1"/>
        </w:rPr>
        <w:t> </w:t>
      </w:r>
      <w:r>
        <w:rPr>
          <w:position w:val="1"/>
        </w:rPr>
        <w:t>diversity</w:t>
      </w:r>
      <w:r>
        <w:rPr>
          <w:spacing w:val="-9"/>
          <w:position w:val="1"/>
        </w:rPr>
        <w:t> </w:t>
      </w:r>
      <w:r>
        <w:rPr>
          <w:position w:val="1"/>
        </w:rPr>
        <w:t>has</w:t>
      </w:r>
      <w:r>
        <w:rPr>
          <w:spacing w:val="-8"/>
          <w:position w:val="1"/>
        </w:rPr>
        <w:t> </w:t>
      </w:r>
      <w:r>
        <w:rPr>
          <w:position w:val="1"/>
        </w:rPr>
        <w:t>no</w:t>
      </w:r>
      <w:r>
        <w:rPr>
          <w:spacing w:val="-9"/>
          <w:position w:val="1"/>
        </w:rPr>
        <w:t> </w:t>
      </w:r>
      <w:r>
        <w:rPr>
          <w:position w:val="1"/>
        </w:rPr>
        <w:t>significant</w:t>
      </w:r>
      <w:r>
        <w:rPr>
          <w:spacing w:val="-9"/>
          <w:position w:val="1"/>
        </w:rPr>
        <w:t> </w:t>
      </w:r>
      <w:r>
        <w:rPr>
          <w:position w:val="1"/>
        </w:rPr>
        <w:t>effect</w:t>
      </w:r>
      <w:r>
        <w:rPr>
          <w:spacing w:val="-7"/>
          <w:position w:val="1"/>
        </w:rPr>
        <w:t> </w:t>
      </w:r>
      <w:r>
        <w:rPr>
          <w:position w:val="1"/>
        </w:rPr>
        <w:t>on</w:t>
      </w:r>
      <w:r>
        <w:rPr>
          <w:spacing w:val="-8"/>
          <w:position w:val="1"/>
        </w:rPr>
        <w:t> </w:t>
      </w:r>
      <w:r>
        <w:rPr>
          <w:position w:val="1"/>
        </w:rPr>
        <w:t>tax</w:t>
      </w:r>
      <w:r>
        <w:rPr>
          <w:spacing w:val="-9"/>
          <w:position w:val="1"/>
        </w:rPr>
        <w:t> </w:t>
      </w:r>
      <w:r>
        <w:rPr>
          <w:position w:val="1"/>
        </w:rPr>
        <w:t>aggressiveness</w:t>
      </w:r>
      <w:r>
        <w:rPr>
          <w:spacing w:val="-8"/>
          <w:position w:val="1"/>
        </w:rPr>
        <w:t> </w:t>
      </w:r>
      <w:r>
        <w:rPr>
          <w:position w:val="1"/>
        </w:rPr>
        <w:t>in</w:t>
      </w:r>
      <w:r>
        <w:rPr>
          <w:spacing w:val="-7"/>
          <w:position w:val="1"/>
        </w:rPr>
        <w:t> </w:t>
      </w:r>
      <w:r>
        <w:rPr>
          <w:position w:val="1"/>
        </w:rPr>
        <w:t>quoted</w:t>
      </w:r>
      <w:r>
        <w:rPr>
          <w:spacing w:val="-8"/>
          <w:position w:val="1"/>
        </w:rPr>
        <w:t> </w:t>
      </w:r>
      <w:r>
        <w:rPr>
          <w:position w:val="1"/>
        </w:rPr>
        <w:t>firms</w:t>
      </w:r>
      <w:r>
        <w:rPr>
          <w:spacing w:val="-58"/>
          <w:position w:val="1"/>
        </w:rPr>
        <w:t> </w:t>
      </w:r>
      <w:r>
        <w:rPr/>
        <w:t>in Nigeria.</w:t>
      </w:r>
    </w:p>
    <w:p>
      <w:pPr>
        <w:pStyle w:val="BodyText"/>
        <w:spacing w:line="480" w:lineRule="auto" w:before="200"/>
        <w:ind w:right="827"/>
      </w:pPr>
      <w:r>
        <w:rPr/>
        <w:drawing>
          <wp:anchor distT="0" distB="0" distL="0" distR="0" allowOverlap="1" layoutInCell="1" locked="0" behindDoc="1" simplePos="0" relativeHeight="454063104">
            <wp:simplePos x="0" y="0"/>
            <wp:positionH relativeFrom="page">
              <wp:posOffset>1261605</wp:posOffset>
            </wp:positionH>
            <wp:positionV relativeFrom="paragraph">
              <wp:posOffset>248324</wp:posOffset>
            </wp:positionV>
            <wp:extent cx="5133225" cy="5265293"/>
            <wp:effectExtent l="0" t="0" r="0" b="0"/>
            <wp:wrapNone/>
            <wp:docPr id="23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From the board structure estimation results in Table 4.5, BGD has a positive coefficient</w:t>
      </w:r>
      <w:r>
        <w:rPr>
          <w:spacing w:val="1"/>
        </w:rPr>
        <w:t> </w:t>
      </w:r>
      <w:r>
        <w:rPr/>
        <w:t>(0.0600) though not significant (p=0.0916) at 5%. The results suggest that an increase in the</w:t>
      </w:r>
      <w:r>
        <w:rPr>
          <w:spacing w:val="1"/>
        </w:rPr>
        <w:t> </w:t>
      </w:r>
      <w:r>
        <w:rPr/>
        <w:t>board</w:t>
      </w:r>
      <w:r>
        <w:rPr>
          <w:spacing w:val="-5"/>
        </w:rPr>
        <w:t> </w:t>
      </w:r>
      <w:r>
        <w:rPr/>
        <w:t>gender</w:t>
      </w:r>
      <w:r>
        <w:rPr>
          <w:spacing w:val="-1"/>
        </w:rPr>
        <w:t> </w:t>
      </w:r>
      <w:r>
        <w:rPr/>
        <w:t>diversity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boards</w:t>
      </w:r>
      <w:r>
        <w:rPr>
          <w:spacing w:val="-1"/>
        </w:rPr>
        <w:t> </w:t>
      </w:r>
      <w:r>
        <w:rPr/>
        <w:t>results</w:t>
      </w:r>
      <w:r>
        <w:rPr>
          <w:spacing w:val="-3"/>
        </w:rPr>
        <w:t> </w:t>
      </w:r>
      <w:r>
        <w:rPr/>
        <w:t>in an</w:t>
      </w:r>
      <w:r>
        <w:rPr>
          <w:spacing w:val="-4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tax</w:t>
      </w:r>
      <w:r>
        <w:rPr>
          <w:spacing w:val="-1"/>
        </w:rPr>
        <w:t> </w:t>
      </w:r>
      <w:r>
        <w:rPr/>
        <w:t>paid/</w:t>
      </w:r>
      <w:r>
        <w:rPr>
          <w:spacing w:val="-2"/>
        </w:rPr>
        <w:t> </w:t>
      </w:r>
      <w:r>
        <w:rPr/>
        <w:t>pre-tax</w:t>
      </w:r>
      <w:r>
        <w:rPr>
          <w:spacing w:val="-3"/>
        </w:rPr>
        <w:t> </w:t>
      </w:r>
      <w:r>
        <w:rPr/>
        <w:t>income</w:t>
      </w:r>
      <w:r>
        <w:rPr>
          <w:spacing w:val="-1"/>
        </w:rPr>
        <w:t> </w:t>
      </w:r>
      <w:r>
        <w:rPr/>
        <w:t>ratio</w:t>
      </w:r>
      <w:r>
        <w:rPr>
          <w:spacing w:val="-1"/>
        </w:rPr>
        <w:t> </w:t>
      </w:r>
      <w:r>
        <w:rPr/>
        <w:t>and</w:t>
      </w:r>
      <w:r>
        <w:rPr>
          <w:spacing w:val="-57"/>
        </w:rPr>
        <w:t> </w:t>
      </w:r>
      <w:r>
        <w:rPr/>
        <w:t>this</w:t>
      </w:r>
      <w:r>
        <w:rPr>
          <w:spacing w:val="-7"/>
        </w:rPr>
        <w:t> </w:t>
      </w:r>
      <w:r>
        <w:rPr/>
        <w:t>implies</w:t>
      </w:r>
      <w:r>
        <w:rPr>
          <w:spacing w:val="-7"/>
        </w:rPr>
        <w:t> </w:t>
      </w:r>
      <w:r>
        <w:rPr/>
        <w:t>less</w:t>
      </w:r>
      <w:r>
        <w:rPr>
          <w:spacing w:val="-7"/>
        </w:rPr>
        <w:t> </w:t>
      </w:r>
      <w:r>
        <w:rPr/>
        <w:t>tax</w:t>
      </w:r>
      <w:r>
        <w:rPr>
          <w:spacing w:val="-6"/>
        </w:rPr>
        <w:t> </w:t>
      </w:r>
      <w:r>
        <w:rPr/>
        <w:t>aggressiveness</w:t>
      </w:r>
      <w:r>
        <w:rPr>
          <w:spacing w:val="-7"/>
        </w:rPr>
        <w:t> </w:t>
      </w:r>
      <w:r>
        <w:rPr/>
        <w:t>activity</w:t>
      </w:r>
      <w:r>
        <w:rPr>
          <w:spacing w:val="-7"/>
        </w:rPr>
        <w:t> </w:t>
      </w:r>
      <w:r>
        <w:rPr/>
        <w:t>though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outcome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7"/>
        </w:rPr>
        <w:t> </w:t>
      </w:r>
      <w:r>
        <w:rPr/>
        <w:t>significant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5%.</w:t>
      </w:r>
      <w:r>
        <w:rPr>
          <w:spacing w:val="-5"/>
        </w:rPr>
        <w:t> </w:t>
      </w:r>
      <w:r>
        <w:rPr>
          <w:b/>
        </w:rPr>
        <w:t>Hence</w:t>
      </w:r>
      <w:r>
        <w:rPr>
          <w:b/>
          <w:spacing w:val="-58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null</w:t>
      </w:r>
      <w:r>
        <w:rPr>
          <w:b/>
          <w:spacing w:val="1"/>
        </w:rPr>
        <w:t> </w:t>
      </w:r>
      <w:r>
        <w:rPr>
          <w:b/>
        </w:rPr>
        <w:t>hypothesis</w:t>
      </w:r>
      <w:r>
        <w:rPr>
          <w:b/>
          <w:spacing w:val="1"/>
        </w:rPr>
        <w:t> </w:t>
      </w:r>
      <w:r>
        <w:rPr>
          <w:b/>
        </w:rPr>
        <w:t>that</w:t>
      </w:r>
      <w:r>
        <w:rPr>
          <w:b/>
          <w:spacing w:val="1"/>
        </w:rPr>
        <w:t> </w:t>
      </w:r>
      <w:r>
        <w:rPr>
          <w:b/>
        </w:rPr>
        <w:t>Board</w:t>
      </w:r>
      <w:r>
        <w:rPr>
          <w:b/>
          <w:spacing w:val="1"/>
        </w:rPr>
        <w:t> </w:t>
      </w:r>
      <w:r>
        <w:rPr>
          <w:b/>
        </w:rPr>
        <w:t>gender</w:t>
      </w:r>
      <w:r>
        <w:rPr>
          <w:b/>
          <w:spacing w:val="1"/>
        </w:rPr>
        <w:t> </w:t>
      </w:r>
      <w:r>
        <w:rPr>
          <w:b/>
        </w:rPr>
        <w:t>diversity</w:t>
      </w:r>
      <w:r>
        <w:rPr>
          <w:b/>
          <w:spacing w:val="1"/>
        </w:rPr>
        <w:t> </w:t>
      </w:r>
      <w:r>
        <w:rPr>
          <w:b/>
        </w:rPr>
        <w:t>has</w:t>
      </w:r>
      <w:r>
        <w:rPr>
          <w:b/>
          <w:spacing w:val="1"/>
        </w:rPr>
        <w:t> </w:t>
      </w:r>
      <w:r>
        <w:rPr>
          <w:b/>
        </w:rPr>
        <w:t>no</w:t>
      </w:r>
      <w:r>
        <w:rPr>
          <w:b/>
          <w:spacing w:val="1"/>
        </w:rPr>
        <w:t> </w:t>
      </w:r>
      <w:r>
        <w:rPr>
          <w:b/>
        </w:rPr>
        <w:t>significant</w:t>
      </w:r>
      <w:r>
        <w:rPr>
          <w:b/>
          <w:spacing w:val="1"/>
        </w:rPr>
        <w:t> </w:t>
      </w:r>
      <w:r>
        <w:rPr>
          <w:b/>
        </w:rPr>
        <w:t>effect</w:t>
      </w:r>
      <w:r>
        <w:rPr>
          <w:b/>
          <w:spacing w:val="1"/>
        </w:rPr>
        <w:t> </w:t>
      </w:r>
      <w:r>
        <w:rPr>
          <w:b/>
        </w:rPr>
        <w:t>on</w:t>
      </w:r>
      <w:r>
        <w:rPr>
          <w:b/>
          <w:spacing w:val="1"/>
        </w:rPr>
        <w:t> </w:t>
      </w:r>
      <w:r>
        <w:rPr>
          <w:b/>
        </w:rPr>
        <w:t>tax</w:t>
      </w:r>
      <w:r>
        <w:rPr>
          <w:b/>
          <w:spacing w:val="1"/>
        </w:rPr>
        <w:t> </w:t>
      </w:r>
      <w:r>
        <w:rPr>
          <w:b/>
        </w:rPr>
        <w:t>aggressiveness in quoted firms in Nigeria is rejected</w:t>
      </w:r>
      <w:r>
        <w:rPr/>
        <w:t>. The discrete threshold regression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corroborate the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as none of the BGD</w:t>
      </w:r>
      <w:r>
        <w:rPr>
          <w:spacing w:val="1"/>
        </w:rPr>
        <w:t> </w:t>
      </w:r>
      <w:r>
        <w:rPr/>
        <w:t>thresholds were statistically significant and thus there is no identified significant threshold</w:t>
      </w:r>
      <w:r>
        <w:rPr>
          <w:spacing w:val="1"/>
        </w:rPr>
        <w:t> </w:t>
      </w:r>
      <w:r>
        <w:rPr/>
        <w:t>restriction</w:t>
      </w:r>
      <w:r>
        <w:rPr>
          <w:spacing w:val="-1"/>
        </w:rPr>
        <w:t> </w:t>
      </w:r>
      <w:r>
        <w:rPr/>
        <w:t>on this relationship.</w:t>
      </w:r>
    </w:p>
    <w:p>
      <w:pPr>
        <w:pStyle w:val="Heading1"/>
        <w:spacing w:line="480" w:lineRule="auto" w:before="200"/>
        <w:ind w:left="822" w:right="834"/>
      </w:pPr>
      <w:r>
        <w:rPr>
          <w:position w:val="1"/>
        </w:rPr>
        <w:t>H</w:t>
      </w:r>
      <w:r>
        <w:rPr>
          <w:sz w:val="16"/>
        </w:rPr>
        <w:t>04</w:t>
      </w:r>
      <w:r>
        <w:rPr>
          <w:position w:val="1"/>
        </w:rPr>
        <w:t>. Board Ownership has no significant impact on tax aggressiveness in quoted firms in</w:t>
      </w:r>
      <w:r>
        <w:rPr>
          <w:spacing w:val="-57"/>
          <w:position w:val="1"/>
        </w:rPr>
        <w:t> </w:t>
      </w:r>
      <w:r>
        <w:rPr/>
        <w:t>Nigeria</w:t>
      </w:r>
    </w:p>
    <w:p>
      <w:pPr>
        <w:spacing w:line="480" w:lineRule="auto" w:before="200"/>
        <w:ind w:left="822" w:right="829" w:firstLine="0"/>
        <w:jc w:val="both"/>
        <w:rPr>
          <w:sz w:val="24"/>
        </w:rPr>
      </w:pPr>
      <w:r>
        <w:rPr>
          <w:sz w:val="24"/>
        </w:rPr>
        <w:t>BDOWN has a negative coefficient (-0.0561) and significant (p=0.0085) at 5%. The results</w:t>
      </w:r>
      <w:r>
        <w:rPr>
          <w:spacing w:val="1"/>
          <w:sz w:val="24"/>
        </w:rPr>
        <w:t> </w:t>
      </w:r>
      <w:r>
        <w:rPr>
          <w:sz w:val="24"/>
        </w:rPr>
        <w:t>suggest that an increase in the level of board equity ownership results in a reduction in the tax</w:t>
      </w:r>
      <w:r>
        <w:rPr>
          <w:spacing w:val="1"/>
          <w:sz w:val="24"/>
        </w:rPr>
        <w:t> </w:t>
      </w:r>
      <w:r>
        <w:rPr>
          <w:sz w:val="24"/>
        </w:rPr>
        <w:t>paid/ pre-tax income ratio and this implies an increase in tax aggressive practices. </w:t>
      </w:r>
      <w:r>
        <w:rPr>
          <w:b/>
          <w:sz w:val="24"/>
        </w:rPr>
        <w:t>Hence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null hypothesis that board ownership has no significant effect on tax aggressiveness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quoted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firms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Nigeria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rejected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robustness</w:t>
      </w:r>
      <w:r>
        <w:rPr>
          <w:spacing w:val="-3"/>
          <w:sz w:val="24"/>
        </w:rPr>
        <w:t> </w:t>
      </w:r>
      <w:r>
        <w:rPr>
          <w:sz w:val="24"/>
        </w:rPr>
        <w:t>results</w:t>
      </w:r>
      <w:r>
        <w:rPr>
          <w:spacing w:val="-3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suggest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2"/>
          <w:sz w:val="24"/>
        </w:rPr>
        <w:t> </w:t>
      </w:r>
      <w:r>
        <w:rPr>
          <w:sz w:val="24"/>
        </w:rPr>
        <w:t>though</w:t>
      </w:r>
      <w:r>
        <w:rPr>
          <w:spacing w:val="-3"/>
          <w:sz w:val="24"/>
        </w:rPr>
        <w:t> </w:t>
      </w:r>
      <w:r>
        <w:rPr>
          <w:sz w:val="24"/>
        </w:rPr>
        <w:t>BDOWN</w:t>
      </w:r>
      <w:r>
        <w:rPr>
          <w:spacing w:val="-57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seen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tax</w:t>
      </w:r>
      <w:r>
        <w:rPr>
          <w:spacing w:val="1"/>
          <w:sz w:val="24"/>
        </w:rPr>
        <w:t> </w:t>
      </w:r>
      <w:r>
        <w:rPr>
          <w:sz w:val="24"/>
        </w:rPr>
        <w:t>aggressiveness</w:t>
      </w:r>
      <w:r>
        <w:rPr>
          <w:spacing w:val="1"/>
          <w:sz w:val="24"/>
        </w:rPr>
        <w:t> </w:t>
      </w: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threshold</w:t>
      </w:r>
      <w:r>
        <w:rPr>
          <w:spacing w:val="-57"/>
          <w:sz w:val="24"/>
        </w:rPr>
        <w:t> </w:t>
      </w:r>
      <w:r>
        <w:rPr>
          <w:sz w:val="24"/>
        </w:rPr>
        <w:t>restriction</w:t>
      </w:r>
      <w:r>
        <w:rPr>
          <w:spacing w:val="-1"/>
          <w:sz w:val="24"/>
        </w:rPr>
        <w:t> </w:t>
      </w:r>
      <w:r>
        <w:rPr>
          <w:sz w:val="24"/>
        </w:rPr>
        <w:t>on this relationship.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ind w:left="822"/>
      </w:pPr>
      <w:r>
        <w:rPr>
          <w:position w:val="1"/>
        </w:rPr>
        <w:t>H</w:t>
      </w:r>
      <w:r>
        <w:rPr>
          <w:sz w:val="16"/>
        </w:rPr>
        <w:t>05</w:t>
      </w:r>
      <w:r>
        <w:rPr>
          <w:position w:val="1"/>
        </w:rPr>
        <w:t>.</w:t>
      </w:r>
      <w:r>
        <w:rPr>
          <w:spacing w:val="-2"/>
          <w:position w:val="1"/>
        </w:rPr>
        <w:t> </w:t>
      </w:r>
      <w:r>
        <w:rPr>
          <w:position w:val="1"/>
        </w:rPr>
        <w:t>CEO</w:t>
      </w:r>
      <w:r>
        <w:rPr>
          <w:spacing w:val="-1"/>
          <w:position w:val="1"/>
        </w:rPr>
        <w:t> </w:t>
      </w:r>
      <w:r>
        <w:rPr>
          <w:position w:val="1"/>
        </w:rPr>
        <w:t>age</w:t>
      </w:r>
      <w:r>
        <w:rPr>
          <w:spacing w:val="-2"/>
          <w:position w:val="1"/>
        </w:rPr>
        <w:t> </w:t>
      </w:r>
      <w:r>
        <w:rPr>
          <w:position w:val="1"/>
        </w:rPr>
        <w:t>has</w:t>
      </w:r>
      <w:r>
        <w:rPr>
          <w:spacing w:val="-1"/>
          <w:position w:val="1"/>
        </w:rPr>
        <w:t> </w:t>
      </w:r>
      <w:r>
        <w:rPr>
          <w:position w:val="1"/>
        </w:rPr>
        <w:t>no</w:t>
      </w:r>
      <w:r>
        <w:rPr>
          <w:spacing w:val="-2"/>
          <w:position w:val="1"/>
        </w:rPr>
        <w:t> </w:t>
      </w:r>
      <w:r>
        <w:rPr>
          <w:position w:val="1"/>
        </w:rPr>
        <w:t>significant</w:t>
      </w:r>
      <w:r>
        <w:rPr>
          <w:spacing w:val="-1"/>
          <w:position w:val="1"/>
        </w:rPr>
        <w:t> </w:t>
      </w:r>
      <w:r>
        <w:rPr>
          <w:position w:val="1"/>
        </w:rPr>
        <w:t>impact</w:t>
      </w:r>
      <w:r>
        <w:rPr>
          <w:spacing w:val="-1"/>
          <w:position w:val="1"/>
        </w:rPr>
        <w:t> </w:t>
      </w:r>
      <w:r>
        <w:rPr>
          <w:position w:val="1"/>
        </w:rPr>
        <w:t>on</w:t>
      </w:r>
      <w:r>
        <w:rPr>
          <w:spacing w:val="-1"/>
          <w:position w:val="1"/>
        </w:rPr>
        <w:t> </w:t>
      </w:r>
      <w:r>
        <w:rPr>
          <w:position w:val="1"/>
        </w:rPr>
        <w:t>tax</w:t>
      </w:r>
      <w:r>
        <w:rPr>
          <w:spacing w:val="-2"/>
          <w:position w:val="1"/>
        </w:rPr>
        <w:t> </w:t>
      </w:r>
      <w:r>
        <w:rPr>
          <w:position w:val="1"/>
        </w:rPr>
        <w:t>aggressiveness</w:t>
      </w:r>
      <w:r>
        <w:rPr>
          <w:spacing w:val="-1"/>
          <w:position w:val="1"/>
        </w:rPr>
        <w:t> </w:t>
      </w:r>
      <w:r>
        <w:rPr>
          <w:position w:val="1"/>
        </w:rPr>
        <w:t>in</w:t>
      </w:r>
      <w:r>
        <w:rPr>
          <w:spacing w:val="-1"/>
          <w:position w:val="1"/>
        </w:rPr>
        <w:t> </w:t>
      </w:r>
      <w:r>
        <w:rPr>
          <w:position w:val="1"/>
        </w:rPr>
        <w:t>quoted</w:t>
      </w:r>
      <w:r>
        <w:rPr>
          <w:spacing w:val="-1"/>
          <w:position w:val="1"/>
        </w:rPr>
        <w:t> </w:t>
      </w:r>
      <w:r>
        <w:rPr>
          <w:position w:val="1"/>
        </w:rPr>
        <w:t>firms</w:t>
      </w:r>
      <w:r>
        <w:rPr>
          <w:spacing w:val="-2"/>
          <w:position w:val="1"/>
        </w:rPr>
        <w:t> </w:t>
      </w:r>
      <w:r>
        <w:rPr>
          <w:position w:val="1"/>
        </w:rPr>
        <w:t>in Nigeria.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29"/>
      </w:pPr>
      <w:r>
        <w:rPr/>
        <w:drawing>
          <wp:anchor distT="0" distB="0" distL="0" distR="0" allowOverlap="1" layoutInCell="1" locked="0" behindDoc="1" simplePos="0" relativeHeight="454063616">
            <wp:simplePos x="0" y="0"/>
            <wp:positionH relativeFrom="page">
              <wp:posOffset>1261605</wp:posOffset>
            </wp:positionH>
            <wp:positionV relativeFrom="paragraph">
              <wp:posOffset>1388403</wp:posOffset>
            </wp:positionV>
            <wp:extent cx="5133225" cy="5265293"/>
            <wp:effectExtent l="0" t="0" r="0" b="0"/>
            <wp:wrapNone/>
            <wp:docPr id="23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CEO</w:t>
      </w:r>
      <w:r>
        <w:rPr>
          <w:spacing w:val="-2"/>
        </w:rPr>
        <w:t> </w:t>
      </w:r>
      <w:r>
        <w:rPr/>
        <w:t>attributes</w:t>
      </w:r>
      <w:r>
        <w:rPr>
          <w:spacing w:val="-4"/>
        </w:rPr>
        <w:t> </w:t>
      </w:r>
      <w:r>
        <w:rPr/>
        <w:t>fixed</w:t>
      </w:r>
      <w:r>
        <w:rPr>
          <w:spacing w:val="-4"/>
        </w:rPr>
        <w:t> </w:t>
      </w:r>
      <w:r>
        <w:rPr/>
        <w:t>effects</w:t>
      </w:r>
      <w:r>
        <w:rPr>
          <w:spacing w:val="-2"/>
        </w:rPr>
        <w:t> </w:t>
      </w:r>
      <w:r>
        <w:rPr/>
        <w:t>estimation</w:t>
      </w:r>
      <w:r>
        <w:rPr>
          <w:spacing w:val="-3"/>
        </w:rPr>
        <w:t> </w:t>
      </w:r>
      <w:r>
        <w:rPr/>
        <w:t>results,</w:t>
      </w:r>
      <w:r>
        <w:rPr>
          <w:spacing w:val="-4"/>
        </w:rPr>
        <w:t> </w:t>
      </w:r>
      <w:r>
        <w:rPr/>
        <w:t>reveals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CEO-Age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positive coefficient (0.0010) and significant (p=0.0199) at 5%. The results suggest that the</w:t>
      </w:r>
      <w:r>
        <w:rPr>
          <w:spacing w:val="1"/>
        </w:rPr>
        <w:t> </w:t>
      </w:r>
      <w:r>
        <w:rPr/>
        <w:t>presence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older</w:t>
      </w:r>
      <w:r>
        <w:rPr>
          <w:spacing w:val="-7"/>
        </w:rPr>
        <w:t> </w:t>
      </w:r>
      <w:r>
        <w:rPr/>
        <w:t>CEO’s</w:t>
      </w:r>
      <w:r>
        <w:rPr>
          <w:spacing w:val="-4"/>
        </w:rPr>
        <w:t> </w:t>
      </w:r>
      <w:r>
        <w:rPr/>
        <w:t>tends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41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tax</w:t>
      </w:r>
      <w:r>
        <w:rPr>
          <w:spacing w:val="-7"/>
        </w:rPr>
        <w:t> </w:t>
      </w:r>
      <w:r>
        <w:rPr/>
        <w:t>paid/</w:t>
      </w:r>
      <w:r>
        <w:rPr>
          <w:spacing w:val="-6"/>
        </w:rPr>
        <w:t> </w:t>
      </w:r>
      <w:r>
        <w:rPr/>
        <w:t>pre-tax</w:t>
      </w:r>
      <w:r>
        <w:rPr>
          <w:spacing w:val="-7"/>
        </w:rPr>
        <w:t> </w:t>
      </w:r>
      <w:r>
        <w:rPr/>
        <w:t>income</w:t>
      </w:r>
      <w:r>
        <w:rPr>
          <w:spacing w:val="-7"/>
        </w:rPr>
        <w:t> </w:t>
      </w:r>
      <w:r>
        <w:rPr/>
        <w:t>ratio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this</w:t>
      </w:r>
      <w:r>
        <w:rPr>
          <w:spacing w:val="-6"/>
        </w:rPr>
        <w:t> </w:t>
      </w:r>
      <w:r>
        <w:rPr/>
        <w:t>implies</w:t>
      </w:r>
      <w:r>
        <w:rPr>
          <w:spacing w:val="-5"/>
        </w:rPr>
        <w:t> </w:t>
      </w:r>
      <w:r>
        <w:rPr/>
        <w:t>less</w:t>
      </w:r>
      <w:r>
        <w:rPr>
          <w:spacing w:val="-5"/>
        </w:rPr>
        <w:t> </w:t>
      </w:r>
      <w:r>
        <w:rPr/>
        <w:t>tax</w:t>
      </w:r>
      <w:r>
        <w:rPr>
          <w:spacing w:val="-7"/>
        </w:rPr>
        <w:t> </w:t>
      </w:r>
      <w:r>
        <w:rPr/>
        <w:t>aggressiveness</w:t>
      </w:r>
      <w:r>
        <w:rPr>
          <w:spacing w:val="-5"/>
        </w:rPr>
        <w:t> </w:t>
      </w:r>
      <w:r>
        <w:rPr/>
        <w:t>activity.</w:t>
      </w:r>
      <w:r>
        <w:rPr>
          <w:spacing w:val="-3"/>
        </w:rPr>
        <w:t> </w:t>
      </w:r>
      <w:r>
        <w:rPr>
          <w:b/>
        </w:rPr>
        <w:t>Hence</w:t>
      </w:r>
      <w:r>
        <w:rPr>
          <w:b/>
          <w:spacing w:val="-8"/>
        </w:rPr>
        <w:t> </w:t>
      </w:r>
      <w:r>
        <w:rPr>
          <w:b/>
        </w:rPr>
        <w:t>the</w:t>
      </w:r>
      <w:r>
        <w:rPr>
          <w:b/>
          <w:spacing w:val="-6"/>
        </w:rPr>
        <w:t> </w:t>
      </w:r>
      <w:r>
        <w:rPr>
          <w:b/>
        </w:rPr>
        <w:t>null</w:t>
      </w:r>
      <w:r>
        <w:rPr>
          <w:b/>
          <w:spacing w:val="-5"/>
        </w:rPr>
        <w:t> </w:t>
      </w:r>
      <w:r>
        <w:rPr>
          <w:b/>
        </w:rPr>
        <w:t>hypothesis</w:t>
      </w:r>
      <w:r>
        <w:rPr>
          <w:b/>
          <w:spacing w:val="-6"/>
        </w:rPr>
        <w:t> </w:t>
      </w:r>
      <w:r>
        <w:rPr>
          <w:b/>
        </w:rPr>
        <w:t>that</w:t>
      </w:r>
      <w:r>
        <w:rPr>
          <w:b/>
          <w:spacing w:val="-6"/>
        </w:rPr>
        <w:t> </w:t>
      </w:r>
      <w:r>
        <w:rPr>
          <w:b/>
        </w:rPr>
        <w:t>CEO</w:t>
      </w:r>
      <w:r>
        <w:rPr>
          <w:b/>
          <w:spacing w:val="-5"/>
        </w:rPr>
        <w:t> </w:t>
      </w:r>
      <w:r>
        <w:rPr>
          <w:b/>
        </w:rPr>
        <w:t>Age</w:t>
      </w:r>
      <w:r>
        <w:rPr>
          <w:b/>
          <w:spacing w:val="-6"/>
        </w:rPr>
        <w:t> </w:t>
      </w:r>
      <w:r>
        <w:rPr>
          <w:b/>
        </w:rPr>
        <w:t>has</w:t>
      </w:r>
      <w:r>
        <w:rPr>
          <w:b/>
          <w:spacing w:val="-5"/>
        </w:rPr>
        <w:t> </w:t>
      </w:r>
      <w:r>
        <w:rPr>
          <w:b/>
        </w:rPr>
        <w:t>no</w:t>
      </w:r>
      <w:r>
        <w:rPr>
          <w:b/>
          <w:spacing w:val="-58"/>
        </w:rPr>
        <w:t> </w:t>
      </w:r>
      <w:r>
        <w:rPr>
          <w:b/>
        </w:rPr>
        <w:t>significant effect on tax aggressiveness in quoted firms in Nigeria is rejected</w:t>
      </w:r>
      <w:r>
        <w:rPr/>
        <w:t>. The discrete</w:t>
      </w:r>
      <w:r>
        <w:rPr>
          <w:spacing w:val="-57"/>
        </w:rPr>
        <w:t> </w:t>
      </w:r>
      <w:r>
        <w:rPr/>
        <w:t>threshold estimation output indicated that CEO’s between the ages of 51 and 60 tend to have a</w:t>
      </w:r>
      <w:r>
        <w:rPr>
          <w:spacing w:val="-57"/>
        </w:rPr>
        <w:t> </w:t>
      </w:r>
      <w:r>
        <w:rPr/>
        <w:t>significant effect on increasing tax paid/ pretax income ratio which implies that CEO’s within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age</w:t>
      </w:r>
      <w:r>
        <w:rPr>
          <w:spacing w:val="-7"/>
        </w:rPr>
        <w:t> </w:t>
      </w:r>
      <w:r>
        <w:rPr/>
        <w:t>range</w:t>
      </w:r>
      <w:r>
        <w:rPr>
          <w:spacing w:val="-7"/>
        </w:rPr>
        <w:t> </w:t>
      </w:r>
      <w:r>
        <w:rPr/>
        <w:t>tend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discourage</w:t>
      </w:r>
      <w:r>
        <w:rPr>
          <w:spacing w:val="-7"/>
        </w:rPr>
        <w:t> </w:t>
      </w:r>
      <w:r>
        <w:rPr/>
        <w:t>tax</w:t>
      </w:r>
      <w:r>
        <w:rPr>
          <w:spacing w:val="-4"/>
        </w:rPr>
        <w:t> </w:t>
      </w:r>
      <w:r>
        <w:rPr/>
        <w:t>aggressive</w:t>
      </w:r>
      <w:r>
        <w:rPr>
          <w:spacing w:val="-5"/>
        </w:rPr>
        <w:t> </w:t>
      </w:r>
      <w:r>
        <w:rPr/>
        <w:t>activity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thus</w:t>
      </w:r>
      <w:r>
        <w:rPr>
          <w:spacing w:val="-8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threshold</w:t>
      </w:r>
      <w:r>
        <w:rPr>
          <w:spacing w:val="-6"/>
        </w:rPr>
        <w:t> </w:t>
      </w:r>
      <w:r>
        <w:rPr/>
        <w:t>restriction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this relationship.</w:t>
      </w:r>
    </w:p>
    <w:p>
      <w:pPr>
        <w:pStyle w:val="Heading1"/>
        <w:spacing w:line="362" w:lineRule="auto" w:before="199"/>
        <w:ind w:left="822" w:right="833"/>
      </w:pPr>
      <w:r>
        <w:rPr>
          <w:position w:val="1"/>
        </w:rPr>
        <w:t>H</w:t>
      </w:r>
      <w:r>
        <w:rPr>
          <w:sz w:val="16"/>
        </w:rPr>
        <w:t>06</w:t>
      </w:r>
      <w:r>
        <w:rPr>
          <w:position w:val="1"/>
        </w:rPr>
        <w:t>. CEO tenure has no significant impact on tax aggressiveness in quoted firms in</w:t>
      </w:r>
      <w:r>
        <w:rPr>
          <w:spacing w:val="1"/>
          <w:position w:val="1"/>
        </w:rPr>
        <w:t> </w:t>
      </w:r>
      <w:r>
        <w:rPr/>
        <w:t>Nigeria.</w:t>
      </w:r>
    </w:p>
    <w:p>
      <w:pPr>
        <w:spacing w:line="480" w:lineRule="auto" w:before="197"/>
        <w:ind w:left="822" w:right="830" w:firstLine="0"/>
        <w:jc w:val="both"/>
        <w:rPr>
          <w:b/>
          <w:sz w:val="24"/>
        </w:rPr>
      </w:pPr>
      <w:r>
        <w:rPr>
          <w:sz w:val="24"/>
        </w:rPr>
        <w:t>The analysis of the CEO attributes fixed effects estimation results, reveals that CEOT has a</w:t>
      </w:r>
      <w:r>
        <w:rPr>
          <w:spacing w:val="1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coefficient</w:t>
      </w:r>
      <w:r>
        <w:rPr>
          <w:spacing w:val="1"/>
          <w:sz w:val="24"/>
        </w:rPr>
        <w:t> </w:t>
      </w:r>
      <w:r>
        <w:rPr>
          <w:sz w:val="24"/>
        </w:rPr>
        <w:t>(-0.0049)</w:t>
      </w:r>
      <w:r>
        <w:rPr>
          <w:spacing w:val="1"/>
          <w:sz w:val="24"/>
        </w:rPr>
        <w:t> </w:t>
      </w:r>
      <w:r>
        <w:rPr>
          <w:sz w:val="24"/>
        </w:rPr>
        <w:t>though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(p=0.7640)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5%.</w:t>
      </w:r>
      <w:r>
        <w:rPr>
          <w:spacing w:val="1"/>
          <w:sz w:val="24"/>
        </w:rPr>
        <w:t> </w:t>
      </w:r>
      <w:r>
        <w:rPr>
          <w:b/>
          <w:sz w:val="24"/>
        </w:rPr>
        <w:t>Hence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null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hypothesis that CEO Tenure has no significant effect on tax aggressiveness in quoted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firms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 is accepted.</w:t>
      </w:r>
    </w:p>
    <w:p>
      <w:pPr>
        <w:pStyle w:val="Heading1"/>
        <w:spacing w:line="360" w:lineRule="auto" w:before="199"/>
        <w:ind w:left="822" w:right="837"/>
      </w:pPr>
      <w:r>
        <w:rPr>
          <w:position w:val="1"/>
        </w:rPr>
        <w:t>H</w:t>
      </w:r>
      <w:r>
        <w:rPr>
          <w:sz w:val="16"/>
        </w:rPr>
        <w:t>07</w:t>
      </w:r>
      <w:r>
        <w:rPr>
          <w:position w:val="1"/>
        </w:rPr>
        <w:t>: CEO ownership has no significant impact on tax aggressiveness in quoted firms in</w:t>
      </w:r>
      <w:r>
        <w:rPr>
          <w:spacing w:val="1"/>
          <w:position w:val="1"/>
        </w:rPr>
        <w:t> </w:t>
      </w:r>
      <w:r>
        <w:rPr/>
        <w:t>Nigeria.</w:t>
      </w:r>
    </w:p>
    <w:p>
      <w:pPr>
        <w:spacing w:line="480" w:lineRule="auto" w:before="201"/>
        <w:ind w:left="822" w:right="827" w:firstLine="0"/>
        <w:jc w:val="both"/>
        <w:rPr>
          <w:sz w:val="20"/>
        </w:rPr>
      </w:pPr>
      <w:r>
        <w:rPr>
          <w:sz w:val="24"/>
        </w:rPr>
        <w:t>CEO-Own has a negative coefficient (-0.0012) and significant (p=0.0402) at 5%. The results</w:t>
      </w:r>
      <w:r>
        <w:rPr>
          <w:spacing w:val="1"/>
          <w:sz w:val="24"/>
        </w:rPr>
        <w:t> </w:t>
      </w:r>
      <w:r>
        <w:rPr>
          <w:sz w:val="24"/>
        </w:rPr>
        <w:t>suggest that an increase in CEO equity ownership results in a reduction in the tax paid/ pre-tax</w:t>
      </w:r>
      <w:r>
        <w:rPr>
          <w:spacing w:val="-57"/>
          <w:sz w:val="24"/>
        </w:rPr>
        <w:t> </w:t>
      </w:r>
      <w:r>
        <w:rPr>
          <w:sz w:val="24"/>
        </w:rPr>
        <w:t>income</w:t>
      </w:r>
      <w:r>
        <w:rPr>
          <w:spacing w:val="-13"/>
          <w:sz w:val="24"/>
        </w:rPr>
        <w:t> </w:t>
      </w:r>
      <w:r>
        <w:rPr>
          <w:sz w:val="24"/>
        </w:rPr>
        <w:t>ratio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this</w:t>
      </w:r>
      <w:r>
        <w:rPr>
          <w:spacing w:val="-11"/>
          <w:sz w:val="24"/>
        </w:rPr>
        <w:t> </w:t>
      </w:r>
      <w:r>
        <w:rPr>
          <w:sz w:val="24"/>
        </w:rPr>
        <w:t>implies</w:t>
      </w:r>
      <w:r>
        <w:rPr>
          <w:spacing w:val="-12"/>
          <w:sz w:val="24"/>
        </w:rPr>
        <w:t> </w:t>
      </w:r>
      <w:r>
        <w:rPr>
          <w:sz w:val="24"/>
        </w:rPr>
        <w:t>an</w:t>
      </w:r>
      <w:r>
        <w:rPr>
          <w:spacing w:val="-11"/>
          <w:sz w:val="24"/>
        </w:rPr>
        <w:t> </w:t>
      </w:r>
      <w:r>
        <w:rPr>
          <w:sz w:val="24"/>
        </w:rPr>
        <w:t>increase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tax</w:t>
      </w:r>
      <w:r>
        <w:rPr>
          <w:spacing w:val="-12"/>
          <w:sz w:val="24"/>
        </w:rPr>
        <w:t> </w:t>
      </w:r>
      <w:r>
        <w:rPr>
          <w:sz w:val="24"/>
        </w:rPr>
        <w:t>aggressiveness.</w:t>
      </w:r>
      <w:r>
        <w:rPr>
          <w:spacing w:val="-9"/>
          <w:sz w:val="24"/>
        </w:rPr>
        <w:t> </w:t>
      </w:r>
      <w:r>
        <w:rPr>
          <w:b/>
          <w:sz w:val="24"/>
        </w:rPr>
        <w:t>Hence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null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hypothesis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that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CEO ownership has no significant effect on tax aggressiveness in quoted firms in Nigeria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rejected</w:t>
      </w:r>
      <w:r>
        <w:rPr>
          <w:sz w:val="24"/>
        </w:rPr>
        <w:t>.</w:t>
      </w:r>
      <w:r>
        <w:rPr>
          <w:spacing w:val="5"/>
          <w:sz w:val="24"/>
        </w:rPr>
        <w:t> </w:t>
      </w:r>
      <w:r>
        <w:rPr>
          <w:sz w:val="24"/>
        </w:rPr>
        <w:t>For</w:t>
      </w:r>
      <w:r>
        <w:rPr>
          <w:spacing w:val="5"/>
          <w:sz w:val="24"/>
        </w:rPr>
        <w:t> </w:t>
      </w:r>
      <w:r>
        <w:rPr>
          <w:sz w:val="24"/>
        </w:rPr>
        <w:t>CEO-Own,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threshold</w:t>
      </w:r>
      <w:r>
        <w:rPr>
          <w:spacing w:val="5"/>
          <w:sz w:val="24"/>
        </w:rPr>
        <w:t> </w:t>
      </w:r>
      <w:r>
        <w:rPr>
          <w:sz w:val="24"/>
        </w:rPr>
        <w:t>estimation</w:t>
      </w:r>
      <w:r>
        <w:rPr>
          <w:spacing w:val="5"/>
          <w:sz w:val="24"/>
        </w:rPr>
        <w:t> </w:t>
      </w:r>
      <w:r>
        <w:rPr>
          <w:sz w:val="24"/>
        </w:rPr>
        <w:t>results,</w:t>
      </w:r>
      <w:r>
        <w:rPr>
          <w:spacing w:val="6"/>
          <w:sz w:val="24"/>
        </w:rPr>
        <w:t> </w:t>
      </w:r>
      <w:r>
        <w:rPr>
          <w:sz w:val="24"/>
        </w:rPr>
        <w:t>reveals</w:t>
      </w:r>
      <w:r>
        <w:rPr>
          <w:spacing w:val="6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when</w:t>
      </w:r>
      <w:r>
        <w:rPr>
          <w:spacing w:val="5"/>
          <w:sz w:val="24"/>
        </w:rPr>
        <w:t> </w:t>
      </w:r>
      <w:r>
        <w:rPr>
          <w:sz w:val="24"/>
        </w:rPr>
        <w:t>CEO-Own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8"/>
          <w:sz w:val="24"/>
        </w:rPr>
        <w:t> </w:t>
      </w:r>
      <w:r>
        <w:rPr>
          <w:sz w:val="20"/>
          <w:u w:val="single"/>
        </w:rPr>
        <w:t>&lt;</w:t>
      </w:r>
    </w:p>
    <w:p>
      <w:pPr>
        <w:pStyle w:val="BodyText"/>
        <w:jc w:val="left"/>
      </w:pPr>
      <w:r>
        <w:rPr>
          <w:sz w:val="20"/>
        </w:rPr>
        <w:t>0</w:t>
      </w:r>
      <w:r>
        <w:rPr/>
        <w:t>,</w:t>
      </w:r>
      <w:r>
        <w:rPr>
          <w:spacing w:val="96"/>
        </w:rPr>
        <w:t> </w:t>
      </w:r>
      <w:r>
        <w:rPr/>
        <w:t>the</w:t>
      </w:r>
      <w:r>
        <w:rPr>
          <w:spacing w:val="18"/>
        </w:rPr>
        <w:t> </w:t>
      </w:r>
      <w:r>
        <w:rPr/>
        <w:t>effect</w:t>
      </w:r>
      <w:r>
        <w:rPr>
          <w:spacing w:val="19"/>
        </w:rPr>
        <w:t> </w:t>
      </w:r>
      <w:r>
        <w:rPr/>
        <w:t>on</w:t>
      </w:r>
      <w:r>
        <w:rPr>
          <w:spacing w:val="18"/>
        </w:rPr>
        <w:t> </w:t>
      </w:r>
      <w:r>
        <w:rPr/>
        <w:t>tax</w:t>
      </w:r>
      <w:r>
        <w:rPr>
          <w:spacing w:val="17"/>
        </w:rPr>
        <w:t> </w:t>
      </w:r>
      <w:r>
        <w:rPr/>
        <w:t>aggressiveness</w:t>
      </w:r>
      <w:r>
        <w:rPr>
          <w:spacing w:val="19"/>
        </w:rPr>
        <w:t> </w:t>
      </w:r>
      <w:r>
        <w:rPr/>
        <w:t>tends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8"/>
        </w:rPr>
        <w:t> </w:t>
      </w:r>
      <w:r>
        <w:rPr/>
        <w:t>negative</w:t>
      </w:r>
      <w:r>
        <w:rPr>
          <w:spacing w:val="18"/>
        </w:rPr>
        <w:t> </w:t>
      </w:r>
      <w:r>
        <w:rPr/>
        <w:t>(-0.0012)</w:t>
      </w:r>
      <w:r>
        <w:rPr>
          <w:spacing w:val="17"/>
        </w:rPr>
        <w:t> </w:t>
      </w:r>
      <w:r>
        <w:rPr/>
        <w:t>but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is</w:t>
      </w:r>
      <w:r>
        <w:rPr>
          <w:spacing w:val="19"/>
        </w:rPr>
        <w:t> </w:t>
      </w:r>
      <w:r>
        <w:rPr/>
        <w:t>not</w:t>
      </w:r>
      <w:r>
        <w:rPr>
          <w:spacing w:val="19"/>
        </w:rPr>
        <w:t> </w:t>
      </w:r>
      <w:r>
        <w:rPr/>
        <w:t>statistically</w:t>
      </w:r>
    </w:p>
    <w:p>
      <w:pPr>
        <w:pStyle w:val="BodyText"/>
        <w:ind w:left="0"/>
        <w:jc w:val="left"/>
      </w:pPr>
    </w:p>
    <w:p>
      <w:pPr>
        <w:pStyle w:val="BodyText"/>
        <w:jc w:val="left"/>
      </w:pPr>
      <w:r>
        <w:rPr/>
        <w:t>significant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5%</w:t>
      </w:r>
      <w:r>
        <w:rPr>
          <w:spacing w:val="-4"/>
        </w:rPr>
        <w:t> </w:t>
      </w:r>
      <w:r>
        <w:rPr/>
        <w:t>(0.4851),</w:t>
      </w:r>
      <w:r>
        <w:rPr>
          <w:spacing w:val="-4"/>
        </w:rPr>
        <w:t> </w:t>
      </w:r>
      <w:r>
        <w:rPr/>
        <w:t>moving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threshold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0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5%, a</w:t>
      </w:r>
      <w:r>
        <w:rPr>
          <w:spacing w:val="-4"/>
        </w:rPr>
        <w:t> </w:t>
      </w:r>
      <w:r>
        <w:rPr/>
        <w:t>positive</w:t>
      </w:r>
      <w:r>
        <w:rPr>
          <w:spacing w:val="-3"/>
        </w:rPr>
        <w:t> </w:t>
      </w:r>
      <w:r>
        <w:rPr/>
        <w:t>coefficient</w:t>
      </w:r>
      <w:r>
        <w:rPr>
          <w:spacing w:val="-3"/>
        </w:rPr>
        <w:t> </w:t>
      </w:r>
      <w:r>
        <w:rPr/>
        <w:t>is</w:t>
      </w:r>
    </w:p>
    <w:p>
      <w:pPr>
        <w:spacing w:after="0"/>
        <w:jc w:val="lef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0"/>
      </w:pPr>
      <w:r>
        <w:rPr/>
        <w:drawing>
          <wp:anchor distT="0" distB="0" distL="0" distR="0" allowOverlap="1" layoutInCell="1" locked="0" behindDoc="1" simplePos="0" relativeHeight="454064128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3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now</w:t>
      </w:r>
      <w:r>
        <w:rPr>
          <w:spacing w:val="-13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(0.0014)</w:t>
      </w:r>
      <w:r>
        <w:rPr>
          <w:spacing w:val="-12"/>
        </w:rPr>
        <w:t> </w:t>
      </w:r>
      <w:r>
        <w:rPr/>
        <w:t>though</w:t>
      </w:r>
      <w:r>
        <w:rPr>
          <w:spacing w:val="-11"/>
        </w:rPr>
        <w:t> </w:t>
      </w:r>
      <w:r>
        <w:rPr/>
        <w:t>not</w:t>
      </w:r>
      <w:r>
        <w:rPr>
          <w:spacing w:val="-11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5%</w:t>
      </w:r>
      <w:r>
        <w:rPr>
          <w:spacing w:val="-12"/>
        </w:rPr>
        <w:t> </w:t>
      </w:r>
      <w:r>
        <w:rPr/>
        <w:t>(0.2129)</w:t>
      </w:r>
      <w:r>
        <w:rPr>
          <w:spacing w:val="-12"/>
        </w:rPr>
        <w:t> </w:t>
      </w:r>
      <w:r>
        <w:rPr/>
        <w:t>but</w:t>
      </w:r>
      <w:r>
        <w:rPr>
          <w:spacing w:val="-11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threshold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between</w:t>
      </w:r>
      <w:r>
        <w:rPr>
          <w:spacing w:val="-58"/>
        </w:rPr>
        <w:t> </w:t>
      </w:r>
      <w:r>
        <w:rPr>
          <w:spacing w:val="-1"/>
        </w:rPr>
        <w:t>5%-24%</w:t>
      </w:r>
      <w:r>
        <w:rPr>
          <w:spacing w:val="32"/>
        </w:rPr>
        <w:t> </w:t>
      </w:r>
      <w:r>
        <w:rPr/>
        <w:t>the</w:t>
      </w:r>
      <w:r>
        <w:rPr>
          <w:spacing w:val="-13"/>
        </w:rPr>
        <w:t> </w:t>
      </w:r>
      <w:r>
        <w:rPr/>
        <w:t>coefficient</w:t>
      </w:r>
      <w:r>
        <w:rPr>
          <w:spacing w:val="-14"/>
        </w:rPr>
        <w:t> </w:t>
      </w:r>
      <w:r>
        <w:rPr/>
        <w:t>is</w:t>
      </w:r>
      <w:r>
        <w:rPr>
          <w:spacing w:val="-15"/>
        </w:rPr>
        <w:t> </w:t>
      </w:r>
      <w:r>
        <w:rPr/>
        <w:t>positive</w:t>
      </w:r>
      <w:r>
        <w:rPr>
          <w:spacing w:val="-16"/>
        </w:rPr>
        <w:t> </w:t>
      </w:r>
      <w:r>
        <w:rPr/>
        <w:t>(0.0046)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significant</w:t>
      </w:r>
      <w:r>
        <w:rPr>
          <w:spacing w:val="-14"/>
        </w:rPr>
        <w:t> </w:t>
      </w:r>
      <w:r>
        <w:rPr/>
        <w:t>at</w:t>
      </w:r>
      <w:r>
        <w:rPr>
          <w:spacing w:val="-12"/>
        </w:rPr>
        <w:t> </w:t>
      </w:r>
      <w:r>
        <w:rPr/>
        <w:t>5%</w:t>
      </w:r>
      <w:r>
        <w:rPr>
          <w:spacing w:val="-13"/>
        </w:rPr>
        <w:t> </w:t>
      </w:r>
      <w:r>
        <w:rPr/>
        <w:t>(0.0011).</w:t>
      </w:r>
      <w:r>
        <w:rPr>
          <w:spacing w:val="-12"/>
        </w:rPr>
        <w:t> </w:t>
      </w:r>
      <w:r>
        <w:rPr/>
        <w:t>The</w:t>
      </w:r>
      <w:r>
        <w:rPr>
          <w:spacing w:val="-16"/>
        </w:rPr>
        <w:t> </w:t>
      </w:r>
      <w:r>
        <w:rPr/>
        <w:t>finding</w:t>
      </w:r>
      <w:r>
        <w:rPr>
          <w:spacing w:val="-15"/>
        </w:rPr>
        <w:t> </w:t>
      </w:r>
      <w:r>
        <w:rPr/>
        <w:t>suggest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high CEO’s equity ownership tend to have a significant effect on increasing tax paid/ pre</w:t>
      </w:r>
      <w:r>
        <w:rPr>
          <w:spacing w:val="-57"/>
        </w:rPr>
        <w:t> </w:t>
      </w:r>
      <w:r>
        <w:rPr/>
        <w:t>tax income ratio which implies that CEO’s that have equity ownership within that range of 5-</w:t>
      </w:r>
      <w:r>
        <w:rPr>
          <w:spacing w:val="1"/>
        </w:rPr>
        <w:t> </w:t>
      </w:r>
      <w:r>
        <w:rPr/>
        <w:t>24%</w:t>
      </w:r>
      <w:r>
        <w:rPr>
          <w:spacing w:val="-2"/>
        </w:rPr>
        <w:t> </w:t>
      </w:r>
      <w:r>
        <w:rPr/>
        <w:t>tend to discourage</w:t>
      </w:r>
      <w:r>
        <w:rPr>
          <w:spacing w:val="-1"/>
        </w:rPr>
        <w:t> </w:t>
      </w:r>
      <w:r>
        <w:rPr/>
        <w:t>tax aggressive</w:t>
      </w:r>
      <w:r>
        <w:rPr>
          <w:spacing w:val="1"/>
        </w:rPr>
        <w:t> </w:t>
      </w:r>
      <w:r>
        <w:rPr/>
        <w:t>activity.</w:t>
      </w:r>
    </w:p>
    <w:p>
      <w:pPr>
        <w:pStyle w:val="Heading1"/>
        <w:numPr>
          <w:ilvl w:val="1"/>
          <w:numId w:val="31"/>
        </w:numPr>
        <w:tabs>
          <w:tab w:pos="1242" w:val="left" w:leader="none"/>
        </w:tabs>
        <w:spacing w:line="240" w:lineRule="auto" w:before="202" w:after="0"/>
        <w:ind w:left="1242" w:right="0" w:hanging="420"/>
        <w:jc w:val="both"/>
      </w:pPr>
      <w:bookmarkStart w:name="_bookmark92" w:id="147"/>
      <w:bookmarkEnd w:id="147"/>
      <w:r>
        <w:rPr>
          <w:b w:val="0"/>
        </w:rPr>
      </w:r>
      <w:bookmarkStart w:name="_bookmark92" w:id="148"/>
      <w:bookmarkEnd w:id="148"/>
      <w:r>
        <w:rPr/>
        <w:t>Dis</w:t>
      </w:r>
      <w:r>
        <w:rPr/>
        <w:t>cussion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Results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pStyle w:val="Heading1"/>
        <w:numPr>
          <w:ilvl w:val="2"/>
          <w:numId w:val="31"/>
        </w:numPr>
        <w:tabs>
          <w:tab w:pos="1363" w:val="left" w:leader="none"/>
        </w:tabs>
        <w:spacing w:line="240" w:lineRule="auto" w:before="1" w:after="0"/>
        <w:ind w:left="1362" w:right="0" w:hanging="541"/>
        <w:jc w:val="both"/>
      </w:pPr>
      <w:bookmarkStart w:name="_bookmark93" w:id="149"/>
      <w:bookmarkEnd w:id="149"/>
      <w:r>
        <w:rPr>
          <w:b w:val="0"/>
        </w:rPr>
      </w:r>
      <w:bookmarkStart w:name="_bookmark93" w:id="150"/>
      <w:bookmarkEnd w:id="150"/>
      <w:r>
        <w:rPr/>
        <w:t>Boa</w:t>
      </w:r>
      <w:r>
        <w:rPr/>
        <w:t>rd</w:t>
      </w:r>
      <w:r>
        <w:rPr>
          <w:spacing w:val="-3"/>
        </w:rPr>
        <w:t> </w:t>
      </w:r>
      <w:r>
        <w:rPr/>
        <w:t>Independence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Tax</w:t>
      </w:r>
      <w:r>
        <w:rPr>
          <w:spacing w:val="-3"/>
        </w:rPr>
        <w:t> </w:t>
      </w:r>
      <w:r>
        <w:rPr/>
        <w:t>Aggressiveness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0"/>
      </w:pPr>
      <w:r>
        <w:rPr/>
        <w:t>The</w:t>
      </w:r>
      <w:r>
        <w:rPr>
          <w:spacing w:val="-7"/>
        </w:rPr>
        <w:t> </w:t>
      </w:r>
      <w:r>
        <w:rPr/>
        <w:t>fixed</w:t>
      </w:r>
      <w:r>
        <w:rPr>
          <w:spacing w:val="-4"/>
        </w:rPr>
        <w:t> </w:t>
      </w:r>
      <w:r>
        <w:rPr/>
        <w:t>effects</w:t>
      </w:r>
      <w:r>
        <w:rPr>
          <w:spacing w:val="-6"/>
        </w:rPr>
        <w:t> </w:t>
      </w:r>
      <w:r>
        <w:rPr/>
        <w:t>estimation</w:t>
      </w:r>
      <w:r>
        <w:rPr>
          <w:spacing w:val="-6"/>
        </w:rPr>
        <w:t> </w:t>
      </w:r>
      <w:r>
        <w:rPr/>
        <w:t>results</w:t>
      </w:r>
      <w:r>
        <w:rPr>
          <w:spacing w:val="-6"/>
        </w:rPr>
        <w:t> </w:t>
      </w:r>
      <w:r>
        <w:rPr/>
        <w:t>reveal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BDIND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coefficient</w:t>
      </w:r>
      <w:r>
        <w:rPr>
          <w:spacing w:val="-5"/>
        </w:rPr>
        <w:t> </w:t>
      </w:r>
      <w:r>
        <w:rPr/>
        <w:t>(-0.0318)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(p=0.0116)</w:t>
      </w:r>
      <w:r>
        <w:rPr>
          <w:spacing w:val="-8"/>
        </w:rPr>
        <w:t> </w:t>
      </w:r>
      <w:r>
        <w:rPr/>
        <w:t>at</w:t>
      </w:r>
      <w:r>
        <w:rPr>
          <w:spacing w:val="-5"/>
        </w:rPr>
        <w:t> </w:t>
      </w:r>
      <w:r>
        <w:rPr/>
        <w:t>5%.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7"/>
        </w:rPr>
        <w:t> </w:t>
      </w:r>
      <w:r>
        <w:rPr/>
        <w:t>suggest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directors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board</w:t>
      </w:r>
      <w:r>
        <w:rPr>
          <w:spacing w:val="-12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reduction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tax</w:t>
      </w:r>
      <w:r>
        <w:rPr>
          <w:spacing w:val="-11"/>
        </w:rPr>
        <w:t> </w:t>
      </w:r>
      <w:r>
        <w:rPr/>
        <w:t>paid/</w:t>
      </w:r>
      <w:r>
        <w:rPr>
          <w:spacing w:val="-10"/>
        </w:rPr>
        <w:t> </w:t>
      </w:r>
      <w:r>
        <w:rPr/>
        <w:t>pre-tax</w:t>
      </w:r>
      <w:r>
        <w:rPr>
          <w:spacing w:val="-12"/>
        </w:rPr>
        <w:t> </w:t>
      </w:r>
      <w:r>
        <w:rPr/>
        <w:t>income</w:t>
      </w:r>
      <w:r>
        <w:rPr>
          <w:spacing w:val="-12"/>
        </w:rPr>
        <w:t> </w:t>
      </w:r>
      <w:r>
        <w:rPr/>
        <w:t>ratio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implies</w:t>
      </w:r>
      <w:r>
        <w:rPr>
          <w:spacing w:val="-58"/>
        </w:rPr>
        <w:t> </w:t>
      </w:r>
      <w:r>
        <w:rPr/>
        <w:t>an increase in tax aggressive practices. Furthermore, the discrete threshold estimates suggest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though</w:t>
      </w:r>
      <w:r>
        <w:rPr>
          <w:spacing w:val="-6"/>
        </w:rPr>
        <w:t> </w:t>
      </w:r>
      <w:r>
        <w:rPr/>
        <w:t>BDIND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5"/>
        </w:rPr>
        <w:t> </w:t>
      </w:r>
      <w:r>
        <w:rPr/>
        <w:t>seen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significantly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tax</w:t>
      </w:r>
      <w:r>
        <w:rPr>
          <w:spacing w:val="-7"/>
        </w:rPr>
        <w:t> </w:t>
      </w:r>
      <w:r>
        <w:rPr/>
        <w:t>aggressiveness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way</w:t>
      </w:r>
      <w:r>
        <w:rPr>
          <w:spacing w:val="-6"/>
        </w:rPr>
        <w:t> </w:t>
      </w:r>
      <w:r>
        <w:rPr/>
        <w:t>that</w:t>
      </w:r>
      <w:r>
        <w:rPr>
          <w:spacing w:val="-57"/>
        </w:rPr>
        <w:t> </w:t>
      </w:r>
      <w:r>
        <w:rPr/>
        <w:t>increase in the number of independent directors on the board results in a reduction in the tax</w:t>
      </w:r>
      <w:r>
        <w:rPr>
          <w:spacing w:val="1"/>
        </w:rPr>
        <w:t> </w:t>
      </w:r>
      <w:r>
        <w:rPr/>
        <w:t>paid/ pre-tax income ratio and this implies an increase in tax aggressive practices, this effect is</w:t>
      </w:r>
      <w:r>
        <w:rPr>
          <w:spacing w:val="-58"/>
        </w:rPr>
        <w:t> </w:t>
      </w:r>
      <w:r>
        <w:rPr/>
        <w:t>dominant when the BDIND is between the ratio of 0.57-0.71 of total board. The independence</w:t>
      </w:r>
      <w:r>
        <w:rPr>
          <w:spacing w:val="-57"/>
        </w:rPr>
        <w:t> </w:t>
      </w:r>
      <w:r>
        <w:rPr/>
        <w:t>of the directors provides effective control of managers as suggested by the agency theory. The</w:t>
      </w:r>
      <w:r>
        <w:rPr>
          <w:spacing w:val="-57"/>
        </w:rPr>
        <w:t> </w:t>
      </w:r>
      <w:r>
        <w:rPr/>
        <w:t>independent non-executive directors are always viewed as a balancing force in the board; their</w:t>
      </w:r>
      <w:r>
        <w:rPr>
          <w:spacing w:val="-57"/>
        </w:rPr>
        <w:t> </w:t>
      </w:r>
      <w:r>
        <w:rPr/>
        <w:t>existence</w:t>
      </w:r>
      <w:r>
        <w:rPr>
          <w:spacing w:val="-2"/>
        </w:rPr>
        <w:t> </w:t>
      </w:r>
      <w:r>
        <w:rPr/>
        <w:t>is a</w:t>
      </w:r>
      <w:r>
        <w:rPr>
          <w:spacing w:val="-1"/>
        </w:rPr>
        <w:t> </w:t>
      </w:r>
      <w:r>
        <w:rPr/>
        <w:t>symptom</w:t>
      </w:r>
      <w:r>
        <w:rPr>
          <w:spacing w:val="-1"/>
        </w:rPr>
        <w:t> </w:t>
      </w:r>
      <w:r>
        <w:rPr/>
        <w:t>of good corporate governance (Bhagat &amp; Bolton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 w:before="200"/>
        <w:ind w:right="828"/>
      </w:pPr>
      <w:r>
        <w:rPr/>
        <w:t>Our finding is supported by that of Onyali and Okafor (2018) which examined the effect of</w:t>
      </w:r>
      <w:r>
        <w:rPr>
          <w:spacing w:val="1"/>
        </w:rPr>
        <w:t> </w:t>
      </w:r>
      <w:r>
        <w:rPr/>
        <w:t>corporate governance mechanisms on tax aggressiveness among selected manufacturing firms</w:t>
      </w:r>
      <w:r>
        <w:rPr>
          <w:spacing w:val="-57"/>
        </w:rPr>
        <w:t> </w:t>
      </w:r>
      <w:r>
        <w:rPr/>
        <w:t>in</w:t>
      </w:r>
      <w:r>
        <w:rPr>
          <w:spacing w:val="-8"/>
        </w:rPr>
        <w:t> </w:t>
      </w:r>
      <w:r>
        <w:rPr/>
        <w:t>Nigeria.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outcome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revealed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independent</w:t>
      </w:r>
      <w:r>
        <w:rPr>
          <w:spacing w:val="-8"/>
        </w:rPr>
        <w:t> </w:t>
      </w:r>
      <w:r>
        <w:rPr/>
        <w:t>director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having</w:t>
      </w:r>
      <w:r>
        <w:rPr>
          <w:spacing w:val="-58"/>
        </w:rPr>
        <w:t> </w:t>
      </w:r>
      <w:r>
        <w:rPr/>
        <w:t>a</w:t>
      </w:r>
      <w:r>
        <w:rPr>
          <w:spacing w:val="-12"/>
        </w:rPr>
        <w:t> </w:t>
      </w:r>
      <w:r>
        <w:rPr/>
        <w:t>significant</w:t>
      </w:r>
      <w:r>
        <w:rPr>
          <w:spacing w:val="-11"/>
        </w:rPr>
        <w:t> </w:t>
      </w:r>
      <w:r>
        <w:rPr/>
        <w:t>impact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tax</w:t>
      </w:r>
      <w:r>
        <w:rPr>
          <w:spacing w:val="-11"/>
        </w:rPr>
        <w:t> </w:t>
      </w:r>
      <w:r>
        <w:rPr/>
        <w:t>aggressiveness</w:t>
      </w:r>
      <w:r>
        <w:rPr>
          <w:spacing w:val="-11"/>
        </w:rPr>
        <w:t> </w:t>
      </w:r>
      <w:r>
        <w:rPr/>
        <w:t>among</w:t>
      </w:r>
      <w:r>
        <w:rPr>
          <w:spacing w:val="-6"/>
        </w:rPr>
        <w:t> </w:t>
      </w:r>
      <w:r>
        <w:rPr/>
        <w:t>quoted</w:t>
      </w:r>
      <w:r>
        <w:rPr>
          <w:spacing w:val="-8"/>
        </w:rPr>
        <w:t> </w:t>
      </w:r>
      <w:r>
        <w:rPr/>
        <w:t>manufacturing</w:t>
      </w:r>
      <w:r>
        <w:rPr>
          <w:spacing w:val="-11"/>
        </w:rPr>
        <w:t> </w:t>
      </w:r>
      <w:r>
        <w:rPr/>
        <w:t>firms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same vein, Ogbeide and Obaretin (2018) examined corporate governance mechanisms and tax</w:t>
      </w:r>
      <w:r>
        <w:rPr>
          <w:spacing w:val="-57"/>
        </w:rPr>
        <w:t> </w:t>
      </w:r>
      <w:r>
        <w:rPr/>
        <w:t>aggressiveness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listed</w:t>
      </w:r>
      <w:r>
        <w:rPr>
          <w:spacing w:val="23"/>
        </w:rPr>
        <w:t> </w:t>
      </w:r>
      <w:r>
        <w:rPr/>
        <w:t>firms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Nigeria.</w:t>
      </w:r>
      <w:r>
        <w:rPr>
          <w:spacing w:val="21"/>
        </w:rPr>
        <w:t> </w:t>
      </w:r>
      <w:r>
        <w:rPr/>
        <w:t>Eighty-</w:t>
      </w:r>
      <w:r>
        <w:rPr>
          <w:spacing w:val="19"/>
        </w:rPr>
        <w:t> </w:t>
      </w:r>
      <w:r>
        <w:rPr/>
        <w:t>five</w:t>
      </w:r>
      <w:r>
        <w:rPr>
          <w:spacing w:val="20"/>
        </w:rPr>
        <w:t> </w:t>
      </w:r>
      <w:r>
        <w:rPr/>
        <w:t>(85)</w:t>
      </w:r>
      <w:r>
        <w:rPr>
          <w:spacing w:val="18"/>
        </w:rPr>
        <w:t> </w:t>
      </w:r>
      <w:r>
        <w:rPr/>
        <w:t>quoted</w:t>
      </w:r>
      <w:r>
        <w:rPr>
          <w:spacing w:val="19"/>
        </w:rPr>
        <w:t> </w:t>
      </w:r>
      <w:r>
        <w:rPr/>
        <w:t>non-</w:t>
      </w:r>
      <w:r>
        <w:rPr>
          <w:spacing w:val="20"/>
        </w:rPr>
        <w:t> </w:t>
      </w:r>
      <w:r>
        <w:rPr/>
        <w:t>financial</w:t>
      </w:r>
      <w:r>
        <w:rPr>
          <w:spacing w:val="20"/>
        </w:rPr>
        <w:t> </w:t>
      </w:r>
      <w:r>
        <w:rPr/>
        <w:t>firms</w:t>
      </w:r>
      <w:r>
        <w:rPr>
          <w:spacing w:val="21"/>
        </w:rPr>
        <w:t> </w:t>
      </w:r>
      <w:r>
        <w:rPr/>
        <w:t>were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drawing>
          <wp:anchor distT="0" distB="0" distL="0" distR="0" allowOverlap="1" layoutInCell="1" locked="0" behindDoc="1" simplePos="0" relativeHeight="454064640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3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selected and data were collected over the period 2012 to 2016. The results obtained reveal that</w:t>
      </w:r>
      <w:r>
        <w:rPr>
          <w:spacing w:val="-57"/>
        </w:rPr>
        <w:t> </w:t>
      </w:r>
      <w:r>
        <w:rPr/>
        <w:t>board independence were significant and exert negative influence on tax aggressiveness of</w:t>
      </w:r>
      <w:r>
        <w:rPr>
          <w:spacing w:val="1"/>
        </w:rPr>
        <w:t> </w:t>
      </w:r>
      <w:r>
        <w:rPr/>
        <w:t>firms in Nigeria. In contrast, Zemzem and Flouhi (2013) using panel regression method for a</w:t>
      </w:r>
      <w:r>
        <w:rPr>
          <w:spacing w:val="1"/>
        </w:rPr>
        <w:t> </w:t>
      </w:r>
      <w:r>
        <w:rPr/>
        <w:t>sample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73</w:t>
      </w:r>
      <w:r>
        <w:rPr>
          <w:spacing w:val="-3"/>
        </w:rPr>
        <w:t> </w:t>
      </w:r>
      <w:r>
        <w:rPr/>
        <w:t>French</w:t>
      </w:r>
      <w:r>
        <w:rPr>
          <w:spacing w:val="-5"/>
        </w:rPr>
        <w:t> </w:t>
      </w:r>
      <w:r>
        <w:rPr/>
        <w:t>companies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period</w:t>
      </w:r>
      <w:r>
        <w:rPr>
          <w:spacing w:val="-6"/>
        </w:rPr>
        <w:t> </w:t>
      </w:r>
      <w:r>
        <w:rPr/>
        <w:t>2006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2010</w:t>
      </w:r>
      <w:r>
        <w:rPr>
          <w:spacing w:val="-5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higher</w:t>
      </w:r>
      <w:r>
        <w:rPr>
          <w:spacing w:val="-6"/>
        </w:rPr>
        <w:t> </w:t>
      </w:r>
      <w:r>
        <w:rPr/>
        <w:t>proportion</w:t>
      </w:r>
      <w:r>
        <w:rPr>
          <w:spacing w:val="-57"/>
        </w:rPr>
        <w:t> </w:t>
      </w:r>
      <w:r>
        <w:rPr/>
        <w:t>of outside members failed to influence tax aggressiveness. Also corroborating our finding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Ying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existed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of independent directors and tax</w:t>
      </w:r>
      <w:r>
        <w:rPr>
          <w:spacing w:val="1"/>
        </w:rPr>
        <w:t> </w:t>
      </w:r>
      <w:r>
        <w:rPr/>
        <w:t>aggressiveness.</w:t>
      </w:r>
    </w:p>
    <w:p>
      <w:pPr>
        <w:pStyle w:val="Heading1"/>
        <w:numPr>
          <w:ilvl w:val="2"/>
          <w:numId w:val="31"/>
        </w:numPr>
        <w:tabs>
          <w:tab w:pos="1363" w:val="left" w:leader="none"/>
        </w:tabs>
        <w:spacing w:line="240" w:lineRule="auto" w:before="203" w:after="0"/>
        <w:ind w:left="1362" w:right="0" w:hanging="541"/>
        <w:jc w:val="both"/>
      </w:pPr>
      <w:bookmarkStart w:name="_bookmark94" w:id="151"/>
      <w:bookmarkEnd w:id="151"/>
      <w:r>
        <w:rPr>
          <w:b w:val="0"/>
        </w:rPr>
      </w:r>
      <w:bookmarkStart w:name="_bookmark94" w:id="152"/>
      <w:bookmarkEnd w:id="152"/>
      <w:r>
        <w:rPr/>
        <w:t>Boa</w:t>
      </w:r>
      <w:r>
        <w:rPr/>
        <w:t>rd</w:t>
      </w:r>
      <w:r>
        <w:rPr>
          <w:spacing w:val="-2"/>
        </w:rPr>
        <w:t> </w:t>
      </w:r>
      <w:r>
        <w:rPr/>
        <w:t>Size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Tax</w:t>
      </w:r>
      <w:r>
        <w:rPr>
          <w:spacing w:val="-3"/>
        </w:rPr>
        <w:t> </w:t>
      </w:r>
      <w:r>
        <w:rPr/>
        <w:t>Aggressiveness</w:t>
      </w:r>
    </w:p>
    <w:p>
      <w:pPr>
        <w:pStyle w:val="BodyText"/>
        <w:spacing w:before="3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0"/>
      </w:pPr>
      <w:r>
        <w:rPr/>
        <w:t>BDS</w:t>
      </w:r>
      <w:r>
        <w:rPr>
          <w:spacing w:val="-6"/>
        </w:rPr>
        <w:t> </w:t>
      </w:r>
      <w:r>
        <w:rPr/>
        <w:t>has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coefficient</w:t>
      </w:r>
      <w:r>
        <w:rPr>
          <w:spacing w:val="-5"/>
        </w:rPr>
        <w:t> </w:t>
      </w:r>
      <w:r>
        <w:rPr/>
        <w:t>(-0.0042)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(p=0.0036)</w:t>
      </w:r>
      <w:r>
        <w:rPr>
          <w:spacing w:val="-4"/>
        </w:rPr>
        <w:t> </w:t>
      </w:r>
      <w:r>
        <w:rPr/>
        <w:t>at</w:t>
      </w:r>
      <w:r>
        <w:rPr>
          <w:spacing w:val="-6"/>
        </w:rPr>
        <w:t> </w:t>
      </w:r>
      <w:r>
        <w:rPr/>
        <w:t>5%.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5"/>
        </w:rPr>
        <w:t> </w:t>
      </w:r>
      <w:r>
        <w:rPr/>
        <w:t>suggest</w:t>
      </w:r>
      <w:r>
        <w:rPr>
          <w:spacing w:val="-58"/>
        </w:rPr>
        <w:t> </w:t>
      </w:r>
      <w:r>
        <w:rPr/>
        <w:t>that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increase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</w:t>
      </w:r>
      <w:r>
        <w:rPr>
          <w:spacing w:val="-5"/>
        </w:rPr>
        <w:t> </w:t>
      </w:r>
      <w:r>
        <w:rPr/>
        <w:t>size</w:t>
      </w:r>
      <w:r>
        <w:rPr>
          <w:spacing w:val="-2"/>
        </w:rPr>
        <w:t> </w:t>
      </w:r>
      <w:r>
        <w:rPr/>
        <w:t>results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reduction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tax</w:t>
      </w:r>
      <w:r>
        <w:rPr>
          <w:spacing w:val="-3"/>
        </w:rPr>
        <w:t> </w:t>
      </w:r>
      <w:r>
        <w:rPr/>
        <w:t>paid/</w:t>
      </w:r>
      <w:r>
        <w:rPr>
          <w:spacing w:val="-2"/>
        </w:rPr>
        <w:t> </w:t>
      </w:r>
      <w:r>
        <w:rPr/>
        <w:t>pre-tax</w:t>
      </w:r>
      <w:r>
        <w:rPr>
          <w:spacing w:val="-3"/>
        </w:rPr>
        <w:t> </w:t>
      </w:r>
      <w:r>
        <w:rPr/>
        <w:t>income</w:t>
      </w:r>
      <w:r>
        <w:rPr>
          <w:spacing w:val="-1"/>
        </w:rPr>
        <w:t> </w:t>
      </w:r>
      <w:r>
        <w:rPr/>
        <w:t>ratio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this implies an increase in tax aggressiveness. The analysis of the threshold estimation results,</w:t>
      </w:r>
      <w:r>
        <w:rPr>
          <w:spacing w:val="-57"/>
        </w:rPr>
        <w:t> </w:t>
      </w:r>
      <w:r>
        <w:rPr/>
        <w:t>reveals that when BDS is less than seven (&lt;7), the effect on tax aggressiveness tends to be</w:t>
      </w:r>
      <w:r>
        <w:rPr>
          <w:spacing w:val="1"/>
        </w:rPr>
        <w:t> </w:t>
      </w:r>
      <w:r>
        <w:rPr/>
        <w:t>negative (-0.0131) but this is not statistically significant at 5% (0.0624), moving the threshold</w:t>
      </w:r>
      <w:r>
        <w:rPr>
          <w:spacing w:val="1"/>
        </w:rPr>
        <w:t> </w:t>
      </w:r>
      <w:r>
        <w:rPr/>
        <w:t>to between 7-11, the negative coefficient is still maintained (-0.0008) though not significant at</w:t>
      </w:r>
      <w:r>
        <w:rPr>
          <w:spacing w:val="-57"/>
        </w:rPr>
        <w:t> </w:t>
      </w:r>
      <w:r>
        <w:rPr/>
        <w:t>5% (0.870). Furthermore, at BDS between 11-18, the negative coefficient holds (-0.0116)</w:t>
      </w:r>
      <w:r>
        <w:rPr>
          <w:spacing w:val="1"/>
        </w:rPr>
        <w:t> </w:t>
      </w:r>
      <w:r>
        <w:rPr/>
        <w:t>though not significant at 5% (0.0704). The results thus suggest that though BDS in the fixed</w:t>
      </w:r>
      <w:r>
        <w:rPr>
          <w:spacing w:val="1"/>
        </w:rPr>
        <w:t> </w:t>
      </w:r>
      <w:r>
        <w:rPr/>
        <w:t>estimation</w:t>
      </w:r>
      <w:r>
        <w:rPr>
          <w:spacing w:val="-11"/>
        </w:rPr>
        <w:t> </w:t>
      </w:r>
      <w:r>
        <w:rPr/>
        <w:t>output,</w:t>
      </w:r>
      <w:r>
        <w:rPr>
          <w:spacing w:val="-11"/>
        </w:rPr>
        <w:t> </w:t>
      </w:r>
      <w:r>
        <w:rPr/>
        <w:t>has</w:t>
      </w:r>
      <w:r>
        <w:rPr>
          <w:spacing w:val="-11"/>
        </w:rPr>
        <w:t> </w:t>
      </w:r>
      <w:r>
        <w:rPr/>
        <w:t>been</w:t>
      </w:r>
      <w:r>
        <w:rPr>
          <w:spacing w:val="-11"/>
        </w:rPr>
        <w:t> </w:t>
      </w:r>
      <w:r>
        <w:rPr/>
        <w:t>seen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significantly</w:t>
      </w:r>
      <w:r>
        <w:rPr>
          <w:spacing w:val="-11"/>
        </w:rPr>
        <w:t> </w:t>
      </w:r>
      <w:r>
        <w:rPr/>
        <w:t>impact</w:t>
      </w:r>
      <w:r>
        <w:rPr>
          <w:spacing w:val="-11"/>
        </w:rPr>
        <w:t> </w:t>
      </w:r>
      <w:r>
        <w:rPr/>
        <w:t>tax</w:t>
      </w:r>
      <w:r>
        <w:rPr>
          <w:spacing w:val="-9"/>
        </w:rPr>
        <w:t> </w:t>
      </w:r>
      <w:r>
        <w:rPr/>
        <w:t>aggressiveness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such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in the board size results in a reduction in the tax paid/ pre-tax income ratio and this implies an</w:t>
      </w:r>
      <w:r>
        <w:rPr>
          <w:spacing w:val="1"/>
        </w:rPr>
        <w:t> </w:t>
      </w:r>
      <w:r>
        <w:rPr/>
        <w:t>increase in tax aggressive practices, there is no identified significant threshold restriction on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relationship.</w:t>
      </w:r>
    </w:p>
    <w:p>
      <w:pPr>
        <w:pStyle w:val="BodyText"/>
        <w:spacing w:line="480" w:lineRule="auto" w:before="121"/>
        <w:ind w:right="828"/>
      </w:pPr>
      <w:r>
        <w:rPr/>
        <w:t>Large</w:t>
      </w:r>
      <w:r>
        <w:rPr>
          <w:spacing w:val="-15"/>
        </w:rPr>
        <w:t> </w:t>
      </w:r>
      <w:r>
        <w:rPr/>
        <w:t>boards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generally</w:t>
      </w:r>
      <w:r>
        <w:rPr>
          <w:spacing w:val="-13"/>
        </w:rPr>
        <w:t> </w:t>
      </w:r>
      <w:r>
        <w:rPr/>
        <w:t>perceived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being</w:t>
      </w:r>
      <w:r>
        <w:rPr>
          <w:spacing w:val="-13"/>
        </w:rPr>
        <w:t> </w:t>
      </w:r>
      <w:r>
        <w:rPr/>
        <w:t>less</w:t>
      </w:r>
      <w:r>
        <w:rPr>
          <w:spacing w:val="-9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exchange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ideas,</w:t>
      </w:r>
      <w:r>
        <w:rPr>
          <w:spacing w:val="-12"/>
        </w:rPr>
        <w:t> </w:t>
      </w:r>
      <w:r>
        <w:rPr/>
        <w:t>promoting</w:t>
      </w:r>
      <w:r>
        <w:rPr>
          <w:spacing w:val="-58"/>
        </w:rPr>
        <w:t> </w:t>
      </w:r>
      <w:r>
        <w:rPr/>
        <w:t>coalition between board members (Firth, Fung &amp; Ruin, 2007) as well as impinging aggressive</w:t>
      </w:r>
      <w:r>
        <w:rPr>
          <w:spacing w:val="-57"/>
        </w:rPr>
        <w:t> </w:t>
      </w:r>
      <w:r>
        <w:rPr/>
        <w:t>tax measures. In the same vein, Gonzalez and Garcia-Meca (2013) believed that excessive</w:t>
      </w:r>
      <w:r>
        <w:rPr>
          <w:spacing w:val="1"/>
        </w:rPr>
        <w:t> </w:t>
      </w:r>
      <w:r>
        <w:rPr/>
        <w:t>board</w:t>
      </w:r>
      <w:r>
        <w:rPr>
          <w:spacing w:val="-9"/>
        </w:rPr>
        <w:t> </w:t>
      </w:r>
      <w:r>
        <w:rPr/>
        <w:t>size</w:t>
      </w:r>
      <w:r>
        <w:rPr>
          <w:spacing w:val="-9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obstacle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speed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efficiency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decision-making</w:t>
      </w:r>
      <w:r>
        <w:rPr>
          <w:spacing w:val="-8"/>
        </w:rPr>
        <w:t> </w:t>
      </w:r>
      <w:r>
        <w:rPr/>
        <w:t>of</w:t>
      </w:r>
      <w:r>
        <w:rPr>
          <w:spacing w:val="-4"/>
        </w:rPr>
        <w:t> </w:t>
      </w:r>
      <w:r>
        <w:rPr/>
        <w:t>organization</w:t>
      </w:r>
      <w:r>
        <w:rPr>
          <w:spacing w:val="-9"/>
        </w:rPr>
        <w:t> </w:t>
      </w:r>
      <w:r>
        <w:rPr/>
        <w:t>owing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7"/>
      </w:pPr>
      <w:r>
        <w:rPr/>
        <w:drawing>
          <wp:anchor distT="0" distB="0" distL="0" distR="0" allowOverlap="1" layoutInCell="1" locked="0" behindDoc="1" simplePos="0" relativeHeight="45406515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3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 the factor that it may cause coordination and communication problems among members of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board.</w:t>
      </w:r>
      <w:r>
        <w:rPr>
          <w:spacing w:val="-11"/>
        </w:rPr>
        <w:t> </w:t>
      </w:r>
      <w:r>
        <w:rPr/>
        <w:t>Our</w:t>
      </w:r>
      <w:r>
        <w:rPr>
          <w:spacing w:val="-12"/>
        </w:rPr>
        <w:t> </w:t>
      </w:r>
      <w:r>
        <w:rPr/>
        <w:t>finding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consistent</w:t>
      </w:r>
      <w:r>
        <w:rPr>
          <w:spacing w:val="-10"/>
        </w:rPr>
        <w:t> </w:t>
      </w:r>
      <w:r>
        <w:rPr/>
        <w:t>with</w:t>
      </w:r>
      <w:r>
        <w:rPr>
          <w:spacing w:val="-11"/>
        </w:rPr>
        <w:t> </w:t>
      </w:r>
      <w:r>
        <w:rPr/>
        <w:t>Lanis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Richardson</w:t>
      </w:r>
      <w:r>
        <w:rPr>
          <w:spacing w:val="-11"/>
        </w:rPr>
        <w:t> </w:t>
      </w:r>
      <w:r>
        <w:rPr/>
        <w:t>(2011)</w:t>
      </w:r>
      <w:r>
        <w:rPr>
          <w:spacing w:val="-9"/>
        </w:rPr>
        <w:t> </w:t>
      </w:r>
      <w:r>
        <w:rPr/>
        <w:t>which</w:t>
      </w:r>
      <w:r>
        <w:rPr>
          <w:spacing w:val="-10"/>
        </w:rPr>
        <w:t> </w:t>
      </w:r>
      <w:r>
        <w:rPr/>
        <w:t>report</w:t>
      </w:r>
      <w:r>
        <w:rPr>
          <w:spacing w:val="-11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size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board</w:t>
      </w:r>
      <w:r>
        <w:rPr>
          <w:spacing w:val="-7"/>
        </w:rPr>
        <w:t> </w:t>
      </w:r>
      <w:r>
        <w:rPr/>
        <w:t>has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tax</w:t>
      </w:r>
      <w:r>
        <w:rPr>
          <w:spacing w:val="-7"/>
        </w:rPr>
        <w:t> </w:t>
      </w:r>
      <w:r>
        <w:rPr/>
        <w:t>aggressiveness.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contrast,</w:t>
      </w:r>
      <w:r>
        <w:rPr>
          <w:spacing w:val="-2"/>
        </w:rPr>
        <w:t> </w:t>
      </w:r>
      <w:r>
        <w:rPr/>
        <w:t>Aliani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Zarai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non-significance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 in the American context. They found that the number of directors does not</w:t>
      </w:r>
      <w:r>
        <w:rPr>
          <w:spacing w:val="1"/>
        </w:rPr>
        <w:t> </w:t>
      </w:r>
      <w:r>
        <w:rPr/>
        <w:t>influence the strategies to minimize tax expenses. Onyali and Okafor (2018) examined 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manufacturing firms in Nigeria. The outcome of the analysis of data revealed that board size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aggressiveness.</w:t>
      </w:r>
      <w:r>
        <w:rPr>
          <w:spacing w:val="1"/>
        </w:rPr>
        <w:t> </w:t>
      </w:r>
      <w:r>
        <w:rPr/>
        <w:t>Ogbeide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Obaretin</w:t>
      </w:r>
      <w:r>
        <w:rPr>
          <w:spacing w:val="1"/>
        </w:rPr>
        <w:t> </w:t>
      </w:r>
      <w:r>
        <w:rPr/>
        <w:t>(2018)</w:t>
      </w:r>
      <w:r>
        <w:rPr>
          <w:spacing w:val="1"/>
        </w:rPr>
        <w:t> </w:t>
      </w:r>
      <w:r>
        <w:rPr/>
        <w:t>examined</w:t>
      </w:r>
      <w:r>
        <w:rPr>
          <w:spacing w:val="-57"/>
        </w:rPr>
        <w:t> </w:t>
      </w:r>
      <w:r>
        <w:rPr/>
        <w:t>corporate governance mechanisms and tax aggressiveness of listed firms in Nigeria. Eighty-</w:t>
      </w:r>
      <w:r>
        <w:rPr>
          <w:spacing w:val="1"/>
        </w:rPr>
        <w:t> </w:t>
      </w:r>
      <w:r>
        <w:rPr/>
        <w:t>five</w:t>
      </w:r>
      <w:r>
        <w:rPr>
          <w:spacing w:val="-15"/>
        </w:rPr>
        <w:t> </w:t>
      </w:r>
      <w:r>
        <w:rPr/>
        <w:t>(85)</w:t>
      </w:r>
      <w:r>
        <w:rPr>
          <w:spacing w:val="-12"/>
        </w:rPr>
        <w:t> </w:t>
      </w:r>
      <w:r>
        <w:rPr/>
        <w:t>quoted</w:t>
      </w:r>
      <w:r>
        <w:rPr>
          <w:spacing w:val="-13"/>
        </w:rPr>
        <w:t> </w:t>
      </w:r>
      <w:r>
        <w:rPr/>
        <w:t>non-</w:t>
      </w:r>
      <w:r>
        <w:rPr>
          <w:spacing w:val="-12"/>
        </w:rPr>
        <w:t> </w:t>
      </w:r>
      <w:r>
        <w:rPr/>
        <w:t>financial</w:t>
      </w:r>
      <w:r>
        <w:rPr>
          <w:spacing w:val="-12"/>
        </w:rPr>
        <w:t> </w:t>
      </w:r>
      <w:r>
        <w:rPr/>
        <w:t>firms</w:t>
      </w:r>
      <w:r>
        <w:rPr>
          <w:spacing w:val="-12"/>
        </w:rPr>
        <w:t> </w:t>
      </w:r>
      <w:r>
        <w:rPr/>
        <w:t>were</w:t>
      </w:r>
      <w:r>
        <w:rPr>
          <w:spacing w:val="-15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and</w:t>
      </w:r>
      <w:r>
        <w:rPr>
          <w:spacing w:val="-13"/>
        </w:rPr>
        <w:t> </w:t>
      </w:r>
      <w:r>
        <w:rPr/>
        <w:t>data</w:t>
      </w:r>
      <w:r>
        <w:rPr>
          <w:spacing w:val="-11"/>
        </w:rPr>
        <w:t> </w:t>
      </w:r>
      <w:r>
        <w:rPr/>
        <w:t>were</w:t>
      </w:r>
      <w:r>
        <w:rPr>
          <w:spacing w:val="-13"/>
        </w:rPr>
        <w:t> </w:t>
      </w:r>
      <w:r>
        <w:rPr/>
        <w:t>collected</w:t>
      </w:r>
      <w:r>
        <w:rPr>
          <w:spacing w:val="-14"/>
        </w:rPr>
        <w:t> </w:t>
      </w:r>
      <w:r>
        <w:rPr/>
        <w:t>over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period</w:t>
      </w:r>
      <w:r>
        <w:rPr>
          <w:spacing w:val="-14"/>
        </w:rPr>
        <w:t> </w:t>
      </w:r>
      <w:r>
        <w:rPr/>
        <w:t>2012</w:t>
      </w:r>
      <w:r>
        <w:rPr>
          <w:spacing w:val="-57"/>
        </w:rPr>
        <w:t> </w:t>
      </w:r>
      <w:r>
        <w:rPr/>
        <w:t>to 2016. The results obtained reveal that board size negatively and significantly impact tax</w:t>
      </w:r>
      <w:r>
        <w:rPr>
          <w:spacing w:val="1"/>
        </w:rPr>
        <w:t> </w:t>
      </w:r>
      <w:r>
        <w:rPr/>
        <w:t>aggressiveness. Odoemela, Ironkwe and Nwaiwu (2016) findings of study revealed that there</w:t>
      </w:r>
      <w:r>
        <w:rPr>
          <w:spacing w:val="1"/>
        </w:rPr>
        <w:t> </w:t>
      </w:r>
      <w:r>
        <w:rPr/>
        <w:t>is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effect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Board</w:t>
      </w:r>
      <w:r>
        <w:rPr>
          <w:spacing w:val="-7"/>
        </w:rPr>
        <w:t> </w:t>
      </w:r>
      <w:r>
        <w:rPr/>
        <w:t>Size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Tax</w:t>
      </w:r>
      <w:r>
        <w:rPr>
          <w:spacing w:val="-6"/>
        </w:rPr>
        <w:t> </w:t>
      </w:r>
      <w:r>
        <w:rPr/>
        <w:t>savings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Firms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Nigeria.</w:t>
      </w:r>
      <w:r>
        <w:rPr>
          <w:spacing w:val="-4"/>
        </w:rPr>
        <w:t> </w:t>
      </w:r>
      <w:r>
        <w:rPr/>
        <w:t>Uniamikogbo,</w:t>
      </w:r>
      <w:r>
        <w:rPr>
          <w:spacing w:val="-57"/>
        </w:rPr>
        <w:t> </w:t>
      </w:r>
      <w:r>
        <w:rPr/>
        <w:t>Bennee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Adeusi.</w:t>
      </w:r>
      <w:r>
        <w:rPr>
          <w:spacing w:val="1"/>
        </w:rPr>
        <w:t> </w:t>
      </w:r>
      <w:r>
        <w:rPr/>
        <w:t>(2019)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 in Nigeria. Findings from the study showed that a positive and significant</w:t>
      </w:r>
      <w:r>
        <w:rPr>
          <w:spacing w:val="1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exists between board size</w:t>
      </w:r>
      <w:r>
        <w:rPr>
          <w:spacing w:val="-1"/>
        </w:rPr>
        <w:t> </w:t>
      </w:r>
      <w:r>
        <w:rPr/>
        <w:t>and tax</w:t>
      </w:r>
      <w:r>
        <w:rPr>
          <w:spacing w:val="1"/>
        </w:rPr>
        <w:t> </w:t>
      </w:r>
      <w:r>
        <w:rPr/>
        <w:t>aggressiveness.</w:t>
      </w:r>
    </w:p>
    <w:p>
      <w:pPr>
        <w:pStyle w:val="Heading1"/>
        <w:spacing w:before="122"/>
        <w:ind w:left="822"/>
      </w:pPr>
      <w:bookmarkStart w:name="_bookmark95" w:id="153"/>
      <w:bookmarkEnd w:id="153"/>
      <w:r>
        <w:rPr>
          <w:b w:val="0"/>
        </w:rPr>
      </w:r>
      <w:r>
        <w:rPr/>
        <w:t>5.3.</w:t>
      </w:r>
      <w:r>
        <w:rPr>
          <w:spacing w:val="-2"/>
        </w:rPr>
        <w:t> </w:t>
      </w:r>
      <w:r>
        <w:rPr/>
        <w:t>Board</w:t>
      </w:r>
      <w:r>
        <w:rPr>
          <w:spacing w:val="-2"/>
        </w:rPr>
        <w:t> </w:t>
      </w:r>
      <w:r>
        <w:rPr/>
        <w:t>gender</w:t>
      </w:r>
      <w:r>
        <w:rPr>
          <w:spacing w:val="-3"/>
        </w:rPr>
        <w:t> </w:t>
      </w:r>
      <w:r>
        <w:rPr/>
        <w:t>diversity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tax</w:t>
      </w:r>
      <w:r>
        <w:rPr>
          <w:spacing w:val="-2"/>
        </w:rPr>
        <w:t> </w:t>
      </w:r>
      <w:r>
        <w:rPr/>
        <w:t>aggressiveness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6"/>
      </w:pPr>
      <w:r>
        <w:rPr/>
        <w:t>From the board structure estimation results in table 4.5, Board gender Diversity has a positive</w:t>
      </w:r>
      <w:r>
        <w:rPr>
          <w:spacing w:val="1"/>
        </w:rPr>
        <w:t> </w:t>
      </w:r>
      <w:r>
        <w:rPr/>
        <w:t>coefficient (0.0600) though not significant (p=0.0916) at 5%. The results suggest that an</w:t>
      </w:r>
      <w:r>
        <w:rPr>
          <w:spacing w:val="1"/>
        </w:rPr>
        <w:t> </w:t>
      </w:r>
      <w:r>
        <w:rPr/>
        <w:t>increase in the board gender diversity of boards results in an increase in the tax paid/ pre-tax</w:t>
      </w:r>
      <w:r>
        <w:rPr>
          <w:spacing w:val="1"/>
        </w:rPr>
        <w:t> </w:t>
      </w:r>
      <w:r>
        <w:rPr/>
        <w:t>income ratio and this implies less tax aggressiveness activity though the outcome is not</w:t>
      </w:r>
      <w:r>
        <w:rPr>
          <w:spacing w:val="1"/>
        </w:rPr>
        <w:t> </w:t>
      </w:r>
      <w:r>
        <w:rPr/>
        <w:t>significant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5%.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threshold</w:t>
      </w:r>
      <w:r>
        <w:rPr>
          <w:spacing w:val="-4"/>
        </w:rPr>
        <w:t> </w:t>
      </w:r>
      <w:r>
        <w:rPr/>
        <w:t>estimation</w:t>
      </w:r>
      <w:r>
        <w:rPr>
          <w:spacing w:val="-6"/>
        </w:rPr>
        <w:t> </w:t>
      </w:r>
      <w:r>
        <w:rPr/>
        <w:t>results,</w:t>
      </w:r>
      <w:r>
        <w:rPr>
          <w:spacing w:val="-6"/>
        </w:rPr>
        <w:t> </w:t>
      </w:r>
      <w:r>
        <w:rPr/>
        <w:t>reveals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BGD</w:t>
      </w:r>
      <w:r>
        <w:rPr>
          <w:spacing w:val="-5"/>
        </w:rPr>
        <w:t> </w:t>
      </w:r>
      <w:r>
        <w:rPr/>
        <w:t>ratio</w:t>
      </w:r>
      <w:r>
        <w:rPr>
          <w:spacing w:val="-58"/>
        </w:rPr>
        <w:t> </w:t>
      </w:r>
      <w:r>
        <w:rPr/>
        <w:t>is</w:t>
      </w:r>
      <w:r>
        <w:rPr>
          <w:spacing w:val="50"/>
        </w:rPr>
        <w:t> </w:t>
      </w:r>
      <w:r>
        <w:rPr>
          <w:sz w:val="20"/>
          <w:u w:val="single"/>
        </w:rPr>
        <w:t>&lt;</w:t>
      </w:r>
      <w:r>
        <w:rPr>
          <w:spacing w:val="45"/>
          <w:sz w:val="20"/>
        </w:rPr>
        <w:t> </w:t>
      </w:r>
      <w:r>
        <w:rPr>
          <w:sz w:val="20"/>
        </w:rPr>
        <w:t>0</w:t>
      </w:r>
      <w:r>
        <w:rPr/>
        <w:t>,</w:t>
      </w:r>
      <w:r>
        <w:rPr>
          <w:spacing w:val="47"/>
        </w:rPr>
        <w:t> </w:t>
      </w:r>
      <w:r>
        <w:rPr/>
        <w:t>the</w:t>
      </w:r>
      <w:r>
        <w:rPr>
          <w:spacing w:val="48"/>
        </w:rPr>
        <w:t> </w:t>
      </w:r>
      <w:r>
        <w:rPr/>
        <w:t>effect</w:t>
      </w:r>
      <w:r>
        <w:rPr>
          <w:spacing w:val="50"/>
        </w:rPr>
        <w:t> </w:t>
      </w:r>
      <w:r>
        <w:rPr/>
        <w:t>on</w:t>
      </w:r>
      <w:r>
        <w:rPr>
          <w:spacing w:val="49"/>
        </w:rPr>
        <w:t> </w:t>
      </w:r>
      <w:r>
        <w:rPr/>
        <w:t>tax</w:t>
      </w:r>
      <w:r>
        <w:rPr>
          <w:spacing w:val="51"/>
        </w:rPr>
        <w:t> </w:t>
      </w:r>
      <w:r>
        <w:rPr/>
        <w:t>aggressiveness</w:t>
      </w:r>
      <w:r>
        <w:rPr>
          <w:spacing w:val="49"/>
        </w:rPr>
        <w:t> </w:t>
      </w:r>
      <w:r>
        <w:rPr/>
        <w:t>tends</w:t>
      </w:r>
      <w:r>
        <w:rPr>
          <w:spacing w:val="49"/>
        </w:rPr>
        <w:t> </w:t>
      </w:r>
      <w:r>
        <w:rPr/>
        <w:t>to</w:t>
      </w:r>
      <w:r>
        <w:rPr>
          <w:spacing w:val="51"/>
        </w:rPr>
        <w:t> </w:t>
      </w:r>
      <w:r>
        <w:rPr/>
        <w:t>be</w:t>
      </w:r>
      <w:r>
        <w:rPr>
          <w:spacing w:val="49"/>
        </w:rPr>
        <w:t> </w:t>
      </w:r>
      <w:r>
        <w:rPr/>
        <w:t>positive</w:t>
      </w:r>
      <w:r>
        <w:rPr>
          <w:spacing w:val="48"/>
        </w:rPr>
        <w:t> </w:t>
      </w:r>
      <w:r>
        <w:rPr/>
        <w:t>(0.1871)</w:t>
      </w:r>
      <w:r>
        <w:rPr>
          <w:spacing w:val="48"/>
        </w:rPr>
        <w:t> </w:t>
      </w:r>
      <w:r>
        <w:rPr/>
        <w:t>but</w:t>
      </w:r>
      <w:r>
        <w:rPr>
          <w:spacing w:val="50"/>
        </w:rPr>
        <w:t> </w:t>
      </w:r>
      <w:r>
        <w:rPr/>
        <w:t>not</w:t>
      </w:r>
      <w:r>
        <w:rPr>
          <w:spacing w:val="49"/>
        </w:rPr>
        <w:t> </w:t>
      </w:r>
      <w:r>
        <w:rPr/>
        <w:t>statistically</w:t>
      </w:r>
    </w:p>
    <w:p>
      <w:pPr>
        <w:pStyle w:val="BodyText"/>
        <w:spacing w:before="1"/>
        <w:jc w:val="left"/>
      </w:pPr>
      <w:r>
        <w:rPr/>
        <w:t>significant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5%</w:t>
      </w:r>
      <w:r>
        <w:rPr>
          <w:spacing w:val="5"/>
        </w:rPr>
        <w:t> </w:t>
      </w:r>
      <w:r>
        <w:rPr/>
        <w:t>(0.1447),</w:t>
      </w:r>
      <w:r>
        <w:rPr>
          <w:spacing w:val="5"/>
        </w:rPr>
        <w:t> </w:t>
      </w:r>
      <w:r>
        <w:rPr/>
        <w:t>at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threshold</w:t>
      </w:r>
      <w:r>
        <w:rPr>
          <w:spacing w:val="5"/>
        </w:rPr>
        <w:t> </w:t>
      </w:r>
      <w:r>
        <w:rPr/>
        <w:t>ratio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between</w:t>
      </w:r>
      <w:r>
        <w:rPr>
          <w:spacing w:val="5"/>
        </w:rPr>
        <w:t> </w:t>
      </w:r>
      <w:r>
        <w:rPr/>
        <w:t>0.1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0.11,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negative</w:t>
      </w:r>
      <w:r>
        <w:rPr>
          <w:spacing w:val="5"/>
        </w:rPr>
        <w:t> </w:t>
      </w:r>
      <w:r>
        <w:rPr/>
        <w:t>coefficient</w:t>
      </w:r>
    </w:p>
    <w:p>
      <w:pPr>
        <w:spacing w:after="0"/>
        <w:jc w:val="lef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drawing>
          <wp:anchor distT="0" distB="0" distL="0" distR="0" allowOverlap="1" layoutInCell="1" locked="0" behindDoc="1" simplePos="0" relativeHeight="45406566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41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is observed (-0.1971) though not significant at 5% (0.1266). Furthermore, at BGD ratio of</w:t>
      </w:r>
      <w:r>
        <w:rPr>
          <w:spacing w:val="1"/>
        </w:rPr>
        <w:t> </w:t>
      </w:r>
      <w:r>
        <w:rPr/>
        <w:t>between 0.11 and 0.22 depicts a positive coefficient (0.0961) though not significant at 5%</w:t>
      </w:r>
      <w:r>
        <w:rPr>
          <w:spacing w:val="1"/>
        </w:rPr>
        <w:t> </w:t>
      </w:r>
      <w:r>
        <w:rPr/>
        <w:t>(0.6650). The results tends to also corroborate the fixed effects estimation output as BGD</w:t>
      </w:r>
      <w:r>
        <w:rPr>
          <w:spacing w:val="1"/>
        </w:rPr>
        <w:t> </w:t>
      </w:r>
      <w:r>
        <w:rPr/>
        <w:t>exhibited a positive coefficient (0.0600) though not significant (p=0.0916) at 5%. The results</w:t>
      </w:r>
      <w:r>
        <w:rPr>
          <w:spacing w:val="1"/>
        </w:rPr>
        <w:t> </w:t>
      </w:r>
      <w:r>
        <w:rPr/>
        <w:t>suggest that an increase in the board gender diversity of boards’ results and from the threshold</w:t>
      </w:r>
      <w:r>
        <w:rPr>
          <w:spacing w:val="-57"/>
        </w:rPr>
        <w:t> </w:t>
      </w:r>
      <w:r>
        <w:rPr/>
        <w:t>results</w:t>
      </w:r>
      <w:r>
        <w:rPr>
          <w:spacing w:val="-1"/>
        </w:rPr>
        <w:t> </w:t>
      </w:r>
      <w:r>
        <w:rPr/>
        <w:t>there</w:t>
      </w:r>
      <w:r>
        <w:rPr>
          <w:spacing w:val="-1"/>
        </w:rPr>
        <w:t> </w:t>
      </w:r>
      <w:r>
        <w:rPr/>
        <w:t>is no identified</w:t>
      </w:r>
      <w:r>
        <w:rPr>
          <w:spacing w:val="-1"/>
        </w:rPr>
        <w:t> </w:t>
      </w:r>
      <w:r>
        <w:rPr/>
        <w:t>significant threshold restriction on this</w:t>
      </w:r>
      <w:r>
        <w:rPr>
          <w:spacing w:val="-1"/>
        </w:rPr>
        <w:t> </w:t>
      </w:r>
      <w:r>
        <w:rPr/>
        <w:t>relationship.</w:t>
      </w:r>
    </w:p>
    <w:p>
      <w:pPr>
        <w:pStyle w:val="BodyText"/>
        <w:spacing w:line="480" w:lineRule="auto" w:before="121"/>
        <w:ind w:right="828"/>
      </w:pPr>
      <w:r>
        <w:rPr/>
        <w:t>Given that women are generally more cautious and less motivated to bear excessive risks, the</w:t>
      </w:r>
      <w:r>
        <w:rPr>
          <w:spacing w:val="1"/>
        </w:rPr>
        <w:t> </w:t>
      </w:r>
      <w:r>
        <w:rPr/>
        <w:t>gender of the firm’s directors have been suggested to affect corporate polices and outcomes.</w:t>
      </w:r>
      <w:r>
        <w:rPr>
          <w:spacing w:val="1"/>
        </w:rPr>
        <w:t> </w:t>
      </w:r>
      <w:r>
        <w:rPr/>
        <w:t>The results tends to be consistent with Aliani et al. (2011) which found that there is a negative</w:t>
      </w:r>
      <w:r>
        <w:rPr>
          <w:spacing w:val="-57"/>
        </w:rPr>
        <w:t> </w:t>
      </w:r>
      <w:r>
        <w:rPr/>
        <w:t>effect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diversity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board</w:t>
      </w:r>
      <w:r>
        <w:rPr>
          <w:spacing w:val="1"/>
        </w:rPr>
        <w:t> </w:t>
      </w:r>
      <w:r>
        <w:rPr/>
        <w:t>of directors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optimization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consistent with Croson and Gneezy (2009) which found that that there is a negative effect of</w:t>
      </w:r>
      <w:r>
        <w:rPr>
          <w:spacing w:val="1"/>
        </w:rPr>
        <w:t> </w:t>
      </w:r>
      <w:r>
        <w:rPr/>
        <w:t>gender diversity of the board of directors on tax optimization. In addition, the non-significant</w:t>
      </w:r>
      <w:r>
        <w:rPr>
          <w:spacing w:val="1"/>
        </w:rPr>
        <w:t> </w:t>
      </w:r>
      <w:r>
        <w:rPr/>
        <w:t>of the variables in our study is supported by that of Aliani and Zarai (2012) which empirically</w:t>
      </w:r>
      <w:r>
        <w:rPr>
          <w:spacing w:val="-57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demographic</w:t>
      </w:r>
      <w:r>
        <w:rPr>
          <w:spacing w:val="-7"/>
        </w:rPr>
        <w:t> </w:t>
      </w:r>
      <w:r>
        <w:rPr/>
        <w:t>diversity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board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tax</w:t>
      </w:r>
      <w:r>
        <w:rPr>
          <w:spacing w:val="-7"/>
        </w:rPr>
        <w:t> </w:t>
      </w:r>
      <w:r>
        <w:rPr/>
        <w:t>planning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American</w:t>
      </w:r>
      <w:r>
        <w:rPr>
          <w:spacing w:val="-5"/>
        </w:rPr>
        <w:t> </w:t>
      </w:r>
      <w:r>
        <w:rPr/>
        <w:t>firms</w:t>
      </w:r>
      <w:r>
        <w:rPr>
          <w:spacing w:val="-6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period 1996 to 2009. A sample of 300 firms (S &amp; P 500) was selected. The data were</w:t>
      </w:r>
      <w:r>
        <w:rPr>
          <w:spacing w:val="1"/>
        </w:rPr>
        <w:t> </w:t>
      </w:r>
      <w:r>
        <w:rPr/>
        <w:t>analyzed with panel least square estimation method. The result revealed that gender diversity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tax</w:t>
      </w:r>
      <w:r>
        <w:rPr>
          <w:spacing w:val="-2"/>
        </w:rPr>
        <w:t> </w:t>
      </w:r>
      <w:r>
        <w:rPr/>
        <w:t>aggressiveness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 firms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the period considered. In the same vein, Richardson, Taylor and Lanis (2016) carried out a</w:t>
      </w:r>
      <w:r>
        <w:rPr>
          <w:spacing w:val="1"/>
        </w:rPr>
        <w:t> </w:t>
      </w:r>
      <w:r>
        <w:rPr/>
        <w:t>study to investigate the impact of women on the board of directors on corporate tax avoidance</w:t>
      </w:r>
      <w:r>
        <w:rPr>
          <w:spacing w:val="-57"/>
        </w:rPr>
        <w:t> </w:t>
      </w:r>
      <w:r>
        <w:rPr/>
        <w:t>in Australia. Multivariate regression analysis was used to test the association between the</w:t>
      </w:r>
      <w:r>
        <w:rPr>
          <w:spacing w:val="1"/>
        </w:rPr>
        <w:t> </w:t>
      </w:r>
      <w:r>
        <w:rPr/>
        <w:t>presence of female directors on the board and tax aggressiveness. Findings from the 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directors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aggressiveness.</w:t>
      </w:r>
      <w:r>
        <w:rPr>
          <w:spacing w:val="-9"/>
        </w:rPr>
        <w:t> </w:t>
      </w:r>
      <w:r>
        <w:rPr/>
        <w:t>Also</w:t>
      </w:r>
      <w:r>
        <w:rPr>
          <w:spacing w:val="-12"/>
        </w:rPr>
        <w:t> </w:t>
      </w:r>
      <w:r>
        <w:rPr/>
        <w:t>corroborating</w:t>
      </w:r>
      <w:r>
        <w:rPr>
          <w:spacing w:val="-11"/>
        </w:rPr>
        <w:t> </w:t>
      </w:r>
      <w:r>
        <w:rPr/>
        <w:t>our</w:t>
      </w:r>
      <w:r>
        <w:rPr>
          <w:spacing w:val="-13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especially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direction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relationship,</w:t>
      </w:r>
      <w:r>
        <w:rPr>
          <w:spacing w:val="-12"/>
        </w:rPr>
        <w:t> </w:t>
      </w:r>
      <w:r>
        <w:rPr/>
        <w:t>Lanis</w:t>
      </w:r>
      <w:r>
        <w:rPr>
          <w:spacing w:val="-58"/>
        </w:rPr>
        <w:t> </w:t>
      </w:r>
      <w:r>
        <w:rPr/>
        <w:t>and Richardson (2015) carried out a study to examine the impact of board of director gender</w:t>
      </w:r>
      <w:r>
        <w:rPr>
          <w:spacing w:val="1"/>
        </w:rPr>
        <w:t> </w:t>
      </w:r>
      <w:r>
        <w:rPr/>
        <w:t>diversity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corporate</w:t>
      </w:r>
      <w:r>
        <w:rPr>
          <w:spacing w:val="15"/>
        </w:rPr>
        <w:t> </w:t>
      </w:r>
      <w:r>
        <w:rPr/>
        <w:t>tax</w:t>
      </w:r>
      <w:r>
        <w:rPr>
          <w:spacing w:val="15"/>
        </w:rPr>
        <w:t> </w:t>
      </w:r>
      <w:r>
        <w:rPr/>
        <w:t>aggressiveness.</w:t>
      </w:r>
      <w:r>
        <w:rPr>
          <w:spacing w:val="16"/>
        </w:rPr>
        <w:t> </w:t>
      </w:r>
      <w:r>
        <w:rPr/>
        <w:t>Based</w:t>
      </w:r>
      <w:r>
        <w:rPr>
          <w:spacing w:val="17"/>
        </w:rPr>
        <w:t> </w:t>
      </w:r>
      <w:r>
        <w:rPr/>
        <w:t>on</w:t>
      </w:r>
      <w:r>
        <w:rPr>
          <w:spacing w:val="14"/>
        </w:rPr>
        <w:t> </w:t>
      </w:r>
      <w:r>
        <w:rPr/>
        <w:t>a</w:t>
      </w:r>
      <w:r>
        <w:rPr>
          <w:spacing w:val="14"/>
        </w:rPr>
        <w:t> </w:t>
      </w:r>
      <w:r>
        <w:rPr/>
        <w:t>sample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418</w:t>
      </w:r>
      <w:r>
        <w:rPr>
          <w:spacing w:val="15"/>
        </w:rPr>
        <w:t> </w:t>
      </w:r>
      <w:r>
        <w:rPr/>
        <w:t>U.S.</w:t>
      </w:r>
      <w:r>
        <w:rPr>
          <w:spacing w:val="16"/>
        </w:rPr>
        <w:t> </w:t>
      </w:r>
      <w:r>
        <w:rPr/>
        <w:t>firms</w:t>
      </w:r>
      <w:r>
        <w:rPr>
          <w:spacing w:val="16"/>
        </w:rPr>
        <w:t> </w:t>
      </w:r>
      <w:r>
        <w:rPr/>
        <w:t>covering</w:t>
      </w:r>
      <w:r>
        <w:rPr>
          <w:spacing w:val="15"/>
        </w:rPr>
        <w:t> </w:t>
      </w:r>
      <w:r>
        <w:rPr/>
        <w:t>the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drawing>
          <wp:anchor distT="0" distB="0" distL="0" distR="0" allowOverlap="1" layoutInCell="1" locked="0" behindDoc="1" simplePos="0" relativeHeight="454066176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4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2006–2009</w:t>
      </w:r>
      <w:r>
        <w:rPr>
          <w:spacing w:val="-9"/>
        </w:rPr>
        <w:t> </w:t>
      </w:r>
      <w:r>
        <w:rPr/>
        <w:t>period</w:t>
      </w:r>
      <w:r>
        <w:rPr>
          <w:spacing w:val="-9"/>
        </w:rPr>
        <w:t> </w:t>
      </w:r>
      <w:r>
        <w:rPr/>
        <w:t>(1672</w:t>
      </w:r>
      <w:r>
        <w:rPr>
          <w:spacing w:val="-5"/>
        </w:rPr>
        <w:t> </w:t>
      </w:r>
      <w:r>
        <w:rPr/>
        <w:t>firm-year</w:t>
      </w:r>
      <w:r>
        <w:rPr>
          <w:spacing w:val="-9"/>
        </w:rPr>
        <w:t> </w:t>
      </w:r>
      <w:r>
        <w:rPr/>
        <w:t>observations),</w:t>
      </w:r>
      <w:r>
        <w:rPr>
          <w:spacing w:val="-9"/>
        </w:rPr>
        <w:t> </w:t>
      </w:r>
      <w:r>
        <w:rPr/>
        <w:t>their</w:t>
      </w:r>
      <w:r>
        <w:rPr>
          <w:spacing w:val="-9"/>
        </w:rPr>
        <w:t> </w:t>
      </w:r>
      <w:r>
        <w:rPr/>
        <w:t>ordinary</w:t>
      </w:r>
      <w:r>
        <w:rPr>
          <w:spacing w:val="-9"/>
        </w:rPr>
        <w:t> </w:t>
      </w:r>
      <w:r>
        <w:rPr/>
        <w:t>least</w:t>
      </w:r>
      <w:r>
        <w:rPr>
          <w:spacing w:val="-8"/>
        </w:rPr>
        <w:t> </w:t>
      </w:r>
      <w:r>
        <w:rPr/>
        <w:t>squares</w:t>
      </w:r>
      <w:r>
        <w:rPr>
          <w:spacing w:val="-7"/>
        </w:rPr>
        <w:t> </w:t>
      </w:r>
      <w:r>
        <w:rPr/>
        <w:t>regression</w:t>
      </w:r>
      <w:r>
        <w:rPr>
          <w:spacing w:val="-9"/>
        </w:rPr>
        <w:t> </w:t>
      </w:r>
      <w:r>
        <w:rPr/>
        <w:t>results</w:t>
      </w:r>
      <w:r>
        <w:rPr>
          <w:spacing w:val="-58"/>
        </w:rPr>
        <w:t> </w:t>
      </w:r>
      <w:r>
        <w:rPr/>
        <w:t>show a negative and statistically significant association between female representation on the</w:t>
      </w:r>
      <w:r>
        <w:rPr>
          <w:spacing w:val="1"/>
        </w:rPr>
        <w:t> </w:t>
      </w:r>
      <w:r>
        <w:rPr/>
        <w:t>board and tax aggressiveness after controlling for endogeneity. Boussadi and Hamed (2015)</w:t>
      </w:r>
      <w:r>
        <w:rPr>
          <w:spacing w:val="1"/>
        </w:rPr>
        <w:t> </w:t>
      </w:r>
      <w:r>
        <w:rPr/>
        <w:t>examine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some</w:t>
      </w:r>
      <w:r>
        <w:rPr>
          <w:spacing w:val="-12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mechanisms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corporate</w:t>
      </w:r>
      <w:r>
        <w:rPr>
          <w:spacing w:val="-12"/>
        </w:rPr>
        <w:t> </w:t>
      </w:r>
      <w:r>
        <w:rPr/>
        <w:t>tax</w:t>
      </w:r>
      <w:r>
        <w:rPr>
          <w:spacing w:val="-9"/>
        </w:rPr>
        <w:t> </w:t>
      </w:r>
      <w:r>
        <w:rPr/>
        <w:t>aggressiveness.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  <w:r>
        <w:rPr>
          <w:spacing w:val="-58"/>
        </w:rPr>
        <w:t> </w:t>
      </w:r>
      <w:r>
        <w:rPr/>
        <w:t>is based on the analysis of a sample of Tunisian listed firms over the 2006-2012 periods. Our</w:t>
      </w:r>
      <w:r>
        <w:rPr>
          <w:spacing w:val="1"/>
        </w:rPr>
        <w:t> </w:t>
      </w:r>
      <w:r>
        <w:rPr/>
        <w:t>regression</w:t>
      </w:r>
      <w:r>
        <w:rPr>
          <w:spacing w:val="-5"/>
        </w:rPr>
        <w:t> </w:t>
      </w:r>
      <w:r>
        <w:rPr/>
        <w:t>results</w:t>
      </w:r>
      <w:r>
        <w:rPr>
          <w:spacing w:val="-6"/>
        </w:rPr>
        <w:t> </w:t>
      </w:r>
      <w:r>
        <w:rPr/>
        <w:t>indicate</w:t>
      </w:r>
      <w:r>
        <w:rPr>
          <w:spacing w:val="-7"/>
        </w:rPr>
        <w:t> </w:t>
      </w:r>
      <w:r>
        <w:rPr/>
        <w:t>that</w:t>
      </w:r>
      <w:r>
        <w:rPr>
          <w:spacing w:val="-7"/>
        </w:rPr>
        <w:t> </w:t>
      </w:r>
      <w:r>
        <w:rPr/>
        <w:t>diversity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gender</w:t>
      </w:r>
      <w:r>
        <w:rPr>
          <w:spacing w:val="-2"/>
        </w:rPr>
        <w:t> </w:t>
      </w:r>
      <w:r>
        <w:rPr/>
        <w:t>diversity</w:t>
      </w:r>
      <w:r>
        <w:rPr>
          <w:spacing w:val="-7"/>
        </w:rPr>
        <w:t> </w:t>
      </w:r>
      <w:r>
        <w:rPr/>
        <w:t>has</w:t>
      </w:r>
      <w:r>
        <w:rPr>
          <w:spacing w:val="-6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effects</w:t>
      </w:r>
      <w:r>
        <w:rPr>
          <w:spacing w:val="-7"/>
        </w:rPr>
        <w:t> </w:t>
      </w:r>
      <w:r>
        <w:rPr/>
        <w:t>on</w:t>
      </w:r>
      <w:r>
        <w:rPr>
          <w:spacing w:val="-4"/>
        </w:rPr>
        <w:t> </w:t>
      </w:r>
      <w:r>
        <w:rPr/>
        <w:t>firms`</w:t>
      </w:r>
      <w:r>
        <w:rPr>
          <w:spacing w:val="-6"/>
        </w:rPr>
        <w:t> </w:t>
      </w:r>
      <w:r>
        <w:rPr/>
        <w:t>tax</w:t>
      </w:r>
      <w:r>
        <w:rPr>
          <w:spacing w:val="-58"/>
        </w:rPr>
        <w:t> </w:t>
      </w:r>
      <w:r>
        <w:rPr/>
        <w:t>aggressiveness activities. Uniamikogbo, Bennee and Adeusi. (2019) Findings from the study</w:t>
      </w:r>
      <w:r>
        <w:rPr>
          <w:spacing w:val="1"/>
        </w:rPr>
        <w:t> </w:t>
      </w:r>
      <w:r>
        <w:rPr/>
        <w:t>showed that a positive and significant relationship exists between gender diversity and tax</w:t>
      </w:r>
      <w:r>
        <w:rPr>
          <w:spacing w:val="1"/>
        </w:rPr>
        <w:t> </w:t>
      </w:r>
      <w:r>
        <w:rPr/>
        <w:t>aggressiveness.</w:t>
      </w:r>
    </w:p>
    <w:p>
      <w:pPr>
        <w:pStyle w:val="Heading1"/>
        <w:numPr>
          <w:ilvl w:val="2"/>
          <w:numId w:val="32"/>
        </w:numPr>
        <w:tabs>
          <w:tab w:pos="1423" w:val="left" w:leader="none"/>
        </w:tabs>
        <w:spacing w:line="240" w:lineRule="auto" w:before="122" w:after="0"/>
        <w:ind w:left="1422" w:right="0" w:hanging="601"/>
        <w:jc w:val="both"/>
      </w:pPr>
      <w:bookmarkStart w:name="_bookmark96" w:id="154"/>
      <w:bookmarkEnd w:id="154"/>
      <w:r>
        <w:rPr>
          <w:b w:val="0"/>
        </w:rPr>
      </w:r>
      <w:bookmarkStart w:name="_bookmark96" w:id="155"/>
      <w:bookmarkEnd w:id="155"/>
      <w:r>
        <w:rPr/>
        <w:t>Own</w:t>
      </w:r>
      <w:r>
        <w:rPr/>
        <w:t>ership</w:t>
      </w:r>
      <w:r>
        <w:rPr>
          <w:spacing w:val="-2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tax</w:t>
      </w:r>
      <w:r>
        <w:rPr>
          <w:spacing w:val="-3"/>
        </w:rPr>
        <w:t> </w:t>
      </w:r>
      <w:r>
        <w:rPr/>
        <w:t>aggressiveness</w:t>
      </w:r>
    </w:p>
    <w:p>
      <w:pPr>
        <w:pStyle w:val="BodyText"/>
        <w:spacing w:before="8"/>
        <w:ind w:left="0"/>
        <w:jc w:val="left"/>
        <w:rPr>
          <w:b/>
          <w:sz w:val="28"/>
        </w:rPr>
      </w:pPr>
    </w:p>
    <w:p>
      <w:pPr>
        <w:pStyle w:val="BodyText"/>
        <w:spacing w:line="480" w:lineRule="auto"/>
        <w:ind w:right="828"/>
      </w:pPr>
      <w:r>
        <w:rPr/>
        <w:t>BDOWN has a negative coefficient (-0.0561) and significant (p=0.0085) at 5%. The results</w:t>
      </w:r>
      <w:r>
        <w:rPr>
          <w:spacing w:val="1"/>
        </w:rPr>
        <w:t> </w:t>
      </w:r>
      <w:r>
        <w:rPr/>
        <w:t>suggest that an increase in the level of board equity ownership results in a reduction in the tax</w:t>
      </w:r>
      <w:r>
        <w:rPr>
          <w:spacing w:val="1"/>
        </w:rPr>
        <w:t> </w:t>
      </w:r>
      <w:r>
        <w:rPr/>
        <w:t>paid/</w:t>
      </w:r>
      <w:r>
        <w:rPr>
          <w:spacing w:val="-4"/>
        </w:rPr>
        <w:t> </w:t>
      </w:r>
      <w:r>
        <w:rPr/>
        <w:t>pre-tax</w:t>
      </w:r>
      <w:r>
        <w:rPr>
          <w:spacing w:val="-4"/>
        </w:rPr>
        <w:t> </w:t>
      </w:r>
      <w:r>
        <w:rPr/>
        <w:t>income</w:t>
      </w:r>
      <w:r>
        <w:rPr>
          <w:spacing w:val="-5"/>
        </w:rPr>
        <w:t> </w:t>
      </w:r>
      <w:r>
        <w:rPr/>
        <w:t>ratio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implies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3"/>
        </w:rPr>
        <w:t> </w:t>
      </w:r>
      <w:r>
        <w:rPr/>
        <w:t>tax</w:t>
      </w:r>
      <w:r>
        <w:rPr>
          <w:spacing w:val="-5"/>
        </w:rPr>
        <w:t> </w:t>
      </w:r>
      <w:r>
        <w:rPr/>
        <w:t>aggressive</w:t>
      </w:r>
      <w:r>
        <w:rPr>
          <w:spacing w:val="-5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58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threshold</w:t>
      </w:r>
      <w:r>
        <w:rPr>
          <w:spacing w:val="-11"/>
        </w:rPr>
        <w:t> </w:t>
      </w:r>
      <w:r>
        <w:rPr/>
        <w:t>estimation</w:t>
      </w:r>
      <w:r>
        <w:rPr>
          <w:spacing w:val="-10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for</w:t>
      </w:r>
      <w:r>
        <w:rPr>
          <w:spacing w:val="-13"/>
        </w:rPr>
        <w:t> </w:t>
      </w:r>
      <w:r>
        <w:rPr/>
        <w:t>BDOWN</w:t>
      </w:r>
      <w:r>
        <w:rPr>
          <w:spacing w:val="-12"/>
        </w:rPr>
        <w:t> </w:t>
      </w:r>
      <w:r>
        <w:rPr/>
        <w:t>reveals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when</w:t>
      </w:r>
      <w:r>
        <w:rPr>
          <w:spacing w:val="-9"/>
        </w:rPr>
        <w:t> </w:t>
      </w:r>
      <w:r>
        <w:rPr/>
        <w:t>BDOWN</w:t>
      </w:r>
      <w:r>
        <w:rPr>
          <w:spacing w:val="-12"/>
        </w:rPr>
        <w:t> </w:t>
      </w:r>
      <w:r>
        <w:rPr/>
        <w:t>is</w:t>
      </w:r>
      <w:r>
        <w:rPr>
          <w:spacing w:val="-9"/>
        </w:rPr>
        <w:t> </w:t>
      </w:r>
      <w:r>
        <w:rPr/>
        <w:t>less</w:t>
      </w:r>
      <w:r>
        <w:rPr>
          <w:spacing w:val="-11"/>
        </w:rPr>
        <w:t> </w:t>
      </w:r>
      <w:r>
        <w:rPr/>
        <w:t>than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equal</w:t>
      </w:r>
      <w:r>
        <w:rPr>
          <w:spacing w:val="-57"/>
        </w:rPr>
        <w:t> </w:t>
      </w:r>
      <w:r>
        <w:rPr/>
        <w:t>to</w:t>
      </w:r>
      <w:r>
        <w:rPr>
          <w:spacing w:val="-6"/>
        </w:rPr>
        <w:t> </w:t>
      </w:r>
      <w:r>
        <w:rPr/>
        <w:t>0%,</w:t>
      </w:r>
      <w:r>
        <w:rPr>
          <w:spacing w:val="-5"/>
        </w:rPr>
        <w:t> </w:t>
      </w:r>
      <w:r>
        <w:rPr/>
        <w:t>i.e.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situation</w:t>
      </w:r>
      <w:r>
        <w:rPr>
          <w:spacing w:val="-3"/>
        </w:rPr>
        <w:t> </w:t>
      </w:r>
      <w:r>
        <w:rPr/>
        <w:t>where</w:t>
      </w:r>
      <w:r>
        <w:rPr>
          <w:spacing w:val="-6"/>
        </w:rPr>
        <w:t> </w:t>
      </w:r>
      <w:r>
        <w:rPr/>
        <w:t>no</w:t>
      </w:r>
      <w:r>
        <w:rPr>
          <w:spacing w:val="-5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staff</w:t>
      </w:r>
      <w:r>
        <w:rPr>
          <w:spacing w:val="-2"/>
        </w:rPr>
        <w:t> </w:t>
      </w:r>
      <w:r>
        <w:rPr/>
        <w:t>holds</w:t>
      </w:r>
      <w:r>
        <w:rPr>
          <w:spacing w:val="-5"/>
        </w:rPr>
        <w:t> </w:t>
      </w:r>
      <w:r>
        <w:rPr/>
        <w:t>any</w:t>
      </w:r>
      <w:r>
        <w:rPr>
          <w:spacing w:val="-6"/>
        </w:rPr>
        <w:t> </w:t>
      </w:r>
      <w:r>
        <w:rPr/>
        <w:t>equity</w:t>
      </w:r>
      <w:r>
        <w:rPr>
          <w:spacing w:val="-5"/>
        </w:rPr>
        <w:t> </w:t>
      </w:r>
      <w:r>
        <w:rPr/>
        <w:t>ownership,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tax</w:t>
      </w:r>
      <w:r>
        <w:rPr>
          <w:spacing w:val="-57"/>
        </w:rPr>
        <w:t> </w:t>
      </w:r>
      <w:r>
        <w:rPr/>
        <w:t>aggressiveness tends to be negative (-0.0441) but this is not statistically significant at 5%</w:t>
      </w:r>
      <w:r>
        <w:rPr>
          <w:spacing w:val="1"/>
        </w:rPr>
        <w:t> </w:t>
      </w:r>
      <w:r>
        <w:rPr/>
        <w:t>(0.5663), when BDOWN is between 1%-9%, the effect on tax aggressiveness is positive</w:t>
      </w:r>
      <w:r>
        <w:rPr>
          <w:spacing w:val="1"/>
        </w:rPr>
        <w:t> </w:t>
      </w:r>
      <w:r>
        <w:rPr/>
        <w:t>(0.0661) though not also statistically significant (p=0.3223) at 5%. For the 3</w:t>
      </w:r>
      <w:r>
        <w:rPr>
          <w:vertAlign w:val="superscript"/>
        </w:rPr>
        <w:t>rd</w:t>
      </w:r>
      <w:r>
        <w:rPr>
          <w:vertAlign w:val="baseline"/>
        </w:rPr>
        <w:t> threshold (9%-</w:t>
      </w:r>
      <w:r>
        <w:rPr>
          <w:spacing w:val="1"/>
          <w:vertAlign w:val="baseline"/>
        </w:rPr>
        <w:t> </w:t>
      </w:r>
      <w:r>
        <w:rPr>
          <w:vertAlign w:val="baseline"/>
        </w:rPr>
        <w:t>47%) the effect of board ownership is negative (-0.0811) but not significant at 5% (0.2975).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results thus suggest that though BDOWN in the fixed estimation output, has been seen to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significantly</w:t>
      </w:r>
      <w:r>
        <w:rPr>
          <w:spacing w:val="-9"/>
          <w:vertAlign w:val="baseline"/>
        </w:rPr>
        <w:t> </w:t>
      </w:r>
      <w:r>
        <w:rPr>
          <w:vertAlign w:val="baseline"/>
        </w:rPr>
        <w:t>impact</w:t>
      </w:r>
      <w:r>
        <w:rPr>
          <w:spacing w:val="-7"/>
          <w:vertAlign w:val="baseline"/>
        </w:rPr>
        <w:t> </w:t>
      </w:r>
      <w:r>
        <w:rPr>
          <w:vertAlign w:val="baseline"/>
        </w:rPr>
        <w:t>tax</w:t>
      </w:r>
      <w:r>
        <w:rPr>
          <w:spacing w:val="-7"/>
          <w:vertAlign w:val="baseline"/>
        </w:rPr>
        <w:t> </w:t>
      </w:r>
      <w:r>
        <w:rPr>
          <w:vertAlign w:val="baseline"/>
        </w:rPr>
        <w:t>aggressiveness</w:t>
      </w:r>
      <w:r>
        <w:rPr>
          <w:spacing w:val="-7"/>
          <w:vertAlign w:val="baseline"/>
        </w:rPr>
        <w:t> </w:t>
      </w:r>
      <w:r>
        <w:rPr>
          <w:vertAlign w:val="baseline"/>
        </w:rPr>
        <w:t>in</w:t>
      </w:r>
      <w:r>
        <w:rPr>
          <w:spacing w:val="-6"/>
          <w:vertAlign w:val="baseline"/>
        </w:rPr>
        <w:t> </w:t>
      </w:r>
      <w:r>
        <w:rPr>
          <w:vertAlign w:val="baseline"/>
        </w:rPr>
        <w:t>such</w:t>
      </w:r>
      <w:r>
        <w:rPr>
          <w:spacing w:val="-5"/>
          <w:vertAlign w:val="baseline"/>
        </w:rPr>
        <w:t> </w:t>
      </w:r>
      <w:r>
        <w:rPr>
          <w:vertAlign w:val="baseline"/>
        </w:rPr>
        <w:t>a</w:t>
      </w:r>
      <w:r>
        <w:rPr>
          <w:spacing w:val="-10"/>
          <w:vertAlign w:val="baseline"/>
        </w:rPr>
        <w:t> </w:t>
      </w:r>
      <w:r>
        <w:rPr>
          <w:vertAlign w:val="baseline"/>
        </w:rPr>
        <w:t>way</w:t>
      </w:r>
      <w:r>
        <w:rPr>
          <w:spacing w:val="-8"/>
          <w:vertAlign w:val="baseline"/>
        </w:rPr>
        <w:t> </w:t>
      </w:r>
      <w:r>
        <w:rPr>
          <w:vertAlign w:val="baseline"/>
        </w:rPr>
        <w:t>that</w:t>
      </w:r>
      <w:r>
        <w:rPr>
          <w:spacing w:val="-9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9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extent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board</w:t>
      </w:r>
      <w:r>
        <w:rPr>
          <w:spacing w:val="-6"/>
          <w:vertAlign w:val="baseline"/>
        </w:rPr>
        <w:t> </w:t>
      </w:r>
      <w:r>
        <w:rPr>
          <w:vertAlign w:val="baseline"/>
        </w:rPr>
        <w:t>equity</w:t>
      </w:r>
      <w:r>
        <w:rPr>
          <w:spacing w:val="-58"/>
          <w:vertAlign w:val="baseline"/>
        </w:rPr>
        <w:t> </w:t>
      </w:r>
      <w:r>
        <w:rPr>
          <w:spacing w:val="-1"/>
          <w:vertAlign w:val="baseline"/>
        </w:rPr>
        <w:t>ownership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results</w:t>
      </w:r>
      <w:r>
        <w:rPr>
          <w:spacing w:val="-11"/>
          <w:vertAlign w:val="baseline"/>
        </w:rPr>
        <w:t> </w:t>
      </w:r>
      <w:r>
        <w:rPr>
          <w:spacing w:val="-1"/>
          <w:vertAlign w:val="baseline"/>
        </w:rPr>
        <w:t>in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a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reduction</w:t>
      </w:r>
      <w:r>
        <w:rPr>
          <w:spacing w:val="-12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tax</w:t>
      </w:r>
      <w:r>
        <w:rPr>
          <w:spacing w:val="-12"/>
          <w:vertAlign w:val="baseline"/>
        </w:rPr>
        <w:t> </w:t>
      </w:r>
      <w:r>
        <w:rPr>
          <w:vertAlign w:val="baseline"/>
        </w:rPr>
        <w:t>paid/</w:t>
      </w:r>
      <w:r>
        <w:rPr>
          <w:spacing w:val="-14"/>
          <w:vertAlign w:val="baseline"/>
        </w:rPr>
        <w:t> </w:t>
      </w:r>
      <w:r>
        <w:rPr>
          <w:vertAlign w:val="baseline"/>
        </w:rPr>
        <w:t>pre-tax</w:t>
      </w:r>
      <w:r>
        <w:rPr>
          <w:spacing w:val="-12"/>
          <w:vertAlign w:val="baseline"/>
        </w:rPr>
        <w:t> </w:t>
      </w:r>
      <w:r>
        <w:rPr>
          <w:vertAlign w:val="baseline"/>
        </w:rPr>
        <w:t>income</w:t>
      </w:r>
      <w:r>
        <w:rPr>
          <w:spacing w:val="-13"/>
          <w:vertAlign w:val="baseline"/>
        </w:rPr>
        <w:t> </w:t>
      </w:r>
      <w:r>
        <w:rPr>
          <w:vertAlign w:val="baseline"/>
        </w:rPr>
        <w:t>ratio</w:t>
      </w:r>
      <w:r>
        <w:rPr>
          <w:spacing w:val="-11"/>
          <w:vertAlign w:val="baseline"/>
        </w:rPr>
        <w:t> </w:t>
      </w:r>
      <w:r>
        <w:rPr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vertAlign w:val="baseline"/>
        </w:rPr>
        <w:t>this</w:t>
      </w:r>
      <w:r>
        <w:rPr>
          <w:spacing w:val="-14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-9"/>
          <w:vertAlign w:val="baseline"/>
        </w:rPr>
        <w:t> </w:t>
      </w:r>
      <w:r>
        <w:rPr>
          <w:vertAlign w:val="baseline"/>
        </w:rPr>
        <w:t>an</w:t>
      </w:r>
      <w:r>
        <w:rPr>
          <w:spacing w:val="-12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-58"/>
          <w:vertAlign w:val="baseline"/>
        </w:rPr>
        <w:t> </w:t>
      </w:r>
      <w:r>
        <w:rPr>
          <w:vertAlign w:val="baseline"/>
        </w:rPr>
        <w:t>in tax aggressive practices, there is no identified threshold restriction on this relationship.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costs and benefits of tax aggressiveness for firms may differ with the type of ownership</w:t>
      </w:r>
      <w:r>
        <w:rPr>
          <w:spacing w:val="1"/>
          <w:vertAlign w:val="baseline"/>
        </w:rPr>
        <w:t> </w:t>
      </w:r>
      <w:r>
        <w:rPr>
          <w:vertAlign w:val="baseline"/>
        </w:rPr>
        <w:t>structure.</w:t>
      </w:r>
      <w:r>
        <w:rPr>
          <w:spacing w:val="44"/>
          <w:vertAlign w:val="baseline"/>
        </w:rPr>
        <w:t> </w:t>
      </w:r>
      <w:r>
        <w:rPr>
          <w:vertAlign w:val="baseline"/>
        </w:rPr>
        <w:t>This</w:t>
      </w:r>
      <w:r>
        <w:rPr>
          <w:spacing w:val="45"/>
          <w:vertAlign w:val="baseline"/>
        </w:rPr>
        <w:t> </w:t>
      </w:r>
      <w:r>
        <w:rPr>
          <w:vertAlign w:val="baseline"/>
        </w:rPr>
        <w:t>accounts</w:t>
      </w:r>
      <w:r>
        <w:rPr>
          <w:spacing w:val="47"/>
          <w:vertAlign w:val="baseline"/>
        </w:rPr>
        <w:t> </w:t>
      </w:r>
      <w:r>
        <w:rPr>
          <w:vertAlign w:val="baseline"/>
        </w:rPr>
        <w:t>for</w:t>
      </w:r>
      <w:r>
        <w:rPr>
          <w:spacing w:val="43"/>
          <w:vertAlign w:val="baseline"/>
        </w:rPr>
        <w:t> </w:t>
      </w:r>
      <w:r>
        <w:rPr>
          <w:vertAlign w:val="baseline"/>
        </w:rPr>
        <w:t>one</w:t>
      </w:r>
      <w:r>
        <w:rPr>
          <w:spacing w:val="43"/>
          <w:vertAlign w:val="baseline"/>
        </w:rPr>
        <w:t> </w:t>
      </w:r>
      <w:r>
        <w:rPr>
          <w:vertAlign w:val="baseline"/>
        </w:rPr>
        <w:t>of</w:t>
      </w:r>
      <w:r>
        <w:rPr>
          <w:spacing w:val="44"/>
          <w:vertAlign w:val="baseline"/>
        </w:rPr>
        <w:t> </w:t>
      </w:r>
      <w:r>
        <w:rPr>
          <w:vertAlign w:val="baseline"/>
        </w:rPr>
        <w:t>the</w:t>
      </w:r>
      <w:r>
        <w:rPr>
          <w:spacing w:val="43"/>
          <w:vertAlign w:val="baseline"/>
        </w:rPr>
        <w:t> </w:t>
      </w:r>
      <w:r>
        <w:rPr>
          <w:vertAlign w:val="baseline"/>
        </w:rPr>
        <w:t>reasons</w:t>
      </w:r>
      <w:r>
        <w:rPr>
          <w:spacing w:val="48"/>
          <w:vertAlign w:val="baseline"/>
        </w:rPr>
        <w:t> </w:t>
      </w:r>
      <w:r>
        <w:rPr>
          <w:vertAlign w:val="baseline"/>
        </w:rPr>
        <w:t>Shackelford</w:t>
      </w:r>
      <w:r>
        <w:rPr>
          <w:spacing w:val="46"/>
          <w:vertAlign w:val="baseline"/>
        </w:rPr>
        <w:t> </w:t>
      </w:r>
      <w:r>
        <w:rPr>
          <w:vertAlign w:val="baseline"/>
        </w:rPr>
        <w:t>and</w:t>
      </w:r>
      <w:r>
        <w:rPr>
          <w:spacing w:val="45"/>
          <w:vertAlign w:val="baseline"/>
        </w:rPr>
        <w:t> </w:t>
      </w:r>
      <w:r>
        <w:rPr>
          <w:vertAlign w:val="baseline"/>
        </w:rPr>
        <w:t>Shevlin</w:t>
      </w:r>
      <w:r>
        <w:rPr>
          <w:spacing w:val="44"/>
          <w:vertAlign w:val="baseline"/>
        </w:rPr>
        <w:t> </w:t>
      </w:r>
      <w:r>
        <w:rPr>
          <w:vertAlign w:val="baseline"/>
        </w:rPr>
        <w:t>(2001)</w:t>
      </w:r>
      <w:r>
        <w:rPr>
          <w:spacing w:val="44"/>
          <w:vertAlign w:val="baseline"/>
        </w:rPr>
        <w:t> </w:t>
      </w:r>
      <w:r>
        <w:rPr>
          <w:vertAlign w:val="baseline"/>
        </w:rPr>
        <w:t>argue</w:t>
      </w:r>
      <w:r>
        <w:rPr>
          <w:spacing w:val="43"/>
          <w:vertAlign w:val="baseline"/>
        </w:rPr>
        <w:t> </w:t>
      </w:r>
      <w:r>
        <w:rPr>
          <w:vertAlign w:val="baseline"/>
        </w:rPr>
        <w:t>for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4"/>
      </w:pPr>
      <w:r>
        <w:rPr/>
        <w:t>ownership</w:t>
      </w:r>
      <w:r>
        <w:rPr>
          <w:spacing w:val="-5"/>
        </w:rPr>
        <w:t> </w:t>
      </w:r>
      <w:r>
        <w:rPr/>
        <w:t>structure</w:t>
      </w:r>
      <w:r>
        <w:rPr>
          <w:spacing w:val="-6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determinant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tax</w:t>
      </w:r>
      <w:r>
        <w:rPr>
          <w:spacing w:val="-4"/>
        </w:rPr>
        <w:t> </w:t>
      </w:r>
      <w:r>
        <w:rPr/>
        <w:t>aggressiveness</w:t>
      </w:r>
      <w:r>
        <w:rPr>
          <w:spacing w:val="-4"/>
        </w:rPr>
        <w:t> </w:t>
      </w:r>
      <w:r>
        <w:rPr/>
        <w:t>since</w:t>
      </w:r>
      <w:r>
        <w:rPr>
          <w:spacing w:val="-6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ownership</w:t>
      </w:r>
      <w:r>
        <w:rPr>
          <w:spacing w:val="-58"/>
        </w:rPr>
        <w:t> </w:t>
      </w:r>
      <w:r>
        <w:rPr/>
        <w:t>is a ‘core issue and determines the nature of the agency problems arising in the corporate</w:t>
      </w:r>
      <w:r>
        <w:rPr>
          <w:spacing w:val="1"/>
        </w:rPr>
        <w:t> </w:t>
      </w:r>
      <w:r>
        <w:rPr/>
        <w:t>environments.</w:t>
      </w:r>
    </w:p>
    <w:p>
      <w:pPr>
        <w:pStyle w:val="BodyText"/>
        <w:spacing w:line="480" w:lineRule="auto" w:before="121"/>
        <w:ind w:right="829"/>
      </w:pPr>
      <w:r>
        <w:rPr/>
        <w:drawing>
          <wp:anchor distT="0" distB="0" distL="0" distR="0" allowOverlap="1" layoutInCell="1" locked="0" behindDoc="1" simplePos="0" relativeHeight="454066688">
            <wp:simplePos x="0" y="0"/>
            <wp:positionH relativeFrom="page">
              <wp:posOffset>1261605</wp:posOffset>
            </wp:positionH>
            <wp:positionV relativeFrom="paragraph">
              <wp:posOffset>726987</wp:posOffset>
            </wp:positionV>
            <wp:extent cx="5133225" cy="5265293"/>
            <wp:effectExtent l="0" t="0" r="0" b="0"/>
            <wp:wrapNone/>
            <wp:docPr id="24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Our</w:t>
      </w:r>
      <w:r>
        <w:rPr>
          <w:spacing w:val="-6"/>
        </w:rPr>
        <w:t> </w:t>
      </w:r>
      <w:r>
        <w:rPr/>
        <w:t>finding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3"/>
        </w:rPr>
        <w:t> </w:t>
      </w:r>
      <w:r>
        <w:rPr/>
        <w:t>tandem</w:t>
      </w:r>
      <w:r>
        <w:rPr>
          <w:spacing w:val="-6"/>
        </w:rPr>
        <w:t> </w:t>
      </w:r>
      <w:r>
        <w:rPr/>
        <w:t>with</w:t>
      </w:r>
      <w:r>
        <w:rPr>
          <w:spacing w:val="-3"/>
        </w:rPr>
        <w:t> </w:t>
      </w:r>
      <w:r>
        <w:rPr/>
        <w:t>Demirguc-Kunt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Huizinga</w:t>
      </w:r>
      <w:r>
        <w:rPr>
          <w:spacing w:val="-4"/>
        </w:rPr>
        <w:t> </w:t>
      </w:r>
      <w:r>
        <w:rPr/>
        <w:t>(2001);</w:t>
      </w:r>
      <w:r>
        <w:rPr>
          <w:spacing w:val="-4"/>
        </w:rPr>
        <w:t> </w:t>
      </w:r>
      <w:r>
        <w:rPr/>
        <w:t>Egger,</w:t>
      </w:r>
      <w:r>
        <w:rPr>
          <w:spacing w:val="-5"/>
        </w:rPr>
        <w:t> </w:t>
      </w:r>
      <w:r>
        <w:rPr/>
        <w:t>Eggert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Winner</w:t>
      </w:r>
      <w:r>
        <w:rPr>
          <w:spacing w:val="-58"/>
        </w:rPr>
        <w:t> </w:t>
      </w:r>
      <w:r>
        <w:rPr/>
        <w:t>(2010);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Kinney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Lawrence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ownership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tax</w:t>
      </w:r>
      <w:r>
        <w:rPr>
          <w:spacing w:val="-8"/>
        </w:rPr>
        <w:t> </w:t>
      </w:r>
      <w:r>
        <w:rPr/>
        <w:t>avoidance.</w:t>
      </w:r>
      <w:r>
        <w:rPr>
          <w:spacing w:val="-4"/>
        </w:rPr>
        <w:t> </w:t>
      </w:r>
      <w:r>
        <w:rPr/>
        <w:t>Otieno</w:t>
      </w:r>
      <w:r>
        <w:rPr>
          <w:spacing w:val="-7"/>
        </w:rPr>
        <w:t> </w:t>
      </w:r>
      <w:r>
        <w:rPr/>
        <w:t>(2014)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study</w:t>
      </w:r>
      <w:r>
        <w:rPr>
          <w:spacing w:val="-8"/>
        </w:rPr>
        <w:t> </w:t>
      </w:r>
      <w:r>
        <w:rPr/>
        <w:t>examined</w:t>
      </w:r>
      <w:r>
        <w:rPr>
          <w:spacing w:val="-6"/>
        </w:rPr>
        <w:t> </w:t>
      </w:r>
      <w:r>
        <w:rPr/>
        <w:t>whether</w:t>
      </w:r>
      <w:r>
        <w:rPr>
          <w:spacing w:val="-58"/>
        </w:rPr>
        <w:t> </w:t>
      </w:r>
      <w:r>
        <w:rPr/>
        <w:t>variation in firms’ corporate governance mechanisms explains differences in their level of tax</w:t>
      </w:r>
      <w:r>
        <w:rPr>
          <w:spacing w:val="1"/>
        </w:rPr>
        <w:t> </w:t>
      </w:r>
      <w:r>
        <w:rPr/>
        <w:t>avoidance in Kenya. The study aimed at establishing the relationship between ownership</w:t>
      </w:r>
      <w:r>
        <w:rPr>
          <w:spacing w:val="1"/>
        </w:rPr>
        <w:t> </w:t>
      </w:r>
      <w:r>
        <w:rPr/>
        <w:t>structure and tax avoidance of companies listed at the Nairobi Securities Exchange. The</w:t>
      </w:r>
      <w:r>
        <w:rPr>
          <w:spacing w:val="1"/>
        </w:rPr>
        <w:t> </w:t>
      </w:r>
      <w:r>
        <w:rPr/>
        <w:t>findings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ownership</w:t>
      </w:r>
      <w:r>
        <w:rPr>
          <w:spacing w:val="-9"/>
        </w:rPr>
        <w:t> </w:t>
      </w:r>
      <w:r>
        <w:rPr/>
        <w:t>structure</w:t>
      </w:r>
      <w:r>
        <w:rPr>
          <w:spacing w:val="-10"/>
        </w:rPr>
        <w:t> </w:t>
      </w:r>
      <w:r>
        <w:rPr/>
        <w:t>does</w:t>
      </w:r>
      <w:r>
        <w:rPr>
          <w:spacing w:val="-8"/>
        </w:rPr>
        <w:t> </w:t>
      </w:r>
      <w:r>
        <w:rPr/>
        <w:t>not</w:t>
      </w:r>
      <w:r>
        <w:rPr>
          <w:spacing w:val="-8"/>
        </w:rPr>
        <w:t> </w:t>
      </w:r>
      <w:r>
        <w:rPr/>
        <w:t>significantly</w:t>
      </w:r>
      <w:r>
        <w:rPr>
          <w:spacing w:val="-9"/>
        </w:rPr>
        <w:t> </w:t>
      </w:r>
      <w:r>
        <w:rPr/>
        <w:t>influence</w:t>
      </w:r>
      <w:r>
        <w:rPr>
          <w:spacing w:val="-10"/>
        </w:rPr>
        <w:t> </w:t>
      </w:r>
      <w:r>
        <w:rPr/>
        <w:t>tax</w:t>
      </w:r>
      <w:r>
        <w:rPr>
          <w:spacing w:val="-9"/>
        </w:rPr>
        <w:t> </w:t>
      </w:r>
      <w:r>
        <w:rPr/>
        <w:t>avoidance</w:t>
      </w:r>
      <w:r>
        <w:rPr>
          <w:spacing w:val="-58"/>
        </w:rPr>
        <w:t> </w:t>
      </w:r>
      <w:r>
        <w:rPr/>
        <w:t>as the effects. Also, Boussaidi and Hamed (2015) examined the effect of some governance</w:t>
      </w:r>
      <w:r>
        <w:rPr>
          <w:spacing w:val="1"/>
        </w:rPr>
        <w:t> </w:t>
      </w:r>
      <w:r>
        <w:rPr/>
        <w:t>mechanisms on corporate tax aggressiveness. The study was based on the analysis of a sample</w:t>
      </w:r>
      <w:r>
        <w:rPr>
          <w:spacing w:val="-57"/>
        </w:rPr>
        <w:t> </w:t>
      </w:r>
      <w:r>
        <w:rPr/>
        <w:t>of Tunisian listed firms over the 2006-2012 periods. Their regression results indicated that</w:t>
      </w:r>
      <w:r>
        <w:rPr>
          <w:spacing w:val="1"/>
        </w:rPr>
        <w:t> </w:t>
      </w:r>
      <w:r>
        <w:rPr/>
        <w:t>Board`s</w:t>
      </w:r>
      <w:r>
        <w:rPr>
          <w:spacing w:val="-1"/>
        </w:rPr>
        <w:t> </w:t>
      </w:r>
      <w:r>
        <w:rPr/>
        <w:t>managerial ownership exhibit a positive</w:t>
      </w:r>
      <w:r>
        <w:rPr>
          <w:spacing w:val="-2"/>
        </w:rPr>
        <w:t> </w:t>
      </w:r>
      <w:r>
        <w:rPr/>
        <w:t>association with the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tax</w:t>
      </w:r>
      <w:r>
        <w:rPr>
          <w:spacing w:val="-1"/>
        </w:rPr>
        <w:t> </w:t>
      </w:r>
      <w:r>
        <w:rPr/>
        <w:t>rate.</w:t>
      </w:r>
      <w:r>
        <w:rPr>
          <w:spacing w:val="59"/>
        </w:rPr>
        <w:t> </w:t>
      </w:r>
      <w:r>
        <w:rPr/>
        <w:t>.</w:t>
      </w:r>
    </w:p>
    <w:p>
      <w:pPr>
        <w:pStyle w:val="Heading1"/>
        <w:numPr>
          <w:ilvl w:val="2"/>
          <w:numId w:val="32"/>
        </w:numPr>
        <w:tabs>
          <w:tab w:pos="1423" w:val="left" w:leader="none"/>
        </w:tabs>
        <w:spacing w:line="240" w:lineRule="auto" w:before="121" w:after="0"/>
        <w:ind w:left="1422" w:right="0" w:hanging="601"/>
        <w:jc w:val="both"/>
      </w:pPr>
      <w:bookmarkStart w:name="_bookmark97" w:id="156"/>
      <w:bookmarkEnd w:id="156"/>
      <w:r>
        <w:rPr>
          <w:b w:val="0"/>
        </w:rPr>
      </w:r>
      <w:bookmarkStart w:name="_bookmark97" w:id="157"/>
      <w:bookmarkEnd w:id="157"/>
      <w:r>
        <w:rPr/>
        <w:t>CEO</w:t>
      </w:r>
      <w:r>
        <w:rPr>
          <w:spacing w:val="-2"/>
        </w:rPr>
        <w:t> </w:t>
      </w:r>
      <w:r>
        <w:rPr/>
        <w:t>age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tax</w:t>
      </w:r>
      <w:r>
        <w:rPr>
          <w:spacing w:val="-2"/>
        </w:rPr>
        <w:t> </w:t>
      </w:r>
      <w:r>
        <w:rPr/>
        <w:t>aggressiveness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29"/>
      </w:pPr>
      <w:r>
        <w:rPr/>
        <w:t>The</w:t>
      </w:r>
      <w:r>
        <w:rPr>
          <w:spacing w:val="-5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CEO</w:t>
      </w:r>
      <w:r>
        <w:rPr>
          <w:spacing w:val="-2"/>
        </w:rPr>
        <w:t> </w:t>
      </w:r>
      <w:r>
        <w:rPr/>
        <w:t>attributes</w:t>
      </w:r>
      <w:r>
        <w:rPr>
          <w:spacing w:val="-3"/>
        </w:rPr>
        <w:t> </w:t>
      </w:r>
      <w:r>
        <w:rPr/>
        <w:t>fixed</w:t>
      </w:r>
      <w:r>
        <w:rPr>
          <w:spacing w:val="-4"/>
        </w:rPr>
        <w:t> </w:t>
      </w:r>
      <w:r>
        <w:rPr/>
        <w:t>effects</w:t>
      </w:r>
      <w:r>
        <w:rPr>
          <w:spacing w:val="-3"/>
        </w:rPr>
        <w:t> </w:t>
      </w:r>
      <w:r>
        <w:rPr/>
        <w:t>estimation</w:t>
      </w:r>
      <w:r>
        <w:rPr>
          <w:spacing w:val="-2"/>
        </w:rPr>
        <w:t> </w:t>
      </w:r>
      <w:r>
        <w:rPr/>
        <w:t>results,</w:t>
      </w:r>
      <w:r>
        <w:rPr>
          <w:spacing w:val="-4"/>
        </w:rPr>
        <w:t> </w:t>
      </w:r>
      <w:r>
        <w:rPr/>
        <w:t>reveals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CEO-Age</w:t>
      </w:r>
      <w:r>
        <w:rPr>
          <w:spacing w:val="-3"/>
        </w:rPr>
        <w:t> </w:t>
      </w:r>
      <w:r>
        <w:rPr/>
        <w:t>has</w:t>
      </w:r>
      <w:r>
        <w:rPr>
          <w:spacing w:val="-1"/>
        </w:rPr>
        <w:t> </w:t>
      </w:r>
      <w:r>
        <w:rPr/>
        <w:t>a</w:t>
      </w:r>
      <w:r>
        <w:rPr>
          <w:spacing w:val="-57"/>
        </w:rPr>
        <w:t> </w:t>
      </w:r>
      <w:r>
        <w:rPr/>
        <w:t>positive coefficient (0.0010) and significant (p=0.0199) at 5%. The results suggest that the</w:t>
      </w:r>
      <w:r>
        <w:rPr>
          <w:spacing w:val="1"/>
        </w:rPr>
        <w:t> </w:t>
      </w:r>
      <w:r>
        <w:rPr/>
        <w:t>presence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older</w:t>
      </w:r>
      <w:r>
        <w:rPr>
          <w:spacing w:val="-7"/>
        </w:rPr>
        <w:t> </w:t>
      </w:r>
      <w:r>
        <w:rPr/>
        <w:t>CEO’s</w:t>
      </w:r>
      <w:r>
        <w:rPr>
          <w:spacing w:val="-4"/>
        </w:rPr>
        <w:t> </w:t>
      </w:r>
      <w:r>
        <w:rPr/>
        <w:t>tends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result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41"/>
        </w:rPr>
        <w:t> </w:t>
      </w:r>
      <w:r>
        <w:rPr/>
        <w:t>increase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tax</w:t>
      </w:r>
      <w:r>
        <w:rPr>
          <w:spacing w:val="-7"/>
        </w:rPr>
        <w:t> </w:t>
      </w:r>
      <w:r>
        <w:rPr/>
        <w:t>paid/</w:t>
      </w:r>
      <w:r>
        <w:rPr>
          <w:spacing w:val="-6"/>
        </w:rPr>
        <w:t> </w:t>
      </w:r>
      <w:r>
        <w:rPr/>
        <w:t>pre-tax</w:t>
      </w:r>
      <w:r>
        <w:rPr>
          <w:spacing w:val="-7"/>
        </w:rPr>
        <w:t> </w:t>
      </w:r>
      <w:r>
        <w:rPr/>
        <w:t>income</w:t>
      </w:r>
      <w:r>
        <w:rPr>
          <w:spacing w:val="-7"/>
        </w:rPr>
        <w:t> </w:t>
      </w:r>
      <w:r>
        <w:rPr/>
        <w:t>ratio</w:t>
      </w:r>
      <w:r>
        <w:rPr>
          <w:spacing w:val="-6"/>
        </w:rPr>
        <w:t> </w:t>
      </w:r>
      <w:r>
        <w:rPr/>
        <w:t>and</w:t>
      </w:r>
      <w:r>
        <w:rPr>
          <w:spacing w:val="-58"/>
        </w:rPr>
        <w:t> </w:t>
      </w:r>
      <w:r>
        <w:rPr/>
        <w:t>this implies less tax aggressiveness activity. For CEO age, the threshold estimation results,</w:t>
      </w:r>
      <w:r>
        <w:rPr>
          <w:spacing w:val="1"/>
        </w:rPr>
        <w:t> </w:t>
      </w:r>
      <w:r>
        <w:rPr/>
        <w:t>reveals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when</w:t>
      </w:r>
      <w:r>
        <w:rPr>
          <w:spacing w:val="-3"/>
        </w:rPr>
        <w:t> </w:t>
      </w:r>
      <w:r>
        <w:rPr/>
        <w:t>CEO</w:t>
      </w:r>
      <w:r>
        <w:rPr>
          <w:spacing w:val="-2"/>
        </w:rPr>
        <w:t> </w:t>
      </w:r>
      <w:r>
        <w:rPr/>
        <w:t>age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less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45,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effect</w:t>
      </w:r>
      <w:r>
        <w:rPr>
          <w:spacing w:val="-2"/>
        </w:rPr>
        <w:t> </w:t>
      </w:r>
      <w:r>
        <w:rPr/>
        <w:t>on</w:t>
      </w:r>
      <w:r>
        <w:rPr>
          <w:spacing w:val="-4"/>
        </w:rPr>
        <w:t> </w:t>
      </w:r>
      <w:r>
        <w:rPr/>
        <w:t>tax</w:t>
      </w:r>
      <w:r>
        <w:rPr>
          <w:spacing w:val="-1"/>
        </w:rPr>
        <w:t> </w:t>
      </w:r>
      <w:r>
        <w:rPr/>
        <w:t>aggressiveness tends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5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(0.3948)</w:t>
      </w:r>
      <w:r>
        <w:rPr>
          <w:spacing w:val="-9"/>
        </w:rPr>
        <w:t> </w:t>
      </w:r>
      <w:r>
        <w:rPr/>
        <w:t>but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7"/>
        </w:rPr>
        <w:t> </w:t>
      </w:r>
      <w:r>
        <w:rPr/>
        <w:t>statistically</w:t>
      </w:r>
      <w:r>
        <w:rPr>
          <w:spacing w:val="-8"/>
        </w:rPr>
        <w:t> </w:t>
      </w:r>
      <w:r>
        <w:rPr/>
        <w:t>significant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5%</w:t>
      </w:r>
      <w:r>
        <w:rPr>
          <w:spacing w:val="-8"/>
        </w:rPr>
        <w:t> </w:t>
      </w:r>
      <w:r>
        <w:rPr/>
        <w:t>(0.3948),</w:t>
      </w:r>
      <w:r>
        <w:rPr>
          <w:spacing w:val="-8"/>
        </w:rPr>
        <w:t> </w:t>
      </w:r>
      <w:r>
        <w:rPr/>
        <w:t>moving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threshold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45 and 51, the positive coefficient is still maintained (0.0004) though not significant at 5%</w:t>
      </w:r>
      <w:r>
        <w:rPr>
          <w:spacing w:val="1"/>
        </w:rPr>
        <w:t> </w:t>
      </w:r>
      <w:r>
        <w:rPr/>
        <w:t>(0.3889) but when the threshold is at 51-60yrs, the results is also positive (0.0018) and</w:t>
      </w:r>
      <w:r>
        <w:rPr>
          <w:spacing w:val="1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at</w:t>
      </w:r>
      <w:r>
        <w:rPr>
          <w:spacing w:val="13"/>
        </w:rPr>
        <w:t> </w:t>
      </w:r>
      <w:r>
        <w:rPr/>
        <w:t>5%</w:t>
      </w:r>
      <w:r>
        <w:rPr>
          <w:spacing w:val="11"/>
        </w:rPr>
        <w:t> </w:t>
      </w:r>
      <w:r>
        <w:rPr/>
        <w:t>(0.0077).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finding</w:t>
      </w:r>
      <w:r>
        <w:rPr>
          <w:spacing w:val="11"/>
        </w:rPr>
        <w:t> </w:t>
      </w:r>
      <w:r>
        <w:rPr/>
        <w:t>suggest</w:t>
      </w:r>
      <w:r>
        <w:rPr>
          <w:spacing w:val="12"/>
        </w:rPr>
        <w:t> </w:t>
      </w:r>
      <w:r>
        <w:rPr/>
        <w:t>that</w:t>
      </w:r>
      <w:r>
        <w:rPr>
          <w:spacing w:val="11"/>
        </w:rPr>
        <w:t> </w:t>
      </w:r>
      <w:r>
        <w:rPr/>
        <w:t>older</w:t>
      </w:r>
      <w:r>
        <w:rPr>
          <w:spacing w:val="10"/>
        </w:rPr>
        <w:t> </w:t>
      </w:r>
      <w:r>
        <w:rPr/>
        <w:t>CEO’s</w:t>
      </w:r>
      <w:r>
        <w:rPr>
          <w:spacing w:val="11"/>
        </w:rPr>
        <w:t> </w:t>
      </w:r>
      <w:r>
        <w:rPr/>
        <w:t>between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ages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51</w:t>
      </w:r>
      <w:r>
        <w:rPr>
          <w:spacing w:val="14"/>
        </w:rPr>
        <w:t> </w:t>
      </w:r>
      <w:r>
        <w:rPr/>
        <w:t>and</w:t>
      </w:r>
    </w:p>
    <w:p>
      <w:pPr>
        <w:pStyle w:val="BodyText"/>
        <w:spacing w:before="1"/>
      </w:pPr>
      <w:r>
        <w:rPr/>
        <w:t>60</w:t>
      </w:r>
      <w:r>
        <w:rPr>
          <w:spacing w:val="9"/>
        </w:rPr>
        <w:t> </w:t>
      </w:r>
      <w:r>
        <w:rPr/>
        <w:t>tend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effect</w:t>
      </w:r>
      <w:r>
        <w:rPr>
          <w:spacing w:val="11"/>
        </w:rPr>
        <w:t> </w:t>
      </w:r>
      <w:r>
        <w:rPr/>
        <w:t>on</w:t>
      </w:r>
      <w:r>
        <w:rPr>
          <w:spacing w:val="10"/>
        </w:rPr>
        <w:t> </w:t>
      </w:r>
      <w:r>
        <w:rPr/>
        <w:t>increasing</w:t>
      </w:r>
      <w:r>
        <w:rPr>
          <w:spacing w:val="13"/>
        </w:rPr>
        <w:t> </w:t>
      </w:r>
      <w:r>
        <w:rPr/>
        <w:t>tax</w:t>
      </w:r>
      <w:r>
        <w:rPr>
          <w:spacing w:val="10"/>
        </w:rPr>
        <w:t> </w:t>
      </w:r>
      <w:r>
        <w:rPr/>
        <w:t>paid/</w:t>
      </w:r>
      <w:r>
        <w:rPr>
          <w:spacing w:val="16"/>
        </w:rPr>
        <w:t> </w:t>
      </w:r>
      <w:r>
        <w:rPr/>
        <w:t>pretax</w:t>
      </w:r>
      <w:r>
        <w:rPr>
          <w:spacing w:val="10"/>
        </w:rPr>
        <w:t> </w:t>
      </w:r>
      <w:r>
        <w:rPr/>
        <w:t>income</w:t>
      </w:r>
      <w:r>
        <w:rPr>
          <w:spacing w:val="12"/>
        </w:rPr>
        <w:t> </w:t>
      </w:r>
      <w:r>
        <w:rPr/>
        <w:t>ratio</w:t>
      </w:r>
      <w:r>
        <w:rPr>
          <w:spacing w:val="10"/>
        </w:rPr>
        <w:t> </w:t>
      </w:r>
      <w:r>
        <w:rPr/>
        <w:t>which</w:t>
      </w:r>
      <w:r>
        <w:rPr>
          <w:spacing w:val="9"/>
        </w:rPr>
        <w:t> </w:t>
      </w:r>
      <w:r>
        <w:rPr/>
        <w:t>implies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8"/>
      </w:pPr>
      <w:r>
        <w:rPr/>
        <w:t>that</w:t>
      </w:r>
      <w:r>
        <w:rPr>
          <w:spacing w:val="-6"/>
        </w:rPr>
        <w:t> </w:t>
      </w:r>
      <w:r>
        <w:rPr/>
        <w:t>CEO’s</w:t>
      </w:r>
      <w:r>
        <w:rPr>
          <w:spacing w:val="-6"/>
        </w:rPr>
        <w:t> </w:t>
      </w:r>
      <w:r>
        <w:rPr/>
        <w:t>within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age</w:t>
      </w:r>
      <w:r>
        <w:rPr>
          <w:spacing w:val="-6"/>
        </w:rPr>
        <w:t> </w:t>
      </w:r>
      <w:r>
        <w:rPr/>
        <w:t>range</w:t>
      </w:r>
      <w:r>
        <w:rPr>
          <w:spacing w:val="-6"/>
        </w:rPr>
        <w:t> </w:t>
      </w:r>
      <w:r>
        <w:rPr/>
        <w:t>tend</w:t>
      </w:r>
      <w:r>
        <w:rPr>
          <w:spacing w:val="-4"/>
        </w:rPr>
        <w:t> </w:t>
      </w:r>
      <w:r>
        <w:rPr/>
        <w:t>to</w:t>
      </w:r>
      <w:r>
        <w:rPr>
          <w:spacing w:val="-6"/>
        </w:rPr>
        <w:t> </w:t>
      </w:r>
      <w:r>
        <w:rPr/>
        <w:t>discourage</w:t>
      </w:r>
      <w:r>
        <w:rPr>
          <w:spacing w:val="-6"/>
        </w:rPr>
        <w:t> </w:t>
      </w:r>
      <w:r>
        <w:rPr/>
        <w:t>tax</w:t>
      </w:r>
      <w:r>
        <w:rPr>
          <w:spacing w:val="-3"/>
        </w:rPr>
        <w:t> </w:t>
      </w:r>
      <w:r>
        <w:rPr/>
        <w:t>aggressive</w:t>
      </w:r>
      <w:r>
        <w:rPr>
          <w:spacing w:val="-5"/>
        </w:rPr>
        <w:t> </w:t>
      </w:r>
      <w:r>
        <w:rPr/>
        <w:t>activity.</w:t>
      </w:r>
      <w:r>
        <w:rPr>
          <w:spacing w:val="-5"/>
        </w:rPr>
        <w:t> </w:t>
      </w:r>
      <w:r>
        <w:rPr/>
        <w:t>Thus</w:t>
      </w:r>
      <w:r>
        <w:rPr>
          <w:spacing w:val="-5"/>
        </w:rPr>
        <w:t> </w:t>
      </w:r>
      <w:r>
        <w:rPr/>
        <w:t>though</w:t>
      </w:r>
      <w:r>
        <w:rPr>
          <w:spacing w:val="-5"/>
        </w:rPr>
        <w:t> </w:t>
      </w:r>
      <w:r>
        <w:rPr/>
        <w:t>CEO-</w:t>
      </w:r>
      <w:r>
        <w:rPr>
          <w:spacing w:val="-58"/>
        </w:rPr>
        <w:t> </w:t>
      </w:r>
      <w:r>
        <w:rPr/>
        <w:t>Age</w:t>
      </w:r>
      <w:r>
        <w:rPr>
          <w:spacing w:val="-8"/>
        </w:rPr>
        <w:t> </w:t>
      </w:r>
      <w:r>
        <w:rPr/>
        <w:t>as</w:t>
      </w:r>
      <w:r>
        <w:rPr>
          <w:spacing w:val="-4"/>
        </w:rPr>
        <w:t> </w:t>
      </w:r>
      <w:r>
        <w:rPr/>
        <w:t>seen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fixed</w:t>
      </w:r>
      <w:r>
        <w:rPr>
          <w:spacing w:val="-6"/>
        </w:rPr>
        <w:t> </w:t>
      </w:r>
      <w:r>
        <w:rPr/>
        <w:t>estimation</w:t>
      </w:r>
      <w:r>
        <w:rPr>
          <w:spacing w:val="-6"/>
        </w:rPr>
        <w:t> </w:t>
      </w:r>
      <w:r>
        <w:rPr/>
        <w:t>output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positive</w:t>
      </w:r>
      <w:r>
        <w:rPr>
          <w:spacing w:val="-6"/>
        </w:rPr>
        <w:t> </w:t>
      </w:r>
      <w:r>
        <w:rPr/>
        <w:t>coefficient</w:t>
      </w:r>
      <w:r>
        <w:rPr>
          <w:spacing w:val="-6"/>
        </w:rPr>
        <w:t> </w:t>
      </w:r>
      <w:r>
        <w:rPr/>
        <w:t>(0.0010)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(p=0.0199)</w:t>
      </w:r>
      <w:r>
        <w:rPr>
          <w:spacing w:val="-5"/>
        </w:rPr>
        <w:t> </w:t>
      </w:r>
      <w:r>
        <w:rPr/>
        <w:t>at</w:t>
      </w:r>
      <w:r>
        <w:rPr>
          <w:spacing w:val="-3"/>
        </w:rPr>
        <w:t> </w:t>
      </w:r>
      <w:r>
        <w:rPr/>
        <w:t>5%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hence</w:t>
      </w:r>
      <w:r>
        <w:rPr>
          <w:spacing w:val="-5"/>
        </w:rPr>
        <w:t> </w:t>
      </w:r>
      <w:r>
        <w:rPr/>
        <w:t>suggest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older</w:t>
      </w:r>
      <w:r>
        <w:rPr>
          <w:spacing w:val="-5"/>
        </w:rPr>
        <w:t> </w:t>
      </w:r>
      <w:r>
        <w:rPr/>
        <w:t>CEO’s</w:t>
      </w:r>
      <w:r>
        <w:rPr>
          <w:spacing w:val="-4"/>
        </w:rPr>
        <w:t> </w:t>
      </w:r>
      <w:r>
        <w:rPr/>
        <w:t>tends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result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less</w:t>
      </w:r>
      <w:r>
        <w:rPr>
          <w:spacing w:val="-4"/>
        </w:rPr>
        <w:t> </w:t>
      </w:r>
      <w:r>
        <w:rPr/>
        <w:t>tax</w:t>
      </w:r>
      <w:r>
        <w:rPr>
          <w:spacing w:val="-58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activity, there</w:t>
      </w:r>
      <w:r>
        <w:rPr>
          <w:spacing w:val="-1"/>
        </w:rPr>
        <w:t> </w:t>
      </w:r>
      <w:r>
        <w:rPr/>
        <w:t>is a threshold</w:t>
      </w:r>
      <w:r>
        <w:rPr>
          <w:spacing w:val="-1"/>
        </w:rPr>
        <w:t> </w:t>
      </w:r>
      <w:r>
        <w:rPr/>
        <w:t>restriction on this relationship.</w:t>
      </w:r>
    </w:p>
    <w:p>
      <w:pPr>
        <w:pStyle w:val="BodyText"/>
        <w:spacing w:line="480" w:lineRule="auto" w:before="121"/>
        <w:ind w:right="830"/>
      </w:pPr>
      <w:r>
        <w:rPr/>
        <w:drawing>
          <wp:anchor distT="0" distB="0" distL="0" distR="0" allowOverlap="1" layoutInCell="1" locked="0" behindDoc="1" simplePos="0" relativeHeight="454067200">
            <wp:simplePos x="0" y="0"/>
            <wp:positionH relativeFrom="page">
              <wp:posOffset>1261605</wp:posOffset>
            </wp:positionH>
            <wp:positionV relativeFrom="paragraph">
              <wp:posOffset>376467</wp:posOffset>
            </wp:positionV>
            <wp:extent cx="5133225" cy="5265293"/>
            <wp:effectExtent l="0" t="0" r="0" b="0"/>
            <wp:wrapNone/>
            <wp:docPr id="24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Our finding is corroborates and lends credence to the view that younger CEOs have high risk-</w:t>
      </w:r>
      <w:r>
        <w:rPr>
          <w:spacing w:val="1"/>
        </w:rPr>
        <w:t> </w:t>
      </w:r>
      <w:r>
        <w:rPr/>
        <w:t>taking activities. In the same vein, Bertrand and Schoar (2003) show older executives enjoy</w:t>
      </w:r>
      <w:r>
        <w:rPr>
          <w:spacing w:val="1"/>
        </w:rPr>
        <w:t> </w:t>
      </w:r>
      <w:r>
        <w:rPr>
          <w:spacing w:val="-1"/>
        </w:rPr>
        <w:t>their</w:t>
      </w:r>
      <w:r>
        <w:rPr>
          <w:spacing w:val="-16"/>
        </w:rPr>
        <w:t> </w:t>
      </w:r>
      <w:r>
        <w:rPr/>
        <w:t>“quite</w:t>
      </w:r>
      <w:r>
        <w:rPr>
          <w:spacing w:val="-14"/>
        </w:rPr>
        <w:t> </w:t>
      </w:r>
      <w:r>
        <w:rPr/>
        <w:t>life”</w:t>
      </w:r>
      <w:r>
        <w:rPr>
          <w:spacing w:val="-14"/>
        </w:rPr>
        <w:t> </w:t>
      </w:r>
      <w:r>
        <w:rPr/>
        <w:t>rather</w:t>
      </w:r>
      <w:r>
        <w:rPr>
          <w:spacing w:val="-16"/>
        </w:rPr>
        <w:t> </w:t>
      </w:r>
      <w:r>
        <w:rPr/>
        <w:t>than</w:t>
      </w:r>
      <w:r>
        <w:rPr>
          <w:spacing w:val="-15"/>
        </w:rPr>
        <w:t> </w:t>
      </w:r>
      <w:r>
        <w:rPr/>
        <w:t>investing</w:t>
      </w:r>
      <w:r>
        <w:rPr>
          <w:spacing w:val="-15"/>
        </w:rPr>
        <w:t> </w:t>
      </w:r>
      <w:r>
        <w:rPr/>
        <w:t>in</w:t>
      </w:r>
      <w:r>
        <w:rPr>
          <w:spacing w:val="-12"/>
        </w:rPr>
        <w:t> </w:t>
      </w:r>
      <w:r>
        <w:rPr/>
        <w:t>risky</w:t>
      </w:r>
      <w:r>
        <w:rPr>
          <w:spacing w:val="-15"/>
        </w:rPr>
        <w:t> </w:t>
      </w:r>
      <w:r>
        <w:rPr/>
        <w:t>investments.</w:t>
      </w:r>
      <w:r>
        <w:rPr>
          <w:spacing w:val="-14"/>
        </w:rPr>
        <w:t> </w:t>
      </w:r>
      <w:r>
        <w:rPr/>
        <w:t>The</w:t>
      </w:r>
      <w:r>
        <w:rPr>
          <w:spacing w:val="-16"/>
        </w:rPr>
        <w:t> </w:t>
      </w:r>
      <w:r>
        <w:rPr/>
        <w:t>decreased</w:t>
      </w:r>
      <w:r>
        <w:rPr>
          <w:spacing w:val="-13"/>
        </w:rPr>
        <w:t> </w:t>
      </w:r>
      <w:r>
        <w:rPr/>
        <w:t>risk-taking</w:t>
      </w:r>
      <w:r>
        <w:rPr>
          <w:spacing w:val="-15"/>
        </w:rPr>
        <w:t> </w:t>
      </w:r>
      <w:r>
        <w:rPr/>
        <w:t>incentives</w:t>
      </w:r>
      <w:r>
        <w:rPr>
          <w:spacing w:val="-57"/>
        </w:rPr>
        <w:t> </w:t>
      </w:r>
      <w:r>
        <w:rPr/>
        <w:t>in older CEOs relative to younger CEOs predict a negative relation between CEO age and tax</w:t>
      </w:r>
      <w:r>
        <w:rPr>
          <w:spacing w:val="1"/>
        </w:rPr>
        <w:t> </w:t>
      </w:r>
      <w:r>
        <w:rPr/>
        <w:t>avoidance. This hypothesis is referred as quite life hypothesis and is supported by this study.</w:t>
      </w:r>
      <w:r>
        <w:rPr>
          <w:spacing w:val="1"/>
        </w:rPr>
        <w:t> </w:t>
      </w:r>
      <w:r>
        <w:rPr>
          <w:spacing w:val="-1"/>
        </w:rPr>
        <w:t>Also</w:t>
      </w:r>
      <w:r>
        <w:rPr>
          <w:spacing w:val="-15"/>
        </w:rPr>
        <w:t> </w:t>
      </w:r>
      <w:r>
        <w:rPr/>
        <w:t>consistent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our</w:t>
      </w:r>
      <w:r>
        <w:rPr>
          <w:spacing w:val="-13"/>
        </w:rPr>
        <w:t> </w:t>
      </w:r>
      <w:r>
        <w:rPr/>
        <w:t>findings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that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Axelson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Bond</w:t>
      </w:r>
      <w:r>
        <w:rPr>
          <w:spacing w:val="-12"/>
        </w:rPr>
        <w:t> </w:t>
      </w:r>
      <w:r>
        <w:rPr/>
        <w:t>(2009)</w:t>
      </w:r>
      <w:r>
        <w:rPr>
          <w:spacing w:val="-12"/>
        </w:rPr>
        <w:t> </w:t>
      </w:r>
      <w:r>
        <w:rPr/>
        <w:t>which</w:t>
      </w:r>
      <w:r>
        <w:rPr>
          <w:spacing w:val="-15"/>
        </w:rPr>
        <w:t> </w:t>
      </w:r>
      <w:r>
        <w:rPr/>
        <w:t>suggest</w:t>
      </w:r>
      <w:r>
        <w:rPr>
          <w:spacing w:val="-14"/>
        </w:rPr>
        <w:t> </w:t>
      </w:r>
      <w:r>
        <w:rPr/>
        <w:t>that</w:t>
      </w:r>
      <w:r>
        <w:rPr>
          <w:spacing w:val="-15"/>
        </w:rPr>
        <w:t> </w:t>
      </w:r>
      <w:r>
        <w:rPr/>
        <w:t>adverse</w:t>
      </w:r>
      <w:r>
        <w:rPr>
          <w:spacing w:val="-57"/>
        </w:rPr>
        <w:t> </w:t>
      </w:r>
      <w:r>
        <w:rPr/>
        <w:t>selection is more severe for younger CEOs, which incentivizes them to take more aggressive</w:t>
      </w:r>
      <w:r>
        <w:rPr>
          <w:spacing w:val="1"/>
        </w:rPr>
        <w:t> </w:t>
      </w:r>
      <w:r>
        <w:rPr/>
        <w:t>policies to avoid being labeled as “Low ability”. In addition, Bamber, et al. (2010) show that</w:t>
      </w:r>
      <w:r>
        <w:rPr>
          <w:spacing w:val="1"/>
        </w:rPr>
        <w:t> </w:t>
      </w:r>
      <w:r>
        <w:rPr/>
        <w:t>old managers are associated with certain conservative disclosure style.</w:t>
      </w:r>
      <w:r>
        <w:rPr>
          <w:spacing w:val="1"/>
        </w:rPr>
        <w:t> </w:t>
      </w:r>
      <w:r>
        <w:rPr/>
        <w:t>Although an opposing</w:t>
      </w:r>
      <w:r>
        <w:rPr>
          <w:spacing w:val="1"/>
        </w:rPr>
        <w:t> </w:t>
      </w:r>
      <w:r>
        <w:rPr/>
        <w:t>view in the literature is that CEOs of older age may be more risk-tolerant than their younger</w:t>
      </w:r>
      <w:r>
        <w:rPr>
          <w:spacing w:val="1"/>
        </w:rPr>
        <w:t> </w:t>
      </w:r>
      <w:r>
        <w:rPr/>
        <w:t>peers. As a result, younger CEOs are more likely to select conservative investment policies. In</w:t>
      </w:r>
      <w:r>
        <w:rPr>
          <w:spacing w:val="-57"/>
        </w:rPr>
        <w:t> </w:t>
      </w:r>
      <w:r>
        <w:rPr/>
        <w:t>the tax avoidance context, the cost of noncompliance may be more severe for younger CEOs</w:t>
      </w:r>
      <w:r>
        <w:rPr>
          <w:spacing w:val="1"/>
        </w:rPr>
        <w:t> </w:t>
      </w:r>
      <w:r>
        <w:rPr/>
        <w:t>relative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older</w:t>
      </w:r>
      <w:r>
        <w:rPr>
          <w:spacing w:val="-4"/>
        </w:rPr>
        <w:t> </w:t>
      </w:r>
      <w:r>
        <w:rPr/>
        <w:t>ones.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such,</w:t>
      </w:r>
      <w:r>
        <w:rPr>
          <w:spacing w:val="-4"/>
        </w:rPr>
        <w:t> </w:t>
      </w:r>
      <w:r>
        <w:rPr/>
        <w:t>younger</w:t>
      </w:r>
      <w:r>
        <w:rPr>
          <w:spacing w:val="-4"/>
        </w:rPr>
        <w:t> </w:t>
      </w:r>
      <w:r>
        <w:rPr/>
        <w:t>CEOs</w:t>
      </w:r>
      <w:r>
        <w:rPr>
          <w:spacing w:val="-4"/>
        </w:rPr>
        <w:t> </w:t>
      </w:r>
      <w:r>
        <w:rPr/>
        <w:t>may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more</w:t>
      </w:r>
      <w:r>
        <w:rPr>
          <w:spacing w:val="-5"/>
        </w:rPr>
        <w:t> </w:t>
      </w:r>
      <w:r>
        <w:rPr/>
        <w:t>reluctant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conduct</w:t>
      </w:r>
      <w:r>
        <w:rPr>
          <w:spacing w:val="-3"/>
        </w:rPr>
        <w:t> </w:t>
      </w:r>
      <w:r>
        <w:rPr/>
        <w:t>tax</w:t>
      </w:r>
      <w:r>
        <w:rPr>
          <w:spacing w:val="-4"/>
        </w:rPr>
        <w:t> </w:t>
      </w:r>
      <w:r>
        <w:rPr/>
        <w:t>avoidance</w:t>
      </w:r>
      <w:r>
        <w:rPr>
          <w:spacing w:val="-57"/>
        </w:rPr>
        <w:t> </w:t>
      </w:r>
      <w:r>
        <w:rPr/>
        <w:t>strategies.</w:t>
      </w:r>
    </w:p>
    <w:p>
      <w:pPr>
        <w:pStyle w:val="Heading1"/>
        <w:numPr>
          <w:ilvl w:val="2"/>
          <w:numId w:val="32"/>
        </w:numPr>
        <w:tabs>
          <w:tab w:pos="1423" w:val="left" w:leader="none"/>
        </w:tabs>
        <w:spacing w:line="240" w:lineRule="auto" w:before="121" w:after="0"/>
        <w:ind w:left="1422" w:right="0" w:hanging="601"/>
        <w:jc w:val="both"/>
      </w:pPr>
      <w:bookmarkStart w:name="_bookmark98" w:id="158"/>
      <w:bookmarkEnd w:id="158"/>
      <w:r>
        <w:rPr>
          <w:b w:val="0"/>
        </w:rPr>
      </w:r>
      <w:bookmarkStart w:name="_bookmark98" w:id="159"/>
      <w:bookmarkEnd w:id="159"/>
      <w:r>
        <w:rPr/>
        <w:t>CEO</w:t>
      </w:r>
      <w:r>
        <w:rPr>
          <w:spacing w:val="-2"/>
        </w:rPr>
        <w:t> </w:t>
      </w:r>
      <w:r>
        <w:rPr/>
        <w:t>tenure</w:t>
      </w:r>
      <w:r>
        <w:rPr>
          <w:spacing w:val="-3"/>
        </w:rPr>
        <w:t> </w:t>
      </w:r>
      <w:r>
        <w:rPr/>
        <w:t>and tax</w:t>
      </w:r>
      <w:r>
        <w:rPr>
          <w:spacing w:val="-2"/>
        </w:rPr>
        <w:t> </w:t>
      </w:r>
      <w:r>
        <w:rPr/>
        <w:t>aggressiveness</w:t>
      </w:r>
    </w:p>
    <w:p>
      <w:pPr>
        <w:pStyle w:val="BodyText"/>
        <w:spacing w:line="550" w:lineRule="atLeast" w:before="65"/>
        <w:ind w:right="830"/>
      </w:pPr>
      <w:r>
        <w:rPr/>
        <w:t>The analysis of the CEO attributes fixed effects estimation results, reveals that CEOT has a</w:t>
      </w:r>
      <w:r>
        <w:rPr>
          <w:spacing w:val="1"/>
        </w:rPr>
        <w:t> </w:t>
      </w:r>
      <w:r>
        <w:rPr/>
        <w:t>negative coefficient (-0.0049) though not significant (p=0.7640) at 5%. %. The results suggest</w:t>
      </w:r>
      <w:r>
        <w:rPr>
          <w:spacing w:val="-57"/>
        </w:rPr>
        <w:t> </w:t>
      </w:r>
      <w:r>
        <w:rPr/>
        <w:t>that</w:t>
      </w:r>
      <w:r>
        <w:rPr>
          <w:spacing w:val="-4"/>
        </w:rPr>
        <w:t> </w:t>
      </w:r>
      <w:r>
        <w:rPr/>
        <w:t>CEO’s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tenure</w:t>
      </w:r>
      <w:r>
        <w:rPr>
          <w:spacing w:val="-5"/>
        </w:rPr>
        <w:t> </w:t>
      </w:r>
      <w:r>
        <w:rPr/>
        <w:t>above</w:t>
      </w:r>
      <w:r>
        <w:rPr>
          <w:spacing w:val="-4"/>
        </w:rPr>
        <w:t> </w:t>
      </w:r>
      <w:r>
        <w:rPr/>
        <w:t>5yrs</w:t>
      </w:r>
      <w:r>
        <w:rPr>
          <w:spacing w:val="-4"/>
        </w:rPr>
        <w:t> </w:t>
      </w:r>
      <w:r>
        <w:rPr/>
        <w:t>tend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reduction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tax</w:t>
      </w:r>
      <w:r>
        <w:rPr>
          <w:spacing w:val="-3"/>
        </w:rPr>
        <w:t> </w:t>
      </w:r>
      <w:r>
        <w:rPr/>
        <w:t>paid/</w:t>
      </w:r>
      <w:r>
        <w:rPr>
          <w:spacing w:val="-3"/>
        </w:rPr>
        <w:t> </w:t>
      </w:r>
      <w:r>
        <w:rPr/>
        <w:t>pre-tax</w:t>
      </w:r>
      <w:r>
        <w:rPr>
          <w:spacing w:val="-3"/>
        </w:rPr>
        <w:t> </w:t>
      </w:r>
      <w:r>
        <w:rPr/>
        <w:t>income</w:t>
      </w:r>
      <w:r>
        <w:rPr>
          <w:spacing w:val="-58"/>
        </w:rPr>
        <w:t> </w:t>
      </w:r>
      <w:r>
        <w:rPr/>
        <w:t>ratio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implies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tax</w:t>
      </w:r>
      <w:r>
        <w:rPr>
          <w:spacing w:val="-4"/>
        </w:rPr>
        <w:t> </w:t>
      </w:r>
      <w:r>
        <w:rPr/>
        <w:t>aggressive</w:t>
      </w:r>
      <w:r>
        <w:rPr>
          <w:spacing w:val="-5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although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not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hence caution is suggested in drawing any inference.. However, in response to this pressure,</w:t>
      </w:r>
      <w:r>
        <w:rPr>
          <w:spacing w:val="1"/>
        </w:rPr>
        <w:t> </w:t>
      </w:r>
      <w:r>
        <w:rPr/>
        <w:t>CEOs</w:t>
      </w:r>
      <w:r>
        <w:rPr>
          <w:spacing w:val="8"/>
        </w:rPr>
        <w:t> </w:t>
      </w:r>
      <w:r>
        <w:rPr/>
        <w:t>can</w:t>
      </w:r>
      <w:r>
        <w:rPr>
          <w:spacing w:val="11"/>
        </w:rPr>
        <w:t> </w:t>
      </w:r>
      <w:r>
        <w:rPr/>
        <w:t>also</w:t>
      </w:r>
      <w:r>
        <w:rPr>
          <w:spacing w:val="11"/>
        </w:rPr>
        <w:t> </w:t>
      </w:r>
      <w:r>
        <w:rPr/>
        <w:t>influence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firm’s</w:t>
      </w:r>
      <w:r>
        <w:rPr>
          <w:spacing w:val="8"/>
        </w:rPr>
        <w:t> </w:t>
      </w:r>
      <w:r>
        <w:rPr/>
        <w:t>financial</w:t>
      </w:r>
      <w:r>
        <w:rPr>
          <w:spacing w:val="10"/>
        </w:rPr>
        <w:t> </w:t>
      </w:r>
      <w:r>
        <w:rPr/>
        <w:t>reporting</w:t>
      </w:r>
      <w:r>
        <w:rPr>
          <w:spacing w:val="9"/>
        </w:rPr>
        <w:t> </w:t>
      </w:r>
      <w:r>
        <w:rPr/>
        <w:t>to</w:t>
      </w:r>
      <w:r>
        <w:rPr>
          <w:spacing w:val="9"/>
        </w:rPr>
        <w:t> </w:t>
      </w:r>
      <w:r>
        <w:rPr/>
        <w:t>make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appear</w:t>
      </w:r>
      <w:r>
        <w:rPr>
          <w:spacing w:val="10"/>
        </w:rPr>
        <w:t> </w:t>
      </w:r>
      <w:r>
        <w:rPr/>
        <w:t>as</w:t>
      </w:r>
      <w:r>
        <w:rPr>
          <w:spacing w:val="8"/>
        </w:rPr>
        <w:t> </w:t>
      </w:r>
      <w:r>
        <w:rPr/>
        <w:t>though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firm’s</w:t>
      </w:r>
    </w:p>
    <w:p>
      <w:pPr>
        <w:spacing w:after="0" w:line="550" w:lineRule="atLeas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drawing>
          <wp:anchor distT="0" distB="0" distL="0" distR="0" allowOverlap="1" layoutInCell="1" locked="0" behindDoc="1" simplePos="0" relativeHeight="45406771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4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performance is better than the economics would suggest. In line with this idea, Ali and Zhang</w:t>
      </w:r>
      <w:r>
        <w:rPr>
          <w:spacing w:val="1"/>
        </w:rPr>
        <w:t> </w:t>
      </w:r>
      <w:r>
        <w:rPr/>
        <w:t>(2015) provide evidence that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with CEOs early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 tenure have more earnings</w:t>
      </w:r>
      <w:r>
        <w:rPr>
          <w:spacing w:val="1"/>
        </w:rPr>
        <w:t> </w:t>
      </w:r>
      <w:r>
        <w:rPr/>
        <w:t>management and conclude that by managing earnings upwards, new CEOs are attempting to</w:t>
      </w:r>
      <w:r>
        <w:rPr>
          <w:spacing w:val="1"/>
        </w:rPr>
        <w:t> </w:t>
      </w:r>
      <w:r>
        <w:rPr/>
        <w:t>provide a positive signal of their ability to the market. However, a CEO’s preference for tax</w:t>
      </w:r>
      <w:r>
        <w:rPr>
          <w:spacing w:val="1"/>
        </w:rPr>
        <w:t> </w:t>
      </w:r>
      <w:r>
        <w:rPr/>
        <w:t>activities</w:t>
      </w:r>
      <w:r>
        <w:rPr>
          <w:spacing w:val="-10"/>
        </w:rPr>
        <w:t> </w:t>
      </w:r>
      <w:r>
        <w:rPr/>
        <w:t>is</w:t>
      </w:r>
      <w:r>
        <w:rPr>
          <w:spacing w:val="-8"/>
        </w:rPr>
        <w:t> </w:t>
      </w:r>
      <w:r>
        <w:rPr/>
        <w:t>less</w:t>
      </w:r>
      <w:r>
        <w:rPr>
          <w:spacing w:val="-11"/>
        </w:rPr>
        <w:t> </w:t>
      </w:r>
      <w:r>
        <w:rPr/>
        <w:t>clear.</w:t>
      </w:r>
      <w:r>
        <w:rPr>
          <w:spacing w:val="-9"/>
        </w:rPr>
        <w:t> </w:t>
      </w:r>
      <w:r>
        <w:rPr/>
        <w:t>While</w:t>
      </w:r>
      <w:r>
        <w:rPr>
          <w:spacing w:val="-11"/>
        </w:rPr>
        <w:t> </w:t>
      </w:r>
      <w:r>
        <w:rPr/>
        <w:t>reporting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lower</w:t>
      </w:r>
      <w:r>
        <w:rPr>
          <w:spacing w:val="-9"/>
        </w:rPr>
        <w:t> </w:t>
      </w:r>
      <w:r>
        <w:rPr/>
        <w:t>tax</w:t>
      </w:r>
      <w:r>
        <w:rPr>
          <w:spacing w:val="-13"/>
        </w:rPr>
        <w:t> </w:t>
      </w:r>
      <w:r>
        <w:rPr/>
        <w:t>expense</w:t>
      </w:r>
      <w:r>
        <w:rPr>
          <w:spacing w:val="-9"/>
        </w:rPr>
        <w:t> </w:t>
      </w:r>
      <w:r>
        <w:rPr/>
        <w:t>or</w:t>
      </w:r>
      <w:r>
        <w:rPr>
          <w:spacing w:val="-9"/>
        </w:rPr>
        <w:t> </w:t>
      </w:r>
      <w:r>
        <w:rPr/>
        <w:t>paying</w:t>
      </w:r>
      <w:r>
        <w:rPr>
          <w:spacing w:val="-6"/>
        </w:rPr>
        <w:t> </w:t>
      </w:r>
      <w:r>
        <w:rPr/>
        <w:t>fewer</w:t>
      </w:r>
      <w:r>
        <w:rPr>
          <w:spacing w:val="-9"/>
        </w:rPr>
        <w:t> </w:t>
      </w:r>
      <w:r>
        <w:rPr/>
        <w:t>taxes</w:t>
      </w:r>
      <w:r>
        <w:rPr>
          <w:spacing w:val="-8"/>
        </w:rPr>
        <w:t> </w:t>
      </w:r>
      <w:r>
        <w:rPr/>
        <w:t>improves</w:t>
      </w:r>
      <w:r>
        <w:rPr>
          <w:spacing w:val="-8"/>
        </w:rPr>
        <w:t> </w:t>
      </w:r>
      <w:r>
        <w:rPr/>
        <w:t>firm</w:t>
      </w:r>
      <w:r>
        <w:rPr>
          <w:spacing w:val="-58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performance,</w:t>
      </w:r>
      <w:r>
        <w:rPr>
          <w:spacing w:val="-4"/>
        </w:rPr>
        <w:t> </w:t>
      </w:r>
      <w:r>
        <w:rPr/>
        <w:t>these</w:t>
      </w:r>
      <w:r>
        <w:rPr>
          <w:spacing w:val="-5"/>
        </w:rPr>
        <w:t> </w:t>
      </w:r>
      <w:r>
        <w:rPr/>
        <w:t>actions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also</w:t>
      </w:r>
      <w:r>
        <w:rPr>
          <w:spacing w:val="-3"/>
        </w:rPr>
        <w:t> </w:t>
      </w:r>
      <w:r>
        <w:rPr/>
        <w:t>affect</w:t>
      </w:r>
      <w:r>
        <w:rPr>
          <w:spacing w:val="-4"/>
        </w:rPr>
        <w:t> </w:t>
      </w:r>
      <w:r>
        <w:rPr/>
        <w:t>reputation</w:t>
      </w:r>
      <w:r>
        <w:rPr>
          <w:spacing w:val="-3"/>
        </w:rPr>
        <w:t> </w:t>
      </w:r>
      <w:r>
        <w:rPr/>
        <w:t>risk</w:t>
      </w:r>
      <w:r>
        <w:rPr>
          <w:spacing w:val="-4"/>
        </w:rPr>
        <w:t> </w:t>
      </w:r>
      <w:r>
        <w:rPr/>
        <w:t>(Graham,</w:t>
      </w:r>
      <w:r>
        <w:rPr>
          <w:spacing w:val="-3"/>
        </w:rPr>
        <w:t> </w:t>
      </w:r>
      <w:r>
        <w:rPr/>
        <w:t>Hanlon,</w:t>
      </w:r>
      <w:r>
        <w:rPr>
          <w:spacing w:val="-3"/>
        </w:rPr>
        <w:t> </w:t>
      </w:r>
      <w:r>
        <w:rPr/>
        <w:t>Shevlin,</w:t>
      </w:r>
      <w:r>
        <w:rPr>
          <w:spacing w:val="-58"/>
        </w:rPr>
        <w:t> </w:t>
      </w:r>
      <w:r>
        <w:rPr/>
        <w:t>&amp; Shroff 2014) and executives are sometimes fired when the firm pays too much or too little</w:t>
      </w:r>
      <w:r>
        <w:rPr>
          <w:spacing w:val="1"/>
        </w:rPr>
        <w:t> </w:t>
      </w:r>
      <w:r>
        <w:rPr/>
        <w:t>tax (Chyz &amp; Gartner 2017). Not much studies exist that have examined this relationship,</w:t>
      </w:r>
      <w:r>
        <w:rPr>
          <w:spacing w:val="1"/>
        </w:rPr>
        <w:t> </w:t>
      </w:r>
      <w:r>
        <w:rPr/>
        <w:t>however, our finding is supported by that of Chyz &amp; Gartner (2017) Income tax represents a</w:t>
      </w:r>
      <w:r>
        <w:rPr>
          <w:spacing w:val="1"/>
        </w:rPr>
        <w:t> </w:t>
      </w:r>
      <w:r>
        <w:rPr/>
        <w:t>significant expense for many corporations – often the largest expense after cost of goods sold.</w:t>
      </w:r>
      <w:r>
        <w:rPr>
          <w:spacing w:val="-57"/>
        </w:rPr>
        <w:t> </w:t>
      </w:r>
      <w:r>
        <w:rPr/>
        <w:t>As such, decreasing this expense can increase net income and provide a positive signal to</w:t>
      </w:r>
      <w:r>
        <w:rPr>
          <w:spacing w:val="1"/>
        </w:rPr>
        <w:t> </w:t>
      </w:r>
      <w:r>
        <w:rPr/>
        <w:t>boards.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increased</w:t>
      </w:r>
      <w:r>
        <w:rPr>
          <w:spacing w:val="-9"/>
        </w:rPr>
        <w:t> </w:t>
      </w:r>
      <w:r>
        <w:rPr/>
        <w:t>pressure</w:t>
      </w:r>
      <w:r>
        <w:rPr>
          <w:spacing w:val="-9"/>
        </w:rPr>
        <w:t> </w:t>
      </w:r>
      <w:r>
        <w:rPr/>
        <w:t>faced</w:t>
      </w:r>
      <w:r>
        <w:rPr>
          <w:spacing w:val="-7"/>
        </w:rPr>
        <w:t> </w:t>
      </w:r>
      <w:r>
        <w:rPr/>
        <w:t>by</w:t>
      </w:r>
      <w:r>
        <w:rPr>
          <w:spacing w:val="-9"/>
        </w:rPr>
        <w:t> </w:t>
      </w:r>
      <w:r>
        <w:rPr/>
        <w:t>executives</w:t>
      </w:r>
      <w:r>
        <w:rPr>
          <w:spacing w:val="-6"/>
        </w:rPr>
        <w:t> </w:t>
      </w:r>
      <w:r>
        <w:rPr/>
        <w:t>early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9"/>
        </w:rPr>
        <w:t> </w:t>
      </w:r>
      <w:r>
        <w:rPr/>
        <w:t>tenure</w:t>
      </w:r>
      <w:r>
        <w:rPr>
          <w:spacing w:val="-10"/>
        </w:rPr>
        <w:t> </w:t>
      </w:r>
      <w:r>
        <w:rPr/>
        <w:t>may</w:t>
      </w:r>
      <w:r>
        <w:rPr>
          <w:spacing w:val="-5"/>
        </w:rPr>
        <w:t> </w:t>
      </w:r>
      <w:r>
        <w:rPr/>
        <w:t>provide</w:t>
      </w:r>
      <w:r>
        <w:rPr>
          <w:spacing w:val="-9"/>
        </w:rPr>
        <w:t> </w:t>
      </w:r>
      <w:r>
        <w:rPr/>
        <w:t>incentives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lower the</w:t>
      </w:r>
      <w:r>
        <w:rPr>
          <w:spacing w:val="-2"/>
        </w:rPr>
        <w:t> </w:t>
      </w:r>
      <w:r>
        <w:rPr/>
        <w:t>tax expense</w:t>
      </w:r>
      <w:r>
        <w:rPr>
          <w:spacing w:val="1"/>
        </w:rPr>
        <w:t> </w:t>
      </w:r>
      <w:r>
        <w:rPr/>
        <w:t>in order to increase</w:t>
      </w:r>
      <w:r>
        <w:rPr>
          <w:spacing w:val="1"/>
        </w:rPr>
        <w:t> </w:t>
      </w:r>
      <w:r>
        <w:rPr/>
        <w:t>earnings</w:t>
      </w:r>
      <w:r>
        <w:rPr>
          <w:spacing w:val="-1"/>
        </w:rPr>
        <w:t> </w:t>
      </w:r>
      <w:r>
        <w:rPr/>
        <w:t>(</w:t>
      </w:r>
    </w:p>
    <w:p>
      <w:pPr>
        <w:pStyle w:val="Heading1"/>
        <w:numPr>
          <w:ilvl w:val="2"/>
          <w:numId w:val="32"/>
        </w:numPr>
        <w:tabs>
          <w:tab w:pos="1423" w:val="left" w:leader="none"/>
        </w:tabs>
        <w:spacing w:line="240" w:lineRule="auto" w:before="122" w:after="0"/>
        <w:ind w:left="1422" w:right="0" w:hanging="601"/>
        <w:jc w:val="both"/>
      </w:pPr>
      <w:bookmarkStart w:name="_bookmark99" w:id="160"/>
      <w:bookmarkEnd w:id="160"/>
      <w:r>
        <w:rPr>
          <w:b w:val="0"/>
        </w:rPr>
      </w:r>
      <w:bookmarkStart w:name="_bookmark99" w:id="161"/>
      <w:bookmarkEnd w:id="161"/>
      <w:r>
        <w:rPr/>
        <w:t>CEO</w:t>
      </w:r>
      <w:r>
        <w:rPr>
          <w:spacing w:val="-3"/>
        </w:rPr>
        <w:t> </w:t>
      </w:r>
      <w:r>
        <w:rPr/>
        <w:t>ownership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tax</w:t>
      </w:r>
      <w:r>
        <w:rPr>
          <w:spacing w:val="-2"/>
        </w:rPr>
        <w:t> </w:t>
      </w:r>
      <w:r>
        <w:rPr/>
        <w:t>aggressiveness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0"/>
      </w:pPr>
      <w:r>
        <w:rPr/>
        <w:t>CEO-Own has a negative coefficient (-0.0012) and significant (p=0.0402) at 5%. The results</w:t>
      </w:r>
      <w:r>
        <w:rPr>
          <w:spacing w:val="1"/>
        </w:rPr>
        <w:t> </w:t>
      </w:r>
      <w:r>
        <w:rPr/>
        <w:t>suggest that an increase in CEO equity ownership results in a reduction in the tax paid/ pre-tax</w:t>
      </w:r>
      <w:r>
        <w:rPr>
          <w:spacing w:val="-58"/>
        </w:rPr>
        <w:t> </w:t>
      </w:r>
      <w:r>
        <w:rPr/>
        <w:t>income ratio and this implies an increase in tax aggressiveness. For CEO-Own, the threshold</w:t>
      </w:r>
      <w:r>
        <w:rPr>
          <w:spacing w:val="1"/>
        </w:rPr>
        <w:t> </w:t>
      </w:r>
      <w:r>
        <w:rPr/>
        <w:t>estimation</w:t>
      </w:r>
      <w:r>
        <w:rPr>
          <w:spacing w:val="6"/>
        </w:rPr>
        <w:t> </w:t>
      </w:r>
      <w:r>
        <w:rPr/>
        <w:t>results,</w:t>
      </w:r>
      <w:r>
        <w:rPr>
          <w:spacing w:val="6"/>
        </w:rPr>
        <w:t> </w:t>
      </w:r>
      <w:r>
        <w:rPr/>
        <w:t>reveals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when</w:t>
      </w:r>
      <w:r>
        <w:rPr>
          <w:spacing w:val="6"/>
        </w:rPr>
        <w:t> </w:t>
      </w:r>
      <w:r>
        <w:rPr/>
        <w:t>CEO-Own</w:t>
      </w:r>
      <w:r>
        <w:rPr>
          <w:spacing w:val="5"/>
        </w:rPr>
        <w:t> </w:t>
      </w:r>
      <w:r>
        <w:rPr/>
        <w:t>is</w:t>
      </w:r>
      <w:r>
        <w:rPr>
          <w:spacing w:val="9"/>
        </w:rPr>
        <w:t> </w:t>
      </w:r>
      <w:r>
        <w:rPr>
          <w:sz w:val="20"/>
        </w:rPr>
        <w:t>&lt;</w:t>
      </w:r>
      <w:r>
        <w:rPr>
          <w:spacing w:val="15"/>
          <w:sz w:val="20"/>
        </w:rPr>
        <w:t> </w:t>
      </w:r>
      <w:r>
        <w:rPr>
          <w:sz w:val="20"/>
        </w:rPr>
        <w:t>0</w:t>
      </w:r>
      <w:r>
        <w:rPr/>
        <w:t>,</w:t>
      </w:r>
      <w:r>
        <w:rPr>
          <w:spacing w:val="12"/>
        </w:rPr>
        <w:t> </w:t>
      </w:r>
      <w:r>
        <w:rPr/>
        <w:t>the</w:t>
      </w:r>
      <w:r>
        <w:rPr>
          <w:spacing w:val="5"/>
        </w:rPr>
        <w:t> </w:t>
      </w:r>
      <w:r>
        <w:rPr/>
        <w:t>effect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tax</w:t>
      </w:r>
      <w:r>
        <w:rPr>
          <w:spacing w:val="5"/>
        </w:rPr>
        <w:t> </w:t>
      </w:r>
      <w:r>
        <w:rPr/>
        <w:t>aggressiveness</w:t>
      </w:r>
      <w:r>
        <w:rPr>
          <w:spacing w:val="6"/>
        </w:rPr>
        <w:t> </w:t>
      </w:r>
      <w:r>
        <w:rPr/>
        <w:t>tends</w:t>
      </w:r>
    </w:p>
    <w:p>
      <w:pPr>
        <w:pStyle w:val="BodyText"/>
        <w:spacing w:line="480" w:lineRule="auto"/>
        <w:ind w:right="830"/>
      </w:pPr>
      <w:r>
        <w:rPr/>
        <w:t>to be negative (-0.0012) but this is not statistically significant at 5% (0.4851), moving the</w:t>
      </w:r>
      <w:r>
        <w:rPr>
          <w:spacing w:val="1"/>
        </w:rPr>
        <w:t> </w:t>
      </w:r>
      <w:r>
        <w:rPr/>
        <w:t>threshold to between 0 and 5%, a positive coefficient is now observed (0.0014) though not</w:t>
      </w:r>
      <w:r>
        <w:rPr>
          <w:spacing w:val="1"/>
        </w:rPr>
        <w:t> </w:t>
      </w:r>
      <w:r>
        <w:rPr>
          <w:spacing w:val="-1"/>
        </w:rPr>
        <w:t>significant</w:t>
      </w:r>
      <w:r>
        <w:rPr>
          <w:spacing w:val="-14"/>
        </w:rPr>
        <w:t> </w:t>
      </w:r>
      <w:r>
        <w:rPr/>
        <w:t>at</w:t>
      </w:r>
      <w:r>
        <w:rPr>
          <w:spacing w:val="-14"/>
        </w:rPr>
        <w:t> </w:t>
      </w:r>
      <w:r>
        <w:rPr/>
        <w:t>5%</w:t>
      </w:r>
      <w:r>
        <w:rPr>
          <w:spacing w:val="-13"/>
        </w:rPr>
        <w:t> </w:t>
      </w:r>
      <w:r>
        <w:rPr/>
        <w:t>(0.2129)</w:t>
      </w:r>
      <w:r>
        <w:rPr>
          <w:spacing w:val="-16"/>
        </w:rPr>
        <w:t> </w:t>
      </w:r>
      <w:r>
        <w:rPr/>
        <w:t>but</w:t>
      </w:r>
      <w:r>
        <w:rPr>
          <w:spacing w:val="-14"/>
        </w:rPr>
        <w:t> </w:t>
      </w:r>
      <w:r>
        <w:rPr/>
        <w:t>when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threshold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5%-24%</w:t>
      </w:r>
      <w:r>
        <w:rPr>
          <w:spacing w:val="31"/>
        </w:rPr>
        <w:t> </w:t>
      </w:r>
      <w:r>
        <w:rPr/>
        <w:t>the</w:t>
      </w:r>
      <w:r>
        <w:rPr>
          <w:spacing w:val="-13"/>
        </w:rPr>
        <w:t> </w:t>
      </w:r>
      <w:r>
        <w:rPr/>
        <w:t>coefficient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positive</w:t>
      </w:r>
      <w:r>
        <w:rPr>
          <w:spacing w:val="-57"/>
        </w:rPr>
        <w:t> </w:t>
      </w:r>
      <w:r>
        <w:rPr/>
        <w:t>(0.0046)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significant</w:t>
      </w:r>
      <w:r>
        <w:rPr>
          <w:spacing w:val="-12"/>
        </w:rPr>
        <w:t> </w:t>
      </w:r>
      <w:r>
        <w:rPr/>
        <w:t>at</w:t>
      </w:r>
      <w:r>
        <w:rPr>
          <w:spacing w:val="-11"/>
        </w:rPr>
        <w:t> </w:t>
      </w:r>
      <w:r>
        <w:rPr/>
        <w:t>5%</w:t>
      </w:r>
      <w:r>
        <w:rPr>
          <w:spacing w:val="-13"/>
        </w:rPr>
        <w:t> </w:t>
      </w:r>
      <w:r>
        <w:rPr/>
        <w:t>(0.0011).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finding</w:t>
      </w:r>
      <w:r>
        <w:rPr>
          <w:spacing w:val="-12"/>
        </w:rPr>
        <w:t> </w:t>
      </w:r>
      <w:r>
        <w:rPr/>
        <w:t>suggest</w:t>
      </w:r>
      <w:r>
        <w:rPr>
          <w:spacing w:val="-11"/>
        </w:rPr>
        <w:t> </w:t>
      </w:r>
      <w:r>
        <w:rPr/>
        <w:t>that</w:t>
      </w:r>
      <w:r>
        <w:rPr>
          <w:spacing w:val="35"/>
        </w:rPr>
        <w:t> </w:t>
      </w:r>
      <w:r>
        <w:rPr/>
        <w:t>high</w:t>
      </w:r>
      <w:r>
        <w:rPr>
          <w:spacing w:val="-12"/>
        </w:rPr>
        <w:t> </w:t>
      </w:r>
      <w:r>
        <w:rPr/>
        <w:t>CEO’s</w:t>
      </w:r>
      <w:r>
        <w:rPr>
          <w:spacing w:val="-12"/>
        </w:rPr>
        <w:t> </w:t>
      </w:r>
      <w:r>
        <w:rPr/>
        <w:t>equity</w:t>
      </w:r>
      <w:r>
        <w:rPr>
          <w:spacing w:val="-11"/>
        </w:rPr>
        <w:t> </w:t>
      </w:r>
      <w:r>
        <w:rPr/>
        <w:t>ownership</w:t>
      </w:r>
      <w:r>
        <w:rPr>
          <w:spacing w:val="-58"/>
        </w:rPr>
        <w:t> </w:t>
      </w:r>
      <w:r>
        <w:rPr/>
        <w:t>tend to have a significant effect on increasing tax paid/ pretax income ratio which implies that</w:t>
      </w:r>
      <w:r>
        <w:rPr>
          <w:spacing w:val="1"/>
        </w:rPr>
        <w:t> </w:t>
      </w:r>
      <w:r>
        <w:rPr/>
        <w:t>CEO’s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have</w:t>
      </w:r>
      <w:r>
        <w:rPr>
          <w:spacing w:val="-9"/>
        </w:rPr>
        <w:t> </w:t>
      </w:r>
      <w:r>
        <w:rPr/>
        <w:t>equity</w:t>
      </w:r>
      <w:r>
        <w:rPr>
          <w:spacing w:val="-11"/>
        </w:rPr>
        <w:t> </w:t>
      </w:r>
      <w:r>
        <w:rPr/>
        <w:t>ownership</w:t>
      </w:r>
      <w:r>
        <w:rPr>
          <w:spacing w:val="-10"/>
        </w:rPr>
        <w:t> </w:t>
      </w:r>
      <w:r>
        <w:rPr/>
        <w:t>within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range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5-24%</w:t>
      </w:r>
      <w:r>
        <w:rPr>
          <w:spacing w:val="-11"/>
        </w:rPr>
        <w:t> </w:t>
      </w:r>
      <w:r>
        <w:rPr/>
        <w:t>tend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discourage</w:t>
      </w:r>
      <w:r>
        <w:rPr>
          <w:spacing w:val="-11"/>
        </w:rPr>
        <w:t> </w:t>
      </w:r>
      <w:r>
        <w:rPr/>
        <w:t>tax</w:t>
      </w:r>
      <w:r>
        <w:rPr>
          <w:spacing w:val="-8"/>
        </w:rPr>
        <w:t> </w:t>
      </w:r>
      <w:r>
        <w:rPr/>
        <w:t>aggressive</w:t>
      </w:r>
      <w:r>
        <w:rPr>
          <w:spacing w:val="-58"/>
        </w:rPr>
        <w:t> </w:t>
      </w:r>
      <w:r>
        <w:rPr/>
        <w:t>activity.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very few studies that have</w:t>
      </w:r>
      <w:r>
        <w:rPr>
          <w:spacing w:val="-1"/>
        </w:rPr>
        <w:t> </w:t>
      </w:r>
      <w:r>
        <w:rPr/>
        <w:t>looked into this relationship.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31"/>
      </w:pPr>
      <w:r>
        <w:rPr/>
        <w:drawing>
          <wp:anchor distT="0" distB="0" distL="0" distR="0" allowOverlap="1" layoutInCell="1" locked="0" behindDoc="1" simplePos="0" relativeHeight="454068224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5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Our findings are in tandem with Lee and Kao (2020) explores the relationship between CEO</w:t>
      </w:r>
      <w:r>
        <w:rPr>
          <w:spacing w:val="1"/>
        </w:rPr>
        <w:t> </w:t>
      </w:r>
      <w:r>
        <w:rPr/>
        <w:t>power and firms’ tax avoidance. The study examines listed and OTC companies from Taiwan.</w:t>
      </w:r>
      <w:r>
        <w:rPr>
          <w:spacing w:val="-57"/>
        </w:rPr>
        <w:t> </w:t>
      </w:r>
      <w:r>
        <w:rPr/>
        <w:t>Research findings indicate that the higher the comprehensive power of CEOs, the more tax</w:t>
      </w:r>
      <w:r>
        <w:rPr>
          <w:spacing w:val="1"/>
        </w:rPr>
        <w:t> </w:t>
      </w:r>
      <w:r>
        <w:rPr/>
        <w:t>avoidance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mitigated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general.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finding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consistent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stewardship</w:t>
      </w:r>
      <w:r>
        <w:rPr>
          <w:spacing w:val="-6"/>
        </w:rPr>
        <w:t> </w:t>
      </w:r>
      <w:r>
        <w:rPr/>
        <w:t>theory.</w:t>
      </w:r>
      <w:r>
        <w:rPr>
          <w:spacing w:val="-6"/>
        </w:rPr>
        <w:t> </w:t>
      </w:r>
      <w:r>
        <w:rPr/>
        <w:t>Given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separation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ownership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management,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CEO</w:t>
      </w:r>
      <w:r>
        <w:rPr>
          <w:spacing w:val="-7"/>
        </w:rPr>
        <w:t> </w:t>
      </w:r>
      <w:r>
        <w:rPr/>
        <w:t>serves</w:t>
      </w:r>
      <w:r>
        <w:rPr>
          <w:spacing w:val="-4"/>
        </w:rPr>
        <w:t> </w:t>
      </w:r>
      <w:r>
        <w:rPr/>
        <w:t>as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agent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runs</w:t>
      </w:r>
      <w:r>
        <w:rPr>
          <w:spacing w:val="-6"/>
        </w:rPr>
        <w:t> </w:t>
      </w:r>
      <w:r>
        <w:rPr/>
        <w:t>operations</w:t>
      </w:r>
      <w:r>
        <w:rPr>
          <w:spacing w:val="-6"/>
        </w:rPr>
        <w:t> </w:t>
      </w:r>
      <w:r>
        <w:rPr/>
        <w:t>at</w:t>
      </w:r>
      <w:r>
        <w:rPr>
          <w:spacing w:val="-58"/>
        </w:rPr>
        <w:t> </w:t>
      </w:r>
      <w:r>
        <w:rPr/>
        <w:t>the company level, meaning they are highly influential in a tax avoidance strategy (Dyreng et</w:t>
      </w:r>
      <w:r>
        <w:rPr>
          <w:spacing w:val="1"/>
        </w:rPr>
        <w:t> </w:t>
      </w:r>
      <w:r>
        <w:rPr/>
        <w:t>al., 2010). However, in contrast, Steijver and Niskanen (2011) indicated that businesses where</w:t>
      </w:r>
      <w:r>
        <w:rPr>
          <w:spacing w:val="-57"/>
        </w:rPr>
        <w:t> </w:t>
      </w:r>
      <w:r>
        <w:rPr/>
        <w:t>CEOs have high ownership are less willing to pursue tax avoidance. CEOs with low or no</w:t>
      </w:r>
      <w:r>
        <w:rPr>
          <w:spacing w:val="1"/>
        </w:rPr>
        <w:t> </w:t>
      </w:r>
      <w:r>
        <w:rPr/>
        <w:t>ownership will be tax aggressive. The presence of external directors on the board can lessen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direct influence.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ind w:left="2165" w:right="2175"/>
        <w:jc w:val="center"/>
      </w:pPr>
      <w:bookmarkStart w:name="_bookmark100" w:id="162"/>
      <w:bookmarkEnd w:id="162"/>
      <w:r>
        <w:rPr>
          <w:b w:val="0"/>
        </w:rPr>
      </w: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spacing w:before="1"/>
        <w:ind w:left="0" w:right="11" w:firstLine="0"/>
        <w:jc w:val="center"/>
        <w:rPr>
          <w:b/>
          <w:sz w:val="24"/>
        </w:rPr>
      </w:pPr>
      <w:bookmarkStart w:name="_bookmark101" w:id="163"/>
      <w:bookmarkEnd w:id="163"/>
      <w:r>
        <w:rPr/>
      </w:r>
      <w:r>
        <w:rPr>
          <w:b/>
          <w:sz w:val="24"/>
        </w:rPr>
        <w:t>SUMMARY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FINDINGS,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Heading1"/>
        <w:numPr>
          <w:ilvl w:val="1"/>
          <w:numId w:val="33"/>
        </w:numPr>
        <w:tabs>
          <w:tab w:pos="1242" w:val="left" w:leader="none"/>
        </w:tabs>
        <w:spacing w:line="240" w:lineRule="auto" w:before="1" w:after="0"/>
        <w:ind w:left="1242" w:right="0" w:hanging="420"/>
        <w:jc w:val="both"/>
      </w:pPr>
      <w:bookmarkStart w:name="_bookmark102" w:id="164"/>
      <w:bookmarkEnd w:id="164"/>
      <w:r>
        <w:rPr>
          <w:b w:val="0"/>
        </w:rPr>
      </w:r>
      <w:bookmarkStart w:name="_bookmark102" w:id="165"/>
      <w:bookmarkEnd w:id="165"/>
      <w:r>
        <w:rPr/>
        <w:t>In</w:t>
      </w:r>
      <w:r>
        <w:rPr/>
        <w:t>troduction</w:t>
      </w:r>
    </w:p>
    <w:p>
      <w:pPr>
        <w:pStyle w:val="BodyText"/>
        <w:spacing w:before="4"/>
        <w:ind w:left="0"/>
        <w:jc w:val="left"/>
        <w:rPr>
          <w:b/>
          <w:sz w:val="29"/>
        </w:rPr>
      </w:pPr>
    </w:p>
    <w:p>
      <w:pPr>
        <w:pStyle w:val="BodyText"/>
        <w:spacing w:line="480" w:lineRule="auto"/>
        <w:ind w:right="835"/>
      </w:pPr>
      <w:r>
        <w:rPr/>
        <w:drawing>
          <wp:anchor distT="0" distB="0" distL="0" distR="0" allowOverlap="1" layoutInCell="1" locked="0" behindDoc="1" simplePos="0" relativeHeight="454068736">
            <wp:simplePos x="0" y="0"/>
            <wp:positionH relativeFrom="page">
              <wp:posOffset>1261605</wp:posOffset>
            </wp:positionH>
            <wp:positionV relativeFrom="paragraph">
              <wp:posOffset>607480</wp:posOffset>
            </wp:positionV>
            <wp:extent cx="5133225" cy="5265293"/>
            <wp:effectExtent l="0" t="0" r="0" b="0"/>
            <wp:wrapNone/>
            <wp:docPr id="25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examines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findings,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</w:t>
      </w:r>
      <w:r>
        <w:rPr>
          <w:b/>
        </w:rPr>
        <w:t>. </w:t>
      </w:r>
      <w:r>
        <w:rPr/>
        <w:t>In addition contribution to knowledge and the recommendation for further</w:t>
      </w:r>
      <w:r>
        <w:rPr>
          <w:spacing w:val="1"/>
        </w:rPr>
        <w:t> </w:t>
      </w:r>
      <w:r>
        <w:rPr/>
        <w:t>studies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also presented.</w:t>
      </w:r>
    </w:p>
    <w:p>
      <w:pPr>
        <w:pStyle w:val="Heading1"/>
        <w:numPr>
          <w:ilvl w:val="1"/>
          <w:numId w:val="33"/>
        </w:numPr>
        <w:tabs>
          <w:tab w:pos="1242" w:val="left" w:leader="none"/>
        </w:tabs>
        <w:spacing w:line="240" w:lineRule="auto" w:before="121" w:after="0"/>
        <w:ind w:left="1242" w:right="0" w:hanging="420"/>
        <w:jc w:val="both"/>
      </w:pPr>
      <w:bookmarkStart w:name="_bookmark103" w:id="166"/>
      <w:bookmarkEnd w:id="166"/>
      <w:r>
        <w:rPr>
          <w:b w:val="0"/>
        </w:rPr>
      </w:r>
      <w:bookmarkStart w:name="_bookmark103" w:id="167"/>
      <w:bookmarkEnd w:id="167"/>
      <w:r>
        <w:rPr/>
        <w:t>Su</w:t>
      </w:r>
      <w:r>
        <w:rPr/>
        <w:t>mmary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Findings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ListParagraph"/>
        <w:numPr>
          <w:ilvl w:val="2"/>
          <w:numId w:val="33"/>
        </w:numPr>
        <w:tabs>
          <w:tab w:pos="1530" w:val="left" w:leader="none"/>
        </w:tabs>
        <w:spacing w:line="480" w:lineRule="auto" w:before="0" w:after="0"/>
        <w:ind w:left="1530" w:right="832" w:hanging="567"/>
        <w:jc w:val="both"/>
        <w:rPr>
          <w:sz w:val="24"/>
        </w:rPr>
      </w:pPr>
      <w:r>
        <w:rPr>
          <w:sz w:val="24"/>
        </w:rPr>
        <w:t>The fixed effects estimation results reveal an increase in the number of independent</w:t>
      </w:r>
      <w:r>
        <w:rPr>
          <w:spacing w:val="1"/>
          <w:sz w:val="24"/>
        </w:rPr>
        <w:t> </w:t>
      </w:r>
      <w:r>
        <w:rPr>
          <w:sz w:val="24"/>
        </w:rPr>
        <w:t>directors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board</w:t>
      </w:r>
      <w:r>
        <w:rPr>
          <w:spacing w:val="-8"/>
          <w:sz w:val="24"/>
        </w:rPr>
        <w:t> </w:t>
      </w:r>
      <w:r>
        <w:rPr>
          <w:sz w:val="24"/>
        </w:rPr>
        <w:t>results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reduction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tax</w:t>
      </w:r>
      <w:r>
        <w:rPr>
          <w:spacing w:val="-8"/>
          <w:sz w:val="24"/>
        </w:rPr>
        <w:t> </w:t>
      </w:r>
      <w:r>
        <w:rPr>
          <w:sz w:val="24"/>
        </w:rPr>
        <w:t>paid/</w:t>
      </w:r>
      <w:r>
        <w:rPr>
          <w:spacing w:val="-8"/>
          <w:sz w:val="24"/>
        </w:rPr>
        <w:t> </w:t>
      </w:r>
      <w:r>
        <w:rPr>
          <w:sz w:val="24"/>
        </w:rPr>
        <w:t>pre-tax</w:t>
      </w:r>
      <w:r>
        <w:rPr>
          <w:spacing w:val="-8"/>
          <w:sz w:val="24"/>
        </w:rPr>
        <w:t> </w:t>
      </w:r>
      <w:r>
        <w:rPr>
          <w:sz w:val="24"/>
        </w:rPr>
        <w:t>income</w:t>
      </w:r>
      <w:r>
        <w:rPr>
          <w:spacing w:val="-10"/>
          <w:sz w:val="24"/>
        </w:rPr>
        <w:t> </w:t>
      </w:r>
      <w:r>
        <w:rPr>
          <w:sz w:val="24"/>
        </w:rPr>
        <w:t>ratio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this</w:t>
      </w:r>
      <w:r>
        <w:rPr>
          <w:spacing w:val="-58"/>
          <w:sz w:val="24"/>
        </w:rPr>
        <w:t> </w:t>
      </w:r>
      <w:r>
        <w:rPr>
          <w:sz w:val="24"/>
        </w:rPr>
        <w:t>implies an increase in tax aggressive practices. Furthermore, the discrete threshold</w:t>
      </w:r>
      <w:r>
        <w:rPr>
          <w:spacing w:val="1"/>
          <w:sz w:val="24"/>
        </w:rPr>
        <w:t> </w:t>
      </w:r>
      <w:r>
        <w:rPr>
          <w:sz w:val="24"/>
        </w:rPr>
        <w:t>estimates suggest that this effect is dominant when the BDIND is between the ratios of</w:t>
      </w:r>
      <w:r>
        <w:rPr>
          <w:spacing w:val="-57"/>
          <w:sz w:val="24"/>
        </w:rPr>
        <w:t> </w:t>
      </w:r>
      <w:r>
        <w:rPr>
          <w:sz w:val="24"/>
        </w:rPr>
        <w:t>0.57-0.71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total board.</w:t>
      </w:r>
    </w:p>
    <w:p>
      <w:pPr>
        <w:pStyle w:val="ListParagraph"/>
        <w:numPr>
          <w:ilvl w:val="2"/>
          <w:numId w:val="33"/>
        </w:numPr>
        <w:tabs>
          <w:tab w:pos="1530" w:val="left" w:leader="none"/>
        </w:tabs>
        <w:spacing w:line="480" w:lineRule="auto" w:before="121" w:after="0"/>
        <w:ind w:left="1530" w:right="831" w:hanging="567"/>
        <w:jc w:val="both"/>
        <w:rPr>
          <w:sz w:val="24"/>
        </w:rPr>
      </w:pPr>
      <w:r>
        <w:rPr>
          <w:sz w:val="24"/>
        </w:rPr>
        <w:t>Board size has a negative coefficient and significant at 5%. The results suggest that an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board</w:t>
      </w:r>
      <w:r>
        <w:rPr>
          <w:spacing w:val="-4"/>
          <w:sz w:val="24"/>
        </w:rPr>
        <w:t> </w:t>
      </w:r>
      <w:r>
        <w:rPr>
          <w:sz w:val="24"/>
        </w:rPr>
        <w:t>size</w:t>
      </w:r>
      <w:r>
        <w:rPr>
          <w:spacing w:val="-2"/>
          <w:sz w:val="24"/>
        </w:rPr>
        <w:t> </w:t>
      </w:r>
      <w:r>
        <w:rPr>
          <w:sz w:val="24"/>
        </w:rPr>
        <w:t>results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reduction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tax</w:t>
      </w:r>
      <w:r>
        <w:rPr>
          <w:spacing w:val="-3"/>
          <w:sz w:val="24"/>
        </w:rPr>
        <w:t> </w:t>
      </w:r>
      <w:r>
        <w:rPr>
          <w:sz w:val="24"/>
        </w:rPr>
        <w:t>paid/</w:t>
      </w:r>
      <w:r>
        <w:rPr>
          <w:spacing w:val="-2"/>
          <w:sz w:val="24"/>
        </w:rPr>
        <w:t> </w:t>
      </w:r>
      <w:r>
        <w:rPr>
          <w:sz w:val="24"/>
        </w:rPr>
        <w:t>pre-tax</w:t>
      </w:r>
      <w:r>
        <w:rPr>
          <w:spacing w:val="-3"/>
          <w:sz w:val="24"/>
        </w:rPr>
        <w:t> </w:t>
      </w:r>
      <w:r>
        <w:rPr>
          <w:sz w:val="24"/>
        </w:rPr>
        <w:t>income</w:t>
      </w:r>
      <w:r>
        <w:rPr>
          <w:spacing w:val="-3"/>
          <w:sz w:val="24"/>
        </w:rPr>
        <w:t> </w:t>
      </w:r>
      <w:r>
        <w:rPr>
          <w:sz w:val="24"/>
        </w:rPr>
        <w:t>ratio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this implies an increase in tax aggressiveness. In addition, the discrete threshold results</w:t>
      </w:r>
      <w:r>
        <w:rPr>
          <w:spacing w:val="-57"/>
          <w:sz w:val="24"/>
        </w:rPr>
        <w:t> </w:t>
      </w:r>
      <w:r>
        <w:rPr>
          <w:sz w:val="24"/>
        </w:rPr>
        <w:t>thus</w:t>
      </w:r>
      <w:r>
        <w:rPr>
          <w:spacing w:val="1"/>
          <w:sz w:val="24"/>
        </w:rPr>
        <w:t> </w:t>
      </w:r>
      <w:r>
        <w:rPr>
          <w:sz w:val="24"/>
        </w:rPr>
        <w:t>suggest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though</w:t>
      </w:r>
      <w:r>
        <w:rPr>
          <w:spacing w:val="1"/>
          <w:sz w:val="24"/>
        </w:rPr>
        <w:t> </w:t>
      </w:r>
      <w:r>
        <w:rPr>
          <w:sz w:val="24"/>
        </w:rPr>
        <w:t>BDS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fixed</w:t>
      </w:r>
      <w:r>
        <w:rPr>
          <w:spacing w:val="1"/>
          <w:sz w:val="24"/>
        </w:rPr>
        <w:t> </w:t>
      </w:r>
      <w:r>
        <w:rPr>
          <w:sz w:val="24"/>
        </w:rPr>
        <w:t>estimation</w:t>
      </w:r>
      <w:r>
        <w:rPr>
          <w:spacing w:val="1"/>
          <w:sz w:val="24"/>
        </w:rPr>
        <w:t> </w:t>
      </w:r>
      <w:r>
        <w:rPr>
          <w:sz w:val="24"/>
        </w:rPr>
        <w:t>output,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seen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significantly impact tax aggressiveness in such that increase in the board size results in</w:t>
      </w:r>
      <w:r>
        <w:rPr>
          <w:spacing w:val="-57"/>
          <w:sz w:val="24"/>
        </w:rPr>
        <w:t> </w:t>
      </w:r>
      <w:r>
        <w:rPr>
          <w:sz w:val="24"/>
        </w:rPr>
        <w:t>a reduction in the tax paid/ pre-tax income ratio and this implies an increase in tax</w:t>
      </w:r>
      <w:r>
        <w:rPr>
          <w:spacing w:val="1"/>
          <w:sz w:val="24"/>
        </w:rPr>
        <w:t> </w:t>
      </w:r>
      <w:r>
        <w:rPr>
          <w:sz w:val="24"/>
        </w:rPr>
        <w:t>aggressive practices, there is</w:t>
      </w:r>
      <w:r>
        <w:rPr>
          <w:spacing w:val="1"/>
          <w:sz w:val="24"/>
        </w:rPr>
        <w:t> </w:t>
      </w:r>
      <w:r>
        <w:rPr>
          <w:sz w:val="24"/>
        </w:rPr>
        <w:t>no identified significant threshold restriction on this</w:t>
      </w:r>
      <w:r>
        <w:rPr>
          <w:spacing w:val="1"/>
          <w:sz w:val="24"/>
        </w:rPr>
        <w:t> </w:t>
      </w:r>
      <w:r>
        <w:rPr>
          <w:sz w:val="24"/>
        </w:rPr>
        <w:t>relationship.</w:t>
      </w:r>
      <w:r>
        <w:rPr>
          <w:spacing w:val="-1"/>
          <w:sz w:val="24"/>
        </w:rPr>
        <w:t> </w:t>
      </w:r>
      <w:r>
        <w:rPr>
          <w:sz w:val="24"/>
        </w:rPr>
        <w:t>The</w:t>
      </w:r>
    </w:p>
    <w:p>
      <w:pPr>
        <w:pStyle w:val="ListParagraph"/>
        <w:numPr>
          <w:ilvl w:val="2"/>
          <w:numId w:val="33"/>
        </w:numPr>
        <w:tabs>
          <w:tab w:pos="1530" w:val="left" w:leader="none"/>
        </w:tabs>
        <w:spacing w:line="480" w:lineRule="auto" w:before="118" w:after="0"/>
        <w:ind w:left="1530" w:right="832" w:hanging="567"/>
        <w:jc w:val="both"/>
        <w:rPr>
          <w:sz w:val="24"/>
        </w:rPr>
      </w:pPr>
      <w:r>
        <w:rPr>
          <w:sz w:val="24"/>
        </w:rPr>
        <w:t>BGD</w:t>
      </w:r>
      <w:r>
        <w:rPr>
          <w:spacing w:val="-5"/>
          <w:sz w:val="24"/>
        </w:rPr>
        <w:t> </w:t>
      </w:r>
      <w:r>
        <w:rPr>
          <w:sz w:val="24"/>
        </w:rPr>
        <w:t>has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5"/>
          <w:sz w:val="24"/>
        </w:rPr>
        <w:t> </w:t>
      </w:r>
      <w:r>
        <w:rPr>
          <w:sz w:val="24"/>
        </w:rPr>
        <w:t>positive</w:t>
      </w:r>
      <w:r>
        <w:rPr>
          <w:spacing w:val="-5"/>
          <w:sz w:val="24"/>
        </w:rPr>
        <w:t> </w:t>
      </w:r>
      <w:r>
        <w:rPr>
          <w:sz w:val="24"/>
        </w:rPr>
        <w:t>coefficient</w:t>
      </w:r>
      <w:r>
        <w:rPr>
          <w:spacing w:val="-3"/>
          <w:sz w:val="24"/>
        </w:rPr>
        <w:t> </w:t>
      </w:r>
      <w:r>
        <w:rPr>
          <w:sz w:val="24"/>
        </w:rPr>
        <w:t>though</w:t>
      </w:r>
      <w:r>
        <w:rPr>
          <w:spacing w:val="-3"/>
          <w:sz w:val="24"/>
        </w:rPr>
        <w:t> </w:t>
      </w:r>
      <w:r>
        <w:rPr>
          <w:sz w:val="24"/>
        </w:rPr>
        <w:t>not</w:t>
      </w:r>
      <w:r>
        <w:rPr>
          <w:spacing w:val="-3"/>
          <w:sz w:val="24"/>
        </w:rPr>
        <w:t> </w:t>
      </w:r>
      <w:r>
        <w:rPr>
          <w:sz w:val="24"/>
        </w:rPr>
        <w:t>significant</w:t>
      </w:r>
      <w:r>
        <w:rPr>
          <w:spacing w:val="-3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5%.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results</w:t>
      </w:r>
      <w:r>
        <w:rPr>
          <w:spacing w:val="-4"/>
          <w:sz w:val="24"/>
        </w:rPr>
        <w:t> </w:t>
      </w:r>
      <w:r>
        <w:rPr>
          <w:sz w:val="24"/>
        </w:rPr>
        <w:t>suggest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an</w:t>
      </w:r>
      <w:r>
        <w:rPr>
          <w:spacing w:val="-58"/>
          <w:sz w:val="24"/>
        </w:rPr>
        <w:t> </w:t>
      </w:r>
      <w:r>
        <w:rPr>
          <w:sz w:val="24"/>
        </w:rPr>
        <w:t>increase in the board gender diversity of boards results in an increase in the tax paid/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pre-tax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income</w:t>
      </w:r>
      <w:r>
        <w:rPr>
          <w:spacing w:val="-16"/>
          <w:sz w:val="24"/>
        </w:rPr>
        <w:t> </w:t>
      </w:r>
      <w:r>
        <w:rPr>
          <w:sz w:val="24"/>
        </w:rPr>
        <w:t>ratio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5"/>
          <w:sz w:val="24"/>
        </w:rPr>
        <w:t> </w:t>
      </w:r>
      <w:r>
        <w:rPr>
          <w:sz w:val="24"/>
        </w:rPr>
        <w:t>this</w:t>
      </w:r>
      <w:r>
        <w:rPr>
          <w:spacing w:val="-15"/>
          <w:sz w:val="24"/>
        </w:rPr>
        <w:t> </w:t>
      </w:r>
      <w:r>
        <w:rPr>
          <w:sz w:val="24"/>
        </w:rPr>
        <w:t>implies</w:t>
      </w:r>
      <w:r>
        <w:rPr>
          <w:spacing w:val="-14"/>
          <w:sz w:val="24"/>
        </w:rPr>
        <w:t> </w:t>
      </w:r>
      <w:r>
        <w:rPr>
          <w:sz w:val="24"/>
        </w:rPr>
        <w:t>less</w:t>
      </w:r>
      <w:r>
        <w:rPr>
          <w:spacing w:val="-15"/>
          <w:sz w:val="24"/>
        </w:rPr>
        <w:t> </w:t>
      </w:r>
      <w:r>
        <w:rPr>
          <w:sz w:val="24"/>
        </w:rPr>
        <w:t>tax</w:t>
      </w:r>
      <w:r>
        <w:rPr>
          <w:spacing w:val="-14"/>
          <w:sz w:val="24"/>
        </w:rPr>
        <w:t> </w:t>
      </w:r>
      <w:r>
        <w:rPr>
          <w:sz w:val="24"/>
        </w:rPr>
        <w:t>aggressiveness</w:t>
      </w:r>
      <w:r>
        <w:rPr>
          <w:spacing w:val="-14"/>
          <w:sz w:val="24"/>
        </w:rPr>
        <w:t> </w:t>
      </w:r>
      <w:r>
        <w:rPr>
          <w:sz w:val="24"/>
        </w:rPr>
        <w:t>activity</w:t>
      </w:r>
      <w:r>
        <w:rPr>
          <w:spacing w:val="-15"/>
          <w:sz w:val="24"/>
        </w:rPr>
        <w:t> </w:t>
      </w:r>
      <w:r>
        <w:rPr>
          <w:sz w:val="24"/>
        </w:rPr>
        <w:t>though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outcome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left="1530" w:right="840"/>
      </w:pPr>
      <w:r>
        <w:rPr/>
        <w:t>is not significant at 5%. The discrete threshold regression results indicate that there is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identified significant threshold restriction on this relationship.</w:t>
      </w:r>
    </w:p>
    <w:p>
      <w:pPr>
        <w:pStyle w:val="ListParagraph"/>
        <w:numPr>
          <w:ilvl w:val="2"/>
          <w:numId w:val="33"/>
        </w:numPr>
        <w:tabs>
          <w:tab w:pos="1530" w:val="left" w:leader="none"/>
        </w:tabs>
        <w:spacing w:line="480" w:lineRule="auto" w:before="121" w:after="0"/>
        <w:ind w:left="1530" w:right="828" w:hanging="567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69248">
            <wp:simplePos x="0" y="0"/>
            <wp:positionH relativeFrom="page">
              <wp:posOffset>1261605</wp:posOffset>
            </wp:positionH>
            <wp:positionV relativeFrom="paragraph">
              <wp:posOffset>1077507</wp:posOffset>
            </wp:positionV>
            <wp:extent cx="5133225" cy="5265293"/>
            <wp:effectExtent l="0" t="0" r="0" b="0"/>
            <wp:wrapNone/>
            <wp:docPr id="25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BDOWN has a negative coefficient and significant at 5%. The results suggest that an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level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board</w:t>
      </w:r>
      <w:r>
        <w:rPr>
          <w:spacing w:val="-11"/>
          <w:sz w:val="24"/>
        </w:rPr>
        <w:t> </w:t>
      </w:r>
      <w:r>
        <w:rPr>
          <w:sz w:val="24"/>
        </w:rPr>
        <w:t>equity</w:t>
      </w:r>
      <w:r>
        <w:rPr>
          <w:spacing w:val="-10"/>
          <w:sz w:val="24"/>
        </w:rPr>
        <w:t> </w:t>
      </w:r>
      <w:r>
        <w:rPr>
          <w:sz w:val="24"/>
        </w:rPr>
        <w:t>ownership</w:t>
      </w:r>
      <w:r>
        <w:rPr>
          <w:spacing w:val="-8"/>
          <w:sz w:val="24"/>
        </w:rPr>
        <w:t> </w:t>
      </w:r>
      <w:r>
        <w:rPr>
          <w:sz w:val="24"/>
        </w:rPr>
        <w:t>results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11"/>
          <w:sz w:val="24"/>
        </w:rPr>
        <w:t> </w:t>
      </w:r>
      <w:r>
        <w:rPr>
          <w:sz w:val="24"/>
        </w:rPr>
        <w:t>reduction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1"/>
          <w:sz w:val="24"/>
        </w:rPr>
        <w:t> </w:t>
      </w:r>
      <w:r>
        <w:rPr>
          <w:sz w:val="24"/>
        </w:rPr>
        <w:t>tax</w:t>
      </w:r>
      <w:r>
        <w:rPr>
          <w:spacing w:val="-10"/>
          <w:sz w:val="24"/>
        </w:rPr>
        <w:t> </w:t>
      </w:r>
      <w:r>
        <w:rPr>
          <w:sz w:val="24"/>
        </w:rPr>
        <w:t>paid/</w:t>
      </w:r>
      <w:r>
        <w:rPr>
          <w:spacing w:val="-9"/>
          <w:sz w:val="24"/>
        </w:rPr>
        <w:t> </w:t>
      </w:r>
      <w:r>
        <w:rPr>
          <w:sz w:val="24"/>
        </w:rPr>
        <w:t>pre-</w:t>
      </w:r>
      <w:r>
        <w:rPr>
          <w:spacing w:val="-57"/>
          <w:sz w:val="24"/>
        </w:rPr>
        <w:t> </w:t>
      </w:r>
      <w:r>
        <w:rPr>
          <w:sz w:val="24"/>
        </w:rPr>
        <w:t>tax</w:t>
      </w:r>
      <w:r>
        <w:rPr>
          <w:spacing w:val="-8"/>
          <w:sz w:val="24"/>
        </w:rPr>
        <w:t> </w:t>
      </w:r>
      <w:r>
        <w:rPr>
          <w:sz w:val="24"/>
        </w:rPr>
        <w:t>income</w:t>
      </w:r>
      <w:r>
        <w:rPr>
          <w:spacing w:val="-7"/>
          <w:sz w:val="24"/>
        </w:rPr>
        <w:t> </w:t>
      </w:r>
      <w:r>
        <w:rPr>
          <w:sz w:val="24"/>
        </w:rPr>
        <w:t>ratio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this</w:t>
      </w:r>
      <w:r>
        <w:rPr>
          <w:spacing w:val="-6"/>
          <w:sz w:val="24"/>
        </w:rPr>
        <w:t> </w:t>
      </w:r>
      <w:r>
        <w:rPr>
          <w:sz w:val="24"/>
        </w:rPr>
        <w:t>implies</w:t>
      </w:r>
      <w:r>
        <w:rPr>
          <w:spacing w:val="-6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increase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tax</w:t>
      </w:r>
      <w:r>
        <w:rPr>
          <w:spacing w:val="-7"/>
          <w:sz w:val="24"/>
        </w:rPr>
        <w:t> </w:t>
      </w:r>
      <w:r>
        <w:rPr>
          <w:sz w:val="24"/>
        </w:rPr>
        <w:t>aggressive</w:t>
      </w:r>
      <w:r>
        <w:rPr>
          <w:spacing w:val="-7"/>
          <w:sz w:val="24"/>
        </w:rPr>
        <w:t> </w:t>
      </w:r>
      <w:r>
        <w:rPr>
          <w:sz w:val="24"/>
        </w:rPr>
        <w:t>practices.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addition,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discrete threshold results suggest that there is no identified threshold restriction on this</w:t>
      </w:r>
      <w:r>
        <w:rPr>
          <w:spacing w:val="-57"/>
          <w:sz w:val="24"/>
        </w:rPr>
        <w:t> </w:t>
      </w:r>
      <w:r>
        <w:rPr>
          <w:sz w:val="24"/>
        </w:rPr>
        <w:t>relationship.</w:t>
      </w:r>
    </w:p>
    <w:p>
      <w:pPr>
        <w:pStyle w:val="ListParagraph"/>
        <w:numPr>
          <w:ilvl w:val="2"/>
          <w:numId w:val="33"/>
        </w:numPr>
        <w:tabs>
          <w:tab w:pos="1530" w:val="left" w:leader="none"/>
        </w:tabs>
        <w:spacing w:line="480" w:lineRule="auto" w:before="121" w:after="0"/>
        <w:ind w:left="1530" w:right="830" w:hanging="567"/>
        <w:jc w:val="both"/>
        <w:rPr>
          <w:sz w:val="24"/>
        </w:rPr>
      </w:pPr>
      <w:r>
        <w:rPr>
          <w:sz w:val="24"/>
        </w:rPr>
        <w:t>The analysis of the CEO attributes fixed effects estimation results, reveals that CEO-</w:t>
      </w:r>
      <w:r>
        <w:rPr>
          <w:spacing w:val="1"/>
          <w:sz w:val="24"/>
        </w:rPr>
        <w:t> </w:t>
      </w:r>
      <w:r>
        <w:rPr>
          <w:sz w:val="24"/>
        </w:rPr>
        <w:t>Age has a positive coefficient and significant at 5%. The results suggest that the</w:t>
      </w:r>
      <w:r>
        <w:rPr>
          <w:spacing w:val="1"/>
          <w:sz w:val="24"/>
        </w:rPr>
        <w:t> </w:t>
      </w:r>
      <w:r>
        <w:rPr>
          <w:sz w:val="24"/>
        </w:rPr>
        <w:t>presence of older CEO’s tends to result in an</w:t>
      </w:r>
      <w:r>
        <w:rPr>
          <w:spacing w:val="1"/>
          <w:sz w:val="24"/>
        </w:rPr>
        <w:t> </w:t>
      </w:r>
      <w:r>
        <w:rPr>
          <w:sz w:val="24"/>
        </w:rPr>
        <w:t>increase in the tax paid/ pre-tax income</w:t>
      </w:r>
      <w:r>
        <w:rPr>
          <w:spacing w:val="1"/>
          <w:sz w:val="24"/>
        </w:rPr>
        <w:t> </w:t>
      </w:r>
      <w:r>
        <w:rPr>
          <w:sz w:val="24"/>
        </w:rPr>
        <w:t>ratio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implies</w:t>
      </w:r>
      <w:r>
        <w:rPr>
          <w:spacing w:val="-2"/>
          <w:sz w:val="24"/>
        </w:rPr>
        <w:t> </w:t>
      </w:r>
      <w:r>
        <w:rPr>
          <w:sz w:val="24"/>
        </w:rPr>
        <w:t>less</w:t>
      </w:r>
      <w:r>
        <w:rPr>
          <w:spacing w:val="-5"/>
          <w:sz w:val="24"/>
        </w:rPr>
        <w:t> </w:t>
      </w:r>
      <w:r>
        <w:rPr>
          <w:sz w:val="24"/>
        </w:rPr>
        <w:t>tax</w:t>
      </w:r>
      <w:r>
        <w:rPr>
          <w:spacing w:val="-1"/>
          <w:sz w:val="24"/>
        </w:rPr>
        <w:t> </w:t>
      </w:r>
      <w:r>
        <w:rPr>
          <w:sz w:val="24"/>
        </w:rPr>
        <w:t>aggressiveness</w:t>
      </w:r>
      <w:r>
        <w:rPr>
          <w:spacing w:val="-2"/>
          <w:sz w:val="24"/>
        </w:rPr>
        <w:t> </w:t>
      </w:r>
      <w:r>
        <w:rPr>
          <w:sz w:val="24"/>
        </w:rPr>
        <w:t>activity.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discrete</w:t>
      </w:r>
      <w:r>
        <w:rPr>
          <w:spacing w:val="-2"/>
          <w:sz w:val="24"/>
        </w:rPr>
        <w:t> </w:t>
      </w:r>
      <w:r>
        <w:rPr>
          <w:sz w:val="24"/>
        </w:rPr>
        <w:t>threshold</w:t>
      </w:r>
      <w:r>
        <w:rPr>
          <w:spacing w:val="-1"/>
          <w:sz w:val="24"/>
        </w:rPr>
        <w:t> </w:t>
      </w:r>
      <w:r>
        <w:rPr>
          <w:sz w:val="24"/>
        </w:rPr>
        <w:t>estimation</w:t>
      </w:r>
      <w:r>
        <w:rPr>
          <w:spacing w:val="-58"/>
          <w:sz w:val="24"/>
        </w:rPr>
        <w:t> </w:t>
      </w:r>
      <w:r>
        <w:rPr>
          <w:sz w:val="24"/>
        </w:rPr>
        <w:t>output indicated that CEO’s between the ages of 51 and 60 tend to have a significant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5"/>
          <w:sz w:val="24"/>
        </w:rPr>
        <w:t> </w:t>
      </w:r>
      <w:r>
        <w:rPr>
          <w:sz w:val="24"/>
        </w:rPr>
        <w:t>increasing</w:t>
      </w:r>
      <w:r>
        <w:rPr>
          <w:spacing w:val="-3"/>
          <w:sz w:val="24"/>
        </w:rPr>
        <w:t> </w:t>
      </w:r>
      <w:r>
        <w:rPr>
          <w:sz w:val="24"/>
        </w:rPr>
        <w:t>tax</w:t>
      </w:r>
      <w:r>
        <w:rPr>
          <w:spacing w:val="-5"/>
          <w:sz w:val="24"/>
        </w:rPr>
        <w:t> </w:t>
      </w:r>
      <w:r>
        <w:rPr>
          <w:sz w:val="24"/>
        </w:rPr>
        <w:t>paid/</w:t>
      </w:r>
      <w:r>
        <w:rPr>
          <w:spacing w:val="-4"/>
          <w:sz w:val="24"/>
        </w:rPr>
        <w:t> </w:t>
      </w:r>
      <w:r>
        <w:rPr>
          <w:sz w:val="24"/>
        </w:rPr>
        <w:t>pre</w:t>
      </w:r>
      <w:r>
        <w:rPr>
          <w:spacing w:val="-6"/>
          <w:sz w:val="24"/>
        </w:rPr>
        <w:t> </w:t>
      </w:r>
      <w:r>
        <w:rPr>
          <w:sz w:val="24"/>
        </w:rPr>
        <w:t>tax</w:t>
      </w:r>
      <w:r>
        <w:rPr>
          <w:spacing w:val="-5"/>
          <w:sz w:val="24"/>
        </w:rPr>
        <w:t> </w:t>
      </w:r>
      <w:r>
        <w:rPr>
          <w:sz w:val="24"/>
        </w:rPr>
        <w:t>income</w:t>
      </w:r>
      <w:r>
        <w:rPr>
          <w:spacing w:val="-5"/>
          <w:sz w:val="24"/>
        </w:rPr>
        <w:t> </w:t>
      </w:r>
      <w:r>
        <w:rPr>
          <w:sz w:val="24"/>
        </w:rPr>
        <w:t>ratio</w:t>
      </w:r>
      <w:r>
        <w:rPr>
          <w:spacing w:val="-7"/>
          <w:sz w:val="24"/>
        </w:rPr>
        <w:t> </w:t>
      </w:r>
      <w:r>
        <w:rPr>
          <w:sz w:val="24"/>
        </w:rPr>
        <w:t>which</w:t>
      </w:r>
      <w:r>
        <w:rPr>
          <w:spacing w:val="-4"/>
          <w:sz w:val="24"/>
        </w:rPr>
        <w:t> </w:t>
      </w:r>
      <w:r>
        <w:rPr>
          <w:sz w:val="24"/>
        </w:rPr>
        <w:t>implies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CEO’s</w:t>
      </w:r>
      <w:r>
        <w:rPr>
          <w:spacing w:val="-4"/>
          <w:sz w:val="24"/>
        </w:rPr>
        <w:t> </w:t>
      </w:r>
      <w:r>
        <w:rPr>
          <w:sz w:val="24"/>
        </w:rPr>
        <w:t>within</w:t>
      </w:r>
      <w:r>
        <w:rPr>
          <w:spacing w:val="-7"/>
          <w:sz w:val="24"/>
        </w:rPr>
        <w:t> </w:t>
      </w:r>
      <w:r>
        <w:rPr>
          <w:sz w:val="24"/>
        </w:rPr>
        <w:t>that</w:t>
      </w:r>
      <w:r>
        <w:rPr>
          <w:spacing w:val="-57"/>
          <w:sz w:val="24"/>
        </w:rPr>
        <w:t> </w:t>
      </w:r>
      <w:r>
        <w:rPr>
          <w:sz w:val="24"/>
        </w:rPr>
        <w:t>age range tend to discourage tax aggressive activity and thus there is a threshold</w:t>
      </w:r>
      <w:r>
        <w:rPr>
          <w:spacing w:val="1"/>
          <w:sz w:val="24"/>
        </w:rPr>
        <w:t> </w:t>
      </w:r>
      <w:r>
        <w:rPr>
          <w:sz w:val="24"/>
        </w:rPr>
        <w:t>restriction</w:t>
      </w:r>
      <w:r>
        <w:rPr>
          <w:spacing w:val="-1"/>
          <w:sz w:val="24"/>
        </w:rPr>
        <w:t> </w:t>
      </w:r>
      <w:r>
        <w:rPr>
          <w:sz w:val="24"/>
        </w:rPr>
        <w:t>on this relationship.</w:t>
      </w:r>
    </w:p>
    <w:p>
      <w:pPr>
        <w:pStyle w:val="ListParagraph"/>
        <w:numPr>
          <w:ilvl w:val="2"/>
          <w:numId w:val="33"/>
        </w:numPr>
        <w:tabs>
          <w:tab w:pos="1530" w:val="left" w:leader="none"/>
        </w:tabs>
        <w:spacing w:line="480" w:lineRule="auto" w:before="120" w:after="0"/>
        <w:ind w:left="1530" w:right="830" w:hanging="567"/>
        <w:jc w:val="both"/>
        <w:rPr>
          <w:sz w:val="24"/>
        </w:rPr>
      </w:pPr>
      <w:r>
        <w:rPr>
          <w:sz w:val="24"/>
        </w:rPr>
        <w:t>The analysis of the CEO attributes fixed effects estimation results reveals that CEOT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has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negative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coefficient</w:t>
      </w:r>
      <w:r>
        <w:rPr>
          <w:spacing w:val="-11"/>
          <w:sz w:val="24"/>
        </w:rPr>
        <w:t> </w:t>
      </w:r>
      <w:r>
        <w:rPr>
          <w:sz w:val="24"/>
        </w:rPr>
        <w:t>though</w:t>
      </w:r>
      <w:r>
        <w:rPr>
          <w:spacing w:val="-13"/>
          <w:sz w:val="24"/>
        </w:rPr>
        <w:t> </w:t>
      </w:r>
      <w:r>
        <w:rPr>
          <w:sz w:val="24"/>
        </w:rPr>
        <w:t>not</w:t>
      </w:r>
      <w:r>
        <w:rPr>
          <w:spacing w:val="-13"/>
          <w:sz w:val="24"/>
        </w:rPr>
        <w:t> </w:t>
      </w:r>
      <w:r>
        <w:rPr>
          <w:sz w:val="24"/>
        </w:rPr>
        <w:t>significant</w:t>
      </w:r>
      <w:r>
        <w:rPr>
          <w:spacing w:val="-13"/>
          <w:sz w:val="24"/>
        </w:rPr>
        <w:t> </w:t>
      </w:r>
      <w:r>
        <w:rPr>
          <w:sz w:val="24"/>
        </w:rPr>
        <w:t>at</w:t>
      </w:r>
      <w:r>
        <w:rPr>
          <w:spacing w:val="-13"/>
          <w:sz w:val="24"/>
        </w:rPr>
        <w:t> </w:t>
      </w:r>
      <w:r>
        <w:rPr>
          <w:sz w:val="24"/>
        </w:rPr>
        <w:t>5%.</w:t>
      </w:r>
      <w:r>
        <w:rPr>
          <w:spacing w:val="-15"/>
          <w:sz w:val="24"/>
        </w:rPr>
        <w:t> </w:t>
      </w: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discrete</w:t>
      </w:r>
      <w:r>
        <w:rPr>
          <w:spacing w:val="-15"/>
          <w:sz w:val="24"/>
        </w:rPr>
        <w:t> </w:t>
      </w:r>
      <w:r>
        <w:rPr>
          <w:sz w:val="24"/>
        </w:rPr>
        <w:t>threshold</w:t>
      </w:r>
      <w:r>
        <w:rPr>
          <w:spacing w:val="-14"/>
          <w:sz w:val="24"/>
        </w:rPr>
        <w:t> </w:t>
      </w:r>
      <w:r>
        <w:rPr>
          <w:sz w:val="24"/>
        </w:rPr>
        <w:t>estimation</w:t>
      </w:r>
      <w:r>
        <w:rPr>
          <w:spacing w:val="-58"/>
          <w:sz w:val="24"/>
        </w:rPr>
        <w:t> </w:t>
      </w:r>
      <w:r>
        <w:rPr>
          <w:sz w:val="24"/>
        </w:rPr>
        <w:t>output</w:t>
      </w:r>
      <w:r>
        <w:rPr>
          <w:spacing w:val="-1"/>
          <w:sz w:val="24"/>
        </w:rPr>
        <w:t> </w:t>
      </w:r>
      <w:r>
        <w:rPr>
          <w:sz w:val="24"/>
        </w:rPr>
        <w:t>indicated no significant threshold restriction on</w:t>
      </w:r>
      <w:r>
        <w:rPr>
          <w:spacing w:val="-1"/>
          <w:sz w:val="24"/>
        </w:rPr>
        <w:t> </w:t>
      </w:r>
      <w:r>
        <w:rPr>
          <w:sz w:val="24"/>
        </w:rPr>
        <w:t>this relationship.</w:t>
      </w:r>
    </w:p>
    <w:p>
      <w:pPr>
        <w:pStyle w:val="ListParagraph"/>
        <w:numPr>
          <w:ilvl w:val="2"/>
          <w:numId w:val="33"/>
        </w:numPr>
        <w:tabs>
          <w:tab w:pos="1530" w:val="left" w:leader="none"/>
        </w:tabs>
        <w:spacing w:line="480" w:lineRule="auto" w:before="121" w:after="0"/>
        <w:ind w:left="1530" w:right="830" w:hanging="567"/>
        <w:jc w:val="both"/>
        <w:rPr>
          <w:sz w:val="24"/>
        </w:rPr>
      </w:pPr>
      <w:r>
        <w:rPr>
          <w:sz w:val="24"/>
        </w:rPr>
        <w:t>CEO-Own has a negative coefficient and significant at 5%. The results suggest that an</w:t>
      </w:r>
      <w:r>
        <w:rPr>
          <w:spacing w:val="1"/>
          <w:sz w:val="24"/>
        </w:rPr>
        <w:t> </w:t>
      </w:r>
      <w:r>
        <w:rPr>
          <w:sz w:val="24"/>
        </w:rPr>
        <w:t>increase in CEO equity ownership results in a reduction in the tax paid/ pre-tax income</w:t>
      </w:r>
      <w:r>
        <w:rPr>
          <w:spacing w:val="-57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and this implies an increase</w:t>
      </w:r>
      <w:r>
        <w:rPr>
          <w:spacing w:val="-1"/>
          <w:sz w:val="24"/>
        </w:rPr>
        <w:t> </w:t>
      </w:r>
      <w:r>
        <w:rPr>
          <w:sz w:val="24"/>
        </w:rPr>
        <w:t>in tax aggressiveness.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numPr>
          <w:ilvl w:val="1"/>
          <w:numId w:val="33"/>
        </w:numPr>
        <w:tabs>
          <w:tab w:pos="1242" w:val="left" w:leader="none"/>
        </w:tabs>
        <w:spacing w:line="240" w:lineRule="auto" w:before="77" w:after="0"/>
        <w:ind w:left="1242" w:right="0" w:hanging="420"/>
        <w:jc w:val="left"/>
      </w:pPr>
      <w:bookmarkStart w:name="_bookmark104" w:id="168"/>
      <w:bookmarkEnd w:id="168"/>
      <w:r>
        <w:rPr>
          <w:b w:val="0"/>
        </w:rPr>
      </w:r>
      <w:bookmarkStart w:name="_bookmark104" w:id="169"/>
      <w:bookmarkEnd w:id="169"/>
      <w:r>
        <w:rPr/>
        <w:t>Conclusion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3"/>
      </w:pPr>
      <w:r>
        <w:rPr/>
        <w:drawing>
          <wp:anchor distT="0" distB="0" distL="0" distR="0" allowOverlap="1" layoutInCell="1" locked="0" behindDoc="1" simplePos="0" relativeHeight="454069760">
            <wp:simplePos x="0" y="0"/>
            <wp:positionH relativeFrom="page">
              <wp:posOffset>1261605</wp:posOffset>
            </wp:positionH>
            <wp:positionV relativeFrom="paragraph">
              <wp:posOffset>1388403</wp:posOffset>
            </wp:positionV>
            <wp:extent cx="5133225" cy="5265293"/>
            <wp:effectExtent l="0" t="0" r="0" b="0"/>
            <wp:wrapNone/>
            <wp:docPr id="25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noted earlier, the link between corporate governance and tax aggressiveness has been</w:t>
      </w:r>
      <w:r>
        <w:rPr>
          <w:spacing w:val="1"/>
        </w:rPr>
        <w:t> </w:t>
      </w:r>
      <w:r>
        <w:rPr/>
        <w:t>hypothesized by two key perspectives. Firstly, in terms of the traditional view, aggressive tax</w:t>
      </w:r>
      <w:r>
        <w:rPr>
          <w:spacing w:val="1"/>
        </w:rPr>
        <w:t> </w:t>
      </w:r>
      <w:r>
        <w:rPr/>
        <w:t>strategies represent a firm's value maximizing activity as it entails a wealth transfer from the</w:t>
      </w:r>
      <w:r>
        <w:rPr>
          <w:spacing w:val="1"/>
        </w:rPr>
        <w:t> </w:t>
      </w:r>
      <w:r>
        <w:rPr/>
        <w:t>government to shareholders of a firm. Therefore, shareholder value should increase with the</w:t>
      </w:r>
      <w:r>
        <w:rPr>
          <w:spacing w:val="1"/>
        </w:rPr>
        <w:t> </w:t>
      </w:r>
      <w:r>
        <w:rPr/>
        <w:t>efficacy of corporate tax strategies so long as the expected marginal benefit exceeds marginal</w:t>
      </w:r>
      <w:r>
        <w:rPr>
          <w:spacing w:val="1"/>
        </w:rPr>
        <w:t> </w:t>
      </w:r>
      <w:r>
        <w:rPr/>
        <w:t>cost.</w:t>
      </w:r>
      <w:r>
        <w:rPr>
          <w:spacing w:val="-14"/>
        </w:rPr>
        <w:t> </w:t>
      </w:r>
      <w:r>
        <w:rPr/>
        <w:t>Thus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this</w:t>
      </w:r>
      <w:r>
        <w:rPr>
          <w:spacing w:val="-13"/>
        </w:rPr>
        <w:t> </w:t>
      </w:r>
      <w:r>
        <w:rPr/>
        <w:t>regards,</w:t>
      </w:r>
      <w:r>
        <w:rPr>
          <w:spacing w:val="-14"/>
        </w:rPr>
        <w:t> </w:t>
      </w:r>
      <w:r>
        <w:rPr/>
        <w:t>tax</w:t>
      </w:r>
      <w:r>
        <w:rPr>
          <w:spacing w:val="-14"/>
        </w:rPr>
        <w:t> </w:t>
      </w:r>
      <w:r>
        <w:rPr/>
        <w:t>aggressiveness</w:t>
      </w:r>
      <w:r>
        <w:rPr>
          <w:spacing w:val="-11"/>
        </w:rPr>
        <w:t> </w:t>
      </w:r>
      <w:r>
        <w:rPr/>
        <w:t>activity</w:t>
      </w:r>
      <w:r>
        <w:rPr>
          <w:spacing w:val="-13"/>
        </w:rPr>
        <w:t> </w:t>
      </w:r>
      <w:r>
        <w:rPr/>
        <w:t>will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allowable</w:t>
      </w:r>
      <w:r>
        <w:rPr>
          <w:spacing w:val="-14"/>
        </w:rPr>
        <w:t> </w:t>
      </w:r>
      <w:r>
        <w:rPr/>
        <w:t>by</w:t>
      </w:r>
      <w:r>
        <w:rPr>
          <w:spacing w:val="-13"/>
        </w:rPr>
        <w:t> </w:t>
      </w:r>
      <w:r>
        <w:rPr/>
        <w:t>corporate</w:t>
      </w:r>
      <w:r>
        <w:rPr>
          <w:spacing w:val="-14"/>
        </w:rPr>
        <w:t> </w:t>
      </w:r>
      <w:r>
        <w:rPr/>
        <w:t>governance</w:t>
      </w:r>
      <w:r>
        <w:rPr>
          <w:spacing w:val="-58"/>
        </w:rPr>
        <w:t> </w:t>
      </w:r>
      <w:r>
        <w:rPr/>
        <w:t>because</w:t>
      </w:r>
      <w:r>
        <w:rPr>
          <w:spacing w:val="-2"/>
        </w:rPr>
        <w:t> </w:t>
      </w:r>
      <w:r>
        <w:rPr/>
        <w:t>it results in shareholder</w:t>
      </w:r>
      <w:r>
        <w:rPr>
          <w:spacing w:val="-2"/>
        </w:rPr>
        <w:t> </w:t>
      </w:r>
      <w:r>
        <w:rPr/>
        <w:t>wealth maximization.</w:t>
      </w:r>
    </w:p>
    <w:p>
      <w:pPr>
        <w:pStyle w:val="BodyText"/>
        <w:spacing w:line="480" w:lineRule="auto" w:before="200"/>
        <w:ind w:right="827"/>
      </w:pP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hand,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perspective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agency</w:t>
      </w:r>
      <w:r>
        <w:rPr>
          <w:spacing w:val="-4"/>
        </w:rPr>
        <w:t> </w:t>
      </w:r>
      <w:r>
        <w:rPr/>
        <w:t>theory,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role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agency</w:t>
      </w:r>
      <w:r>
        <w:rPr>
          <w:spacing w:val="-2"/>
        </w:rPr>
        <w:t> </w:t>
      </w:r>
      <w:r>
        <w:rPr/>
        <w:t>costs</w:t>
      </w:r>
      <w:r>
        <w:rPr>
          <w:spacing w:val="-3"/>
        </w:rPr>
        <w:t> </w:t>
      </w:r>
      <w:r>
        <w:rPr/>
        <w:t>arising</w:t>
      </w:r>
      <w:r>
        <w:rPr>
          <w:spacing w:val="-2"/>
        </w:rPr>
        <w:t> </w:t>
      </w:r>
      <w:r>
        <w:rPr/>
        <w:t>from</w:t>
      </w:r>
      <w:r>
        <w:rPr>
          <w:spacing w:val="-58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burner.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tax</w:t>
      </w:r>
      <w:r>
        <w:rPr>
          <w:spacing w:val="-57"/>
        </w:rPr>
        <w:t> </w:t>
      </w:r>
      <w:r>
        <w:rPr/>
        <w:t>aggressiveness will create scope for managerial opportunism. If the free cash flow from</w:t>
      </w:r>
      <w:r>
        <w:rPr>
          <w:spacing w:val="1"/>
        </w:rPr>
        <w:t> </w:t>
      </w:r>
      <w:r>
        <w:rPr/>
        <w:t>aggressive behaviour induces the threat of opportunism by managers, the stance of corporate</w:t>
      </w:r>
      <w:r>
        <w:rPr>
          <w:spacing w:val="1"/>
        </w:rPr>
        <w:t> </w:t>
      </w:r>
      <w:r>
        <w:rPr/>
        <w:t>government will be to mitigate such practices.</w:t>
      </w:r>
      <w:r>
        <w:rPr>
          <w:spacing w:val="1"/>
        </w:rPr>
        <w:t> </w:t>
      </w:r>
      <w:r>
        <w:rPr/>
        <w:t>The role of aggressive tax behaviour by</w:t>
      </w:r>
      <w:r>
        <w:rPr>
          <w:spacing w:val="1"/>
        </w:rPr>
        <w:t> </w:t>
      </w:r>
      <w:r>
        <w:rPr/>
        <w:t>managers within an agency framework of the firm poses a new set of issues which are related</w:t>
      </w:r>
      <w:r>
        <w:rPr>
          <w:spacing w:val="1"/>
        </w:rPr>
        <w:t> </w:t>
      </w:r>
      <w:r>
        <w:rPr/>
        <w:t>to the alignment of their interests with those of the shareholders.</w:t>
      </w:r>
      <w:r>
        <w:rPr>
          <w:spacing w:val="1"/>
        </w:rPr>
        <w:t> </w:t>
      </w:r>
      <w:r>
        <w:rPr/>
        <w:t>By studying how corporate</w:t>
      </w:r>
      <w:r>
        <w:rPr>
          <w:spacing w:val="1"/>
        </w:rPr>
        <w:t> </w:t>
      </w:r>
      <w:r>
        <w:rPr/>
        <w:t>governance is related to tax aggressive behaviour, this study provides insight into the efficacy</w:t>
      </w:r>
      <w:r>
        <w:rPr>
          <w:spacing w:val="1"/>
        </w:rPr>
        <w:t> </w:t>
      </w:r>
      <w:r>
        <w:rPr/>
        <w:t>of corporate governance arrangements in the short term as well as in the long term within the</w:t>
      </w:r>
      <w:r>
        <w:rPr>
          <w:spacing w:val="1"/>
        </w:rPr>
        <w:t> </w:t>
      </w:r>
      <w:r>
        <w:rPr/>
        <w:t>context of shareholders wealth maximization on one hand and the possibility of managerial</w:t>
      </w:r>
      <w:r>
        <w:rPr>
          <w:spacing w:val="1"/>
        </w:rPr>
        <w:t> </w:t>
      </w:r>
      <w:r>
        <w:rPr/>
        <w:t>opportunism</w:t>
      </w:r>
      <w:r>
        <w:rPr>
          <w:spacing w:val="-1"/>
        </w:rPr>
        <w:t> </w:t>
      </w:r>
      <w:r>
        <w:rPr/>
        <w:t>on the other.</w:t>
      </w:r>
    </w:p>
    <w:p>
      <w:pPr>
        <w:pStyle w:val="BodyText"/>
        <w:spacing w:line="480" w:lineRule="auto" w:before="203"/>
        <w:ind w:right="831"/>
      </w:pPr>
      <w:r>
        <w:rPr/>
        <w:t>The findings of the study reveal that (i) an increase in the number of independent directors on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board</w:t>
      </w:r>
      <w:r>
        <w:rPr>
          <w:spacing w:val="-6"/>
        </w:rPr>
        <w:t> </w:t>
      </w:r>
      <w:r>
        <w:rPr/>
        <w:t>results</w:t>
      </w:r>
      <w:r>
        <w:rPr>
          <w:spacing w:val="-7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10"/>
        </w:rPr>
        <w:t> </w:t>
      </w:r>
      <w:r>
        <w:rPr/>
        <w:t>reduction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tax</w:t>
      </w:r>
      <w:r>
        <w:rPr>
          <w:spacing w:val="-7"/>
        </w:rPr>
        <w:t> </w:t>
      </w:r>
      <w:r>
        <w:rPr/>
        <w:t>paid/</w:t>
      </w:r>
      <w:r>
        <w:rPr>
          <w:spacing w:val="-7"/>
        </w:rPr>
        <w:t> </w:t>
      </w:r>
      <w:r>
        <w:rPr/>
        <w:t>pre-tax</w:t>
      </w:r>
      <w:r>
        <w:rPr>
          <w:spacing w:val="-8"/>
        </w:rPr>
        <w:t> </w:t>
      </w:r>
      <w:r>
        <w:rPr/>
        <w:t>income</w:t>
      </w:r>
      <w:r>
        <w:rPr>
          <w:spacing w:val="-6"/>
        </w:rPr>
        <w:t> </w:t>
      </w:r>
      <w:r>
        <w:rPr/>
        <w:t>ratio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implies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</w:t>
      </w:r>
      <w:r>
        <w:rPr>
          <w:spacing w:val="-11"/>
        </w:rPr>
        <w:t> </w:t>
      </w:r>
      <w:r>
        <w:rPr/>
        <w:t>tax</w:t>
      </w:r>
      <w:r>
        <w:rPr>
          <w:spacing w:val="-12"/>
        </w:rPr>
        <w:t> </w:t>
      </w:r>
      <w:r>
        <w:rPr/>
        <w:t>aggressive</w:t>
      </w:r>
      <w:r>
        <w:rPr>
          <w:spacing w:val="-12"/>
        </w:rPr>
        <w:t> </w:t>
      </w:r>
      <w:r>
        <w:rPr/>
        <w:t>practices.</w:t>
      </w:r>
      <w:r>
        <w:rPr>
          <w:spacing w:val="-11"/>
        </w:rPr>
        <w:t> </w:t>
      </w:r>
      <w:r>
        <w:rPr/>
        <w:t>Furthermore,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discrete</w:t>
      </w:r>
      <w:r>
        <w:rPr>
          <w:spacing w:val="-12"/>
        </w:rPr>
        <w:t> </w:t>
      </w:r>
      <w:r>
        <w:rPr/>
        <w:t>threshold</w:t>
      </w:r>
      <w:r>
        <w:rPr>
          <w:spacing w:val="-11"/>
        </w:rPr>
        <w:t> </w:t>
      </w:r>
      <w:r>
        <w:rPr/>
        <w:t>estimates</w:t>
      </w:r>
      <w:r>
        <w:rPr>
          <w:spacing w:val="-11"/>
        </w:rPr>
        <w:t> </w:t>
      </w:r>
      <w:r>
        <w:rPr/>
        <w:t>suggest</w:t>
      </w:r>
      <w:r>
        <w:rPr>
          <w:spacing w:val="-10"/>
        </w:rPr>
        <w:t> </w:t>
      </w:r>
      <w:r>
        <w:rPr/>
        <w:t>that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effect</w:t>
      </w:r>
      <w:r>
        <w:rPr>
          <w:spacing w:val="-58"/>
        </w:rPr>
        <w:t> </w:t>
      </w:r>
      <w:r>
        <w:rPr/>
        <w:t>is</w:t>
      </w:r>
      <w:r>
        <w:rPr>
          <w:spacing w:val="-7"/>
        </w:rPr>
        <w:t> </w:t>
      </w:r>
      <w:r>
        <w:rPr/>
        <w:t>dominant</w:t>
      </w:r>
      <w:r>
        <w:rPr>
          <w:spacing w:val="-6"/>
        </w:rPr>
        <w:t> </w:t>
      </w:r>
      <w:r>
        <w:rPr/>
        <w:t>when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BDIND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between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ratios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0.57-0.71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total</w:t>
      </w:r>
      <w:r>
        <w:rPr>
          <w:spacing w:val="-8"/>
        </w:rPr>
        <w:t> </w:t>
      </w:r>
      <w:r>
        <w:rPr/>
        <w:t>board.</w:t>
      </w:r>
      <w:r>
        <w:rPr>
          <w:spacing w:val="-7"/>
        </w:rPr>
        <w:t> </w:t>
      </w:r>
      <w:r>
        <w:rPr/>
        <w:t>(ii)</w:t>
      </w:r>
      <w:r>
        <w:rPr>
          <w:spacing w:val="47"/>
        </w:rPr>
        <w:t> </w:t>
      </w:r>
      <w:r>
        <w:rPr/>
        <w:t>An</w:t>
      </w:r>
      <w:r>
        <w:rPr>
          <w:spacing w:val="-8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3"/>
        </w:rPr>
        <w:t> </w:t>
      </w:r>
      <w:r>
        <w:rPr/>
        <w:t>size</w:t>
      </w:r>
      <w:r>
        <w:rPr>
          <w:spacing w:val="3"/>
        </w:rPr>
        <w:t> </w:t>
      </w:r>
      <w:r>
        <w:rPr/>
        <w:t>results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reduction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tax</w:t>
      </w:r>
      <w:r>
        <w:rPr>
          <w:spacing w:val="3"/>
        </w:rPr>
        <w:t> </w:t>
      </w:r>
      <w:r>
        <w:rPr/>
        <w:t>paid/</w:t>
      </w:r>
      <w:r>
        <w:rPr>
          <w:spacing w:val="2"/>
        </w:rPr>
        <w:t> </w:t>
      </w:r>
      <w:r>
        <w:rPr/>
        <w:t>pre-tax</w:t>
      </w:r>
      <w:r>
        <w:rPr>
          <w:spacing w:val="2"/>
        </w:rPr>
        <w:t> </w:t>
      </w:r>
      <w:r>
        <w:rPr/>
        <w:t>income</w:t>
      </w:r>
      <w:r>
        <w:rPr>
          <w:spacing w:val="3"/>
        </w:rPr>
        <w:t> </w:t>
      </w:r>
      <w:r>
        <w:rPr/>
        <w:t>ratio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implies</w:t>
      </w:r>
      <w:r>
        <w:rPr>
          <w:spacing w:val="2"/>
        </w:rPr>
        <w:t> </w:t>
      </w:r>
      <w:r>
        <w:rPr/>
        <w:t>an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right="829"/>
      </w:pPr>
      <w:r>
        <w:rPr/>
        <w:drawing>
          <wp:anchor distT="0" distB="0" distL="0" distR="0" allowOverlap="1" layoutInCell="1" locked="0" behindDoc="1" simplePos="0" relativeHeight="454070272">
            <wp:simplePos x="0" y="0"/>
            <wp:positionH relativeFrom="page">
              <wp:posOffset>1261605</wp:posOffset>
            </wp:positionH>
            <wp:positionV relativeFrom="paragraph">
              <wp:posOffset>1827061</wp:posOffset>
            </wp:positionV>
            <wp:extent cx="5133225" cy="5265293"/>
            <wp:effectExtent l="0" t="0" r="0" b="0"/>
            <wp:wrapNone/>
            <wp:docPr id="25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increase in tax aggressiveness. In addition, the discrete threshold results thus no identified</w:t>
      </w:r>
      <w:r>
        <w:rPr>
          <w:spacing w:val="1"/>
        </w:rPr>
        <w:t> </w:t>
      </w:r>
      <w:r>
        <w:rPr/>
        <w:t>significant threshold restriction on this relationship. (iii) an increase in the board gender</w:t>
      </w:r>
      <w:r>
        <w:rPr>
          <w:spacing w:val="1"/>
        </w:rPr>
        <w:t> </w:t>
      </w:r>
      <w:r>
        <w:rPr/>
        <w:t>diversity of boards results in an increase in the tax paid/ pre-tax income ratio and this implies</w:t>
      </w:r>
      <w:r>
        <w:rPr>
          <w:spacing w:val="1"/>
        </w:rPr>
        <w:t> </w:t>
      </w:r>
      <w:r>
        <w:rPr/>
        <w:t>less tax aggressiveness activity though the outcome is not significant at 5%. The discrete</w:t>
      </w:r>
      <w:r>
        <w:rPr>
          <w:spacing w:val="1"/>
        </w:rPr>
        <w:t> </w:t>
      </w:r>
      <w:r>
        <w:rPr/>
        <w:t>threshold regression results indicate that there is no identified significant threshold restriction</w:t>
      </w:r>
      <w:r>
        <w:rPr>
          <w:spacing w:val="1"/>
        </w:rPr>
        <w:t> </w:t>
      </w:r>
      <w:r>
        <w:rPr/>
        <w:t>on</w:t>
      </w:r>
      <w:r>
        <w:rPr>
          <w:spacing w:val="-11"/>
        </w:rPr>
        <w:t> </w:t>
      </w:r>
      <w:r>
        <w:rPr/>
        <w:t>this</w:t>
      </w:r>
      <w:r>
        <w:rPr>
          <w:spacing w:val="-10"/>
        </w:rPr>
        <w:t> </w:t>
      </w:r>
      <w:r>
        <w:rPr/>
        <w:t>relationship.</w:t>
      </w:r>
      <w:r>
        <w:rPr>
          <w:spacing w:val="-11"/>
        </w:rPr>
        <w:t> </w:t>
      </w:r>
      <w:r>
        <w:rPr/>
        <w:t>(iv)</w:t>
      </w:r>
      <w:r>
        <w:rPr>
          <w:spacing w:val="-11"/>
        </w:rPr>
        <w:t> </w:t>
      </w:r>
      <w:r>
        <w:rPr/>
        <w:t>an</w:t>
      </w:r>
      <w:r>
        <w:rPr>
          <w:spacing w:val="-10"/>
        </w:rPr>
        <w:t> </w:t>
      </w:r>
      <w:r>
        <w:rPr/>
        <w:t>increase</w:t>
      </w:r>
      <w:r>
        <w:rPr>
          <w:spacing w:val="-12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level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board</w:t>
      </w:r>
      <w:r>
        <w:rPr>
          <w:spacing w:val="-12"/>
        </w:rPr>
        <w:t> </w:t>
      </w:r>
      <w:r>
        <w:rPr/>
        <w:t>equity</w:t>
      </w:r>
      <w:r>
        <w:rPr>
          <w:spacing w:val="-10"/>
        </w:rPr>
        <w:t> </w:t>
      </w:r>
      <w:r>
        <w:rPr/>
        <w:t>ownership</w:t>
      </w:r>
      <w:r>
        <w:rPr>
          <w:spacing w:val="-10"/>
        </w:rPr>
        <w:t> </w:t>
      </w:r>
      <w:r>
        <w:rPr/>
        <w:t>results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reduction</w:t>
      </w:r>
      <w:r>
        <w:rPr>
          <w:spacing w:val="-58"/>
        </w:rPr>
        <w:t> </w:t>
      </w:r>
      <w:r>
        <w:rPr/>
        <w:t>in the tax paid/ pre-tax income ratio and this implies an increase in tax aggressive practices. In</w:t>
      </w:r>
      <w:r>
        <w:rPr>
          <w:spacing w:val="-57"/>
        </w:rPr>
        <w:t> </w:t>
      </w:r>
      <w:r>
        <w:rPr/>
        <w:t>addition,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discrete</w:t>
      </w:r>
      <w:r>
        <w:rPr>
          <w:spacing w:val="-9"/>
        </w:rPr>
        <w:t> </w:t>
      </w:r>
      <w:r>
        <w:rPr/>
        <w:t>threshold</w:t>
      </w:r>
      <w:r>
        <w:rPr>
          <w:spacing w:val="-9"/>
        </w:rPr>
        <w:t> </w:t>
      </w:r>
      <w:r>
        <w:rPr/>
        <w:t>results</w:t>
      </w:r>
      <w:r>
        <w:rPr>
          <w:spacing w:val="-7"/>
        </w:rPr>
        <w:t> </w:t>
      </w:r>
      <w:r>
        <w:rPr/>
        <w:t>suggest</w:t>
      </w:r>
      <w:r>
        <w:rPr>
          <w:spacing w:val="-8"/>
        </w:rPr>
        <w:t> </w:t>
      </w:r>
      <w:r>
        <w:rPr/>
        <w:t>that</w:t>
      </w:r>
      <w:r>
        <w:rPr>
          <w:spacing w:val="-11"/>
        </w:rPr>
        <w:t> </w:t>
      </w:r>
      <w:r>
        <w:rPr/>
        <w:t>there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/>
        <w:t>identified</w:t>
      </w:r>
      <w:r>
        <w:rPr>
          <w:spacing w:val="-9"/>
        </w:rPr>
        <w:t> </w:t>
      </w:r>
      <w:r>
        <w:rPr/>
        <w:t>threshold</w:t>
      </w:r>
      <w:r>
        <w:rPr>
          <w:spacing w:val="-9"/>
        </w:rPr>
        <w:t> </w:t>
      </w:r>
      <w:r>
        <w:rPr/>
        <w:t>restriction</w:t>
      </w:r>
      <w:r>
        <w:rPr>
          <w:spacing w:val="-7"/>
        </w:rPr>
        <w:t> </w:t>
      </w:r>
      <w:r>
        <w:rPr/>
        <w:t>on</w:t>
      </w:r>
      <w:r>
        <w:rPr>
          <w:spacing w:val="-58"/>
        </w:rPr>
        <w:t> </w:t>
      </w:r>
      <w:r>
        <w:rPr/>
        <w:t>this relationship (v) the presence of older CEO’s tends to result in an</w:t>
      </w:r>
      <w:r>
        <w:rPr>
          <w:spacing w:val="1"/>
        </w:rPr>
        <w:t> </w:t>
      </w:r>
      <w:r>
        <w:rPr/>
        <w:t>increase in the tax paid/</w:t>
      </w:r>
      <w:r>
        <w:rPr>
          <w:spacing w:val="-57"/>
        </w:rPr>
        <w:t> </w:t>
      </w:r>
      <w:r>
        <w:rPr/>
        <w:t>pre-tax income ratio and this implies less tax aggressiveness activity. The discrete threshold</w:t>
      </w:r>
      <w:r>
        <w:rPr>
          <w:spacing w:val="1"/>
        </w:rPr>
        <w:t> </w:t>
      </w:r>
      <w:r>
        <w:rPr/>
        <w:t>estimation</w:t>
      </w:r>
      <w:r>
        <w:rPr>
          <w:spacing w:val="-8"/>
        </w:rPr>
        <w:t> </w:t>
      </w:r>
      <w:r>
        <w:rPr/>
        <w:t>output</w:t>
      </w:r>
      <w:r>
        <w:rPr>
          <w:spacing w:val="-8"/>
        </w:rPr>
        <w:t> </w:t>
      </w:r>
      <w:r>
        <w:rPr/>
        <w:t>indicated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CEO’s</w:t>
      </w:r>
      <w:r>
        <w:rPr>
          <w:spacing w:val="-9"/>
        </w:rPr>
        <w:t> </w:t>
      </w:r>
      <w:r>
        <w:rPr/>
        <w:t>between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ages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51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60</w:t>
      </w:r>
      <w:r>
        <w:rPr>
          <w:spacing w:val="-8"/>
        </w:rPr>
        <w:t> </w:t>
      </w:r>
      <w:r>
        <w:rPr/>
        <w:t>tend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have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significant</w:t>
      </w:r>
      <w:r>
        <w:rPr>
          <w:spacing w:val="-58"/>
        </w:rPr>
        <w:t> </w:t>
      </w:r>
      <w:r>
        <w:rPr/>
        <w:t>effect on increasing tax paid there is a threshold restriction on this relationship. (vi) CEOT has</w:t>
      </w:r>
      <w:r>
        <w:rPr>
          <w:spacing w:val="-57"/>
        </w:rPr>
        <w:t> </w:t>
      </w:r>
      <w:r>
        <w:rPr/>
        <w:t>a negative coefficient though not significant at 5%. The discrete threshold estimation output</w:t>
      </w:r>
      <w:r>
        <w:rPr>
          <w:spacing w:val="1"/>
        </w:rPr>
        <w:t> </w:t>
      </w:r>
      <w:r>
        <w:rPr/>
        <w:t>indicated no significant threshold restriction on this relationship and (vii) an increase in CEO</w:t>
      </w:r>
      <w:r>
        <w:rPr>
          <w:spacing w:val="1"/>
        </w:rPr>
        <w:t> </w:t>
      </w:r>
      <w:r>
        <w:rPr/>
        <w:t>equity</w:t>
      </w:r>
      <w:r>
        <w:rPr>
          <w:spacing w:val="-4"/>
        </w:rPr>
        <w:t> </w:t>
      </w:r>
      <w:r>
        <w:rPr/>
        <w:t>ownership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reduction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tax</w:t>
      </w:r>
      <w:r>
        <w:rPr>
          <w:spacing w:val="-1"/>
        </w:rPr>
        <w:t> </w:t>
      </w:r>
      <w:r>
        <w:rPr/>
        <w:t>paid/</w:t>
      </w:r>
      <w:r>
        <w:rPr>
          <w:spacing w:val="-3"/>
        </w:rPr>
        <w:t> </w:t>
      </w:r>
      <w:r>
        <w:rPr/>
        <w:t>pre-tax</w:t>
      </w:r>
      <w:r>
        <w:rPr>
          <w:spacing w:val="-3"/>
        </w:rPr>
        <w:t> </w:t>
      </w:r>
      <w:r>
        <w:rPr/>
        <w:t>income</w:t>
      </w:r>
      <w:r>
        <w:rPr>
          <w:spacing w:val="-3"/>
        </w:rPr>
        <w:t> </w:t>
      </w:r>
      <w:r>
        <w:rPr/>
        <w:t>ratio and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implies</w:t>
      </w:r>
      <w:r>
        <w:rPr>
          <w:spacing w:val="-3"/>
        </w:rPr>
        <w:t> </w:t>
      </w:r>
      <w:r>
        <w:rPr/>
        <w:t>an</w:t>
      </w:r>
      <w:r>
        <w:rPr>
          <w:spacing w:val="-58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 tax aggressiveness.</w:t>
      </w:r>
    </w:p>
    <w:p>
      <w:pPr>
        <w:pStyle w:val="BodyText"/>
        <w:spacing w:line="480" w:lineRule="auto" w:before="202"/>
        <w:ind w:right="835"/>
      </w:pPr>
      <w:r>
        <w:rPr/>
        <w:t>In conclusion, the study has identified the role of corporate governance in tax aggressive</w:t>
      </w:r>
      <w:r>
        <w:rPr>
          <w:spacing w:val="1"/>
        </w:rPr>
        <w:t> </w:t>
      </w:r>
      <w:r>
        <w:rPr/>
        <w:t>practices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non-financial</w:t>
      </w:r>
      <w:r>
        <w:rPr>
          <w:spacing w:val="-7"/>
        </w:rPr>
        <w:t> </w:t>
      </w:r>
      <w:r>
        <w:rPr/>
        <w:t>firms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hence</w:t>
      </w:r>
      <w:r>
        <w:rPr>
          <w:spacing w:val="-10"/>
        </w:rPr>
        <w:t> </w:t>
      </w:r>
      <w:r>
        <w:rPr/>
        <w:t>indeed</w:t>
      </w:r>
      <w:r>
        <w:rPr>
          <w:spacing w:val="-6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governance</w:t>
      </w:r>
      <w:r>
        <w:rPr>
          <w:spacing w:val="-6"/>
        </w:rPr>
        <w:t> </w:t>
      </w:r>
      <w:r>
        <w:rPr/>
        <w:t>is</w:t>
      </w:r>
      <w:r>
        <w:rPr>
          <w:spacing w:val="-8"/>
        </w:rPr>
        <w:t> </w:t>
      </w:r>
      <w:r>
        <w:rPr/>
        <w:t>key</w:t>
      </w:r>
      <w:r>
        <w:rPr>
          <w:spacing w:val="-9"/>
        </w:rPr>
        <w:t> </w:t>
      </w:r>
      <w:r>
        <w:rPr/>
        <w:t>factor</w:t>
      </w:r>
      <w:r>
        <w:rPr>
          <w:spacing w:val="-58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influence</w:t>
      </w:r>
      <w:r>
        <w:rPr>
          <w:spacing w:val="-1"/>
        </w:rPr>
        <w:t> </w:t>
      </w:r>
      <w:r>
        <w:rPr/>
        <w:t>tax aggressive</w:t>
      </w:r>
      <w:r>
        <w:rPr>
          <w:spacing w:val="-1"/>
        </w:rPr>
        <w:t> </w:t>
      </w:r>
      <w:r>
        <w:rPr/>
        <w:t>practices.</w:t>
      </w:r>
    </w:p>
    <w:p>
      <w:pPr>
        <w:pStyle w:val="Heading1"/>
        <w:numPr>
          <w:ilvl w:val="1"/>
          <w:numId w:val="33"/>
        </w:numPr>
        <w:tabs>
          <w:tab w:pos="1242" w:val="left" w:leader="none"/>
        </w:tabs>
        <w:spacing w:line="240" w:lineRule="auto" w:before="202" w:after="0"/>
        <w:ind w:left="1242" w:right="0" w:hanging="420"/>
        <w:jc w:val="both"/>
      </w:pPr>
      <w:bookmarkStart w:name="_bookmark105" w:id="170"/>
      <w:bookmarkEnd w:id="170"/>
      <w:r>
        <w:rPr>
          <w:b w:val="0"/>
        </w:rPr>
      </w:r>
      <w:bookmarkStart w:name="_bookmark105" w:id="171"/>
      <w:bookmarkEnd w:id="171"/>
      <w:r>
        <w:rPr/>
        <w:t>R</w:t>
      </w:r>
      <w:r>
        <w:rPr/>
        <w:t>ecommendation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</w:pP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findings</w:t>
      </w:r>
      <w:r>
        <w:rPr>
          <w:spacing w:val="-1"/>
        </w:rPr>
        <w:t> </w:t>
      </w:r>
      <w:r>
        <w:rPr/>
        <w:t>of the study,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 recommendations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suggested;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250" w:val="left" w:leader="none"/>
        </w:tabs>
        <w:spacing w:line="480" w:lineRule="auto" w:before="176" w:after="0"/>
        <w:ind w:left="1249" w:right="829" w:hanging="428"/>
        <w:jc w:val="both"/>
        <w:rPr>
          <w:sz w:val="24"/>
        </w:rPr>
      </w:pPr>
      <w:r>
        <w:rPr>
          <w:sz w:val="24"/>
        </w:rPr>
        <w:t>The</w:t>
      </w:r>
      <w:r>
        <w:rPr>
          <w:spacing w:val="-15"/>
          <w:sz w:val="24"/>
        </w:rPr>
        <w:t> </w:t>
      </w:r>
      <w:r>
        <w:rPr>
          <w:sz w:val="24"/>
        </w:rPr>
        <w:t>study</w:t>
      </w:r>
      <w:r>
        <w:rPr>
          <w:spacing w:val="-13"/>
          <w:sz w:val="24"/>
        </w:rPr>
        <w:t> </w:t>
      </w:r>
      <w:r>
        <w:rPr>
          <w:sz w:val="24"/>
        </w:rPr>
        <w:t>recommends</w:t>
      </w:r>
      <w:r>
        <w:rPr>
          <w:spacing w:val="-13"/>
          <w:sz w:val="24"/>
        </w:rPr>
        <w:t> </w:t>
      </w:r>
      <w:r>
        <w:rPr>
          <w:sz w:val="24"/>
        </w:rPr>
        <w:t>that</w:t>
      </w:r>
      <w:r>
        <w:rPr>
          <w:spacing w:val="-14"/>
          <w:sz w:val="24"/>
        </w:rPr>
        <w:t> </w:t>
      </w:r>
      <w:r>
        <w:rPr>
          <w:sz w:val="24"/>
        </w:rPr>
        <w:t>increasing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number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independent</w:t>
      </w:r>
      <w:r>
        <w:rPr>
          <w:spacing w:val="-13"/>
          <w:sz w:val="24"/>
        </w:rPr>
        <w:t> </w:t>
      </w:r>
      <w:r>
        <w:rPr>
          <w:sz w:val="24"/>
        </w:rPr>
        <w:t>directors</w:t>
      </w:r>
      <w:r>
        <w:rPr>
          <w:spacing w:val="-14"/>
          <w:sz w:val="24"/>
        </w:rPr>
        <w:t> </w:t>
      </w:r>
      <w:r>
        <w:rPr>
          <w:sz w:val="24"/>
        </w:rPr>
        <w:t>is</w:t>
      </w:r>
      <w:r>
        <w:rPr>
          <w:spacing w:val="-13"/>
          <w:sz w:val="24"/>
        </w:rPr>
        <w:t> </w:t>
      </w:r>
      <w:r>
        <w:rPr>
          <w:sz w:val="24"/>
        </w:rPr>
        <w:t>not</w:t>
      </w:r>
      <w:r>
        <w:rPr>
          <w:spacing w:val="-13"/>
          <w:sz w:val="24"/>
        </w:rPr>
        <w:t> </w:t>
      </w:r>
      <w:r>
        <w:rPr>
          <w:sz w:val="24"/>
        </w:rPr>
        <w:t>sufficient</w:t>
      </w:r>
      <w:r>
        <w:rPr>
          <w:spacing w:val="-58"/>
          <w:sz w:val="24"/>
        </w:rPr>
        <w:t> </w:t>
      </w:r>
      <w:r>
        <w:rPr>
          <w:sz w:val="24"/>
        </w:rPr>
        <w:t>to curtail tax aggressiveness. This may be so especially when aggressive tax strategies</w:t>
      </w:r>
      <w:r>
        <w:rPr>
          <w:spacing w:val="1"/>
          <w:sz w:val="24"/>
        </w:rPr>
        <w:t> </w:t>
      </w:r>
      <w:r>
        <w:rPr>
          <w:sz w:val="24"/>
        </w:rPr>
        <w:t>represent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firm's</w:t>
      </w:r>
      <w:r>
        <w:rPr>
          <w:spacing w:val="56"/>
          <w:sz w:val="24"/>
        </w:rPr>
        <w:t> </w:t>
      </w:r>
      <w:r>
        <w:rPr>
          <w:sz w:val="24"/>
        </w:rPr>
        <w:t>value</w:t>
      </w:r>
      <w:r>
        <w:rPr>
          <w:spacing w:val="58"/>
          <w:sz w:val="24"/>
        </w:rPr>
        <w:t> </w:t>
      </w:r>
      <w:r>
        <w:rPr>
          <w:sz w:val="24"/>
        </w:rPr>
        <w:t>maximizing</w:t>
      </w:r>
      <w:r>
        <w:rPr>
          <w:spacing w:val="55"/>
          <w:sz w:val="24"/>
        </w:rPr>
        <w:t> </w:t>
      </w:r>
      <w:r>
        <w:rPr>
          <w:sz w:val="24"/>
        </w:rPr>
        <w:t>activity</w:t>
      </w:r>
      <w:r>
        <w:rPr>
          <w:spacing w:val="56"/>
          <w:sz w:val="24"/>
        </w:rPr>
        <w:t> </w:t>
      </w:r>
      <w:r>
        <w:rPr>
          <w:sz w:val="24"/>
        </w:rPr>
        <w:t>as</w:t>
      </w:r>
      <w:r>
        <w:rPr>
          <w:spacing w:val="55"/>
          <w:sz w:val="24"/>
        </w:rPr>
        <w:t> </w:t>
      </w:r>
      <w:r>
        <w:rPr>
          <w:sz w:val="24"/>
        </w:rPr>
        <w:t>it</w:t>
      </w:r>
      <w:r>
        <w:rPr>
          <w:spacing w:val="57"/>
          <w:sz w:val="24"/>
        </w:rPr>
        <w:t> </w:t>
      </w:r>
      <w:r>
        <w:rPr>
          <w:sz w:val="24"/>
        </w:rPr>
        <w:t>entails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wealth</w:t>
      </w:r>
      <w:r>
        <w:rPr>
          <w:spacing w:val="55"/>
          <w:sz w:val="24"/>
        </w:rPr>
        <w:t> </w:t>
      </w:r>
      <w:r>
        <w:rPr>
          <w:sz w:val="24"/>
        </w:rPr>
        <w:t>transfer</w:t>
      </w:r>
      <w:r>
        <w:rPr>
          <w:spacing w:val="55"/>
          <w:sz w:val="24"/>
        </w:rPr>
        <w:t> </w:t>
      </w:r>
      <w:r>
        <w:rPr>
          <w:sz w:val="24"/>
        </w:rPr>
        <w:t>from</w:t>
      </w:r>
      <w:r>
        <w:rPr>
          <w:spacing w:val="56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line="480" w:lineRule="auto" w:before="77"/>
        <w:ind w:left="1249" w:right="825"/>
      </w:pPr>
      <w:r>
        <w:rPr/>
        <w:t>government to shareholders of a firm. Therefore, there will be the need for rely largely on</w:t>
      </w:r>
      <w:r>
        <w:rPr>
          <w:spacing w:val="-57"/>
        </w:rPr>
        <w:t> </w:t>
      </w:r>
      <w:r>
        <w:rPr/>
        <w:t>the role of external auditors who are expected to be less neutral and sympathetic to either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shareholders.</w:t>
      </w:r>
    </w:p>
    <w:p>
      <w:pPr>
        <w:pStyle w:val="ListParagraph"/>
        <w:numPr>
          <w:ilvl w:val="0"/>
          <w:numId w:val="34"/>
        </w:numPr>
        <w:tabs>
          <w:tab w:pos="1250" w:val="left" w:leader="none"/>
        </w:tabs>
        <w:spacing w:line="480" w:lineRule="auto" w:before="202" w:after="0"/>
        <w:ind w:left="1249" w:right="832" w:hanging="42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70784">
            <wp:simplePos x="0" y="0"/>
            <wp:positionH relativeFrom="page">
              <wp:posOffset>1261605</wp:posOffset>
            </wp:positionH>
            <wp:positionV relativeFrom="paragraph">
              <wp:posOffset>726606</wp:posOffset>
            </wp:positionV>
            <wp:extent cx="5133225" cy="5265293"/>
            <wp:effectExtent l="0" t="0" r="0" b="0"/>
            <wp:wrapNone/>
            <wp:docPr id="26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 study recommends that increasing boards must come to see tax planning activities as</w:t>
      </w:r>
      <w:r>
        <w:rPr>
          <w:spacing w:val="1"/>
          <w:sz w:val="24"/>
        </w:rPr>
        <w:t> </w:t>
      </w:r>
      <w:r>
        <w:rPr>
          <w:sz w:val="24"/>
        </w:rPr>
        <w:t>unethical</w:t>
      </w:r>
      <w:r>
        <w:rPr>
          <w:spacing w:val="-3"/>
          <w:sz w:val="24"/>
        </w:rPr>
        <w:t> </w:t>
      </w:r>
      <w:r>
        <w:rPr>
          <w:sz w:val="24"/>
        </w:rPr>
        <w:t>even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cases</w:t>
      </w:r>
      <w:r>
        <w:rPr>
          <w:spacing w:val="-3"/>
          <w:sz w:val="24"/>
        </w:rPr>
        <w:t> </w:t>
      </w:r>
      <w:r>
        <w:rPr>
          <w:sz w:val="24"/>
        </w:rPr>
        <w:t>where</w:t>
      </w:r>
      <w:r>
        <w:rPr>
          <w:spacing w:val="-6"/>
          <w:sz w:val="24"/>
        </w:rPr>
        <w:t> </w:t>
      </w:r>
      <w:r>
        <w:rPr>
          <w:sz w:val="24"/>
        </w:rPr>
        <w:t>they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not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illegal.</w:t>
      </w:r>
      <w:r>
        <w:rPr>
          <w:spacing w:val="-3"/>
          <w:sz w:val="24"/>
        </w:rPr>
        <w:t> </w:t>
      </w:r>
      <w:r>
        <w:rPr>
          <w:sz w:val="24"/>
        </w:rPr>
        <w:t>Though</w:t>
      </w:r>
      <w:r>
        <w:rPr>
          <w:spacing w:val="-3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constitutes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4"/>
          <w:sz w:val="24"/>
        </w:rPr>
        <w:t> </w:t>
      </w:r>
      <w:r>
        <w:rPr>
          <w:sz w:val="24"/>
        </w:rPr>
        <w:t>optimal</w:t>
      </w:r>
      <w:r>
        <w:rPr>
          <w:spacing w:val="-57"/>
          <w:sz w:val="24"/>
        </w:rPr>
        <w:t> </w:t>
      </w:r>
      <w:r>
        <w:rPr>
          <w:sz w:val="24"/>
        </w:rPr>
        <w:t>board size is still debatable as the study did not show evidence of a board size threshold,</w:t>
      </w:r>
      <w:r>
        <w:rPr>
          <w:spacing w:val="1"/>
          <w:sz w:val="24"/>
        </w:rPr>
        <w:t> </w:t>
      </w:r>
      <w:r>
        <w:rPr>
          <w:sz w:val="24"/>
        </w:rPr>
        <w:t>there is the need for boards to include representatives of tax authorities who will protect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interest of the tax</w:t>
      </w:r>
      <w:r>
        <w:rPr>
          <w:spacing w:val="2"/>
          <w:sz w:val="24"/>
        </w:rPr>
        <w:t> </w:t>
      </w:r>
      <w:r>
        <w:rPr>
          <w:sz w:val="24"/>
        </w:rPr>
        <w:t>authorities.</w:t>
      </w:r>
    </w:p>
    <w:p>
      <w:pPr>
        <w:pStyle w:val="ListParagraph"/>
        <w:numPr>
          <w:ilvl w:val="0"/>
          <w:numId w:val="34"/>
        </w:numPr>
        <w:tabs>
          <w:tab w:pos="1250" w:val="left" w:leader="none"/>
        </w:tabs>
        <w:spacing w:line="240" w:lineRule="auto" w:before="200" w:after="0"/>
        <w:ind w:left="1249" w:right="0" w:hanging="428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recommends</w:t>
      </w:r>
      <w:r>
        <w:rPr>
          <w:spacing w:val="-1"/>
          <w:sz w:val="24"/>
        </w:rPr>
        <w:t> </w:t>
      </w:r>
      <w:r>
        <w:rPr>
          <w:sz w:val="24"/>
        </w:rPr>
        <w:t>bringing</w:t>
      </w:r>
      <w:r>
        <w:rPr>
          <w:spacing w:val="-1"/>
          <w:sz w:val="24"/>
        </w:rPr>
        <w:t> </w:t>
      </w:r>
      <w:r>
        <w:rPr>
          <w:sz w:val="24"/>
        </w:rPr>
        <w:t>in more</w:t>
      </w:r>
      <w:r>
        <w:rPr>
          <w:spacing w:val="-3"/>
          <w:sz w:val="24"/>
        </w:rPr>
        <w:t> </w:t>
      </w:r>
      <w:r>
        <w:rPr>
          <w:sz w:val="24"/>
        </w:rPr>
        <w:t>women</w:t>
      </w:r>
      <w:r>
        <w:rPr>
          <w:spacing w:val="-1"/>
          <w:sz w:val="24"/>
        </w:rPr>
        <w:t> </w:t>
      </w:r>
      <w:r>
        <w:rPr>
          <w:sz w:val="24"/>
        </w:rPr>
        <w:t>into</w:t>
      </w:r>
      <w:r>
        <w:rPr>
          <w:spacing w:val="-1"/>
          <w:sz w:val="24"/>
        </w:rPr>
        <w:t> </w:t>
      </w:r>
      <w:r>
        <w:rPr>
          <w:sz w:val="24"/>
        </w:rPr>
        <w:t>corporate</w:t>
      </w:r>
      <w:r>
        <w:rPr>
          <w:spacing w:val="-1"/>
          <w:sz w:val="24"/>
        </w:rPr>
        <w:t> </w:t>
      </w:r>
      <w:r>
        <w:rPr>
          <w:sz w:val="24"/>
        </w:rPr>
        <w:t>boards.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250" w:val="left" w:leader="none"/>
        </w:tabs>
        <w:spacing w:line="480" w:lineRule="auto" w:before="177" w:after="0"/>
        <w:ind w:left="1249" w:right="829" w:hanging="428"/>
        <w:jc w:val="both"/>
        <w:rPr>
          <w:sz w:val="24"/>
        </w:rPr>
      </w:pPr>
      <w:r>
        <w:rPr>
          <w:sz w:val="24"/>
        </w:rPr>
        <w:t>The study observes some level of the entrenchment effect Hypothesis such that managers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z w:val="24"/>
        </w:rPr>
        <w:t>larger</w:t>
      </w:r>
      <w:r>
        <w:rPr>
          <w:spacing w:val="-7"/>
          <w:sz w:val="24"/>
        </w:rPr>
        <w:t> </w:t>
      </w:r>
      <w:r>
        <w:rPr>
          <w:sz w:val="24"/>
        </w:rPr>
        <w:t>ownership</w:t>
      </w:r>
      <w:r>
        <w:rPr>
          <w:spacing w:val="-8"/>
          <w:sz w:val="24"/>
        </w:rPr>
        <w:t> </w:t>
      </w:r>
      <w:r>
        <w:rPr>
          <w:sz w:val="24"/>
        </w:rPr>
        <w:t>have</w:t>
      </w:r>
      <w:r>
        <w:rPr>
          <w:spacing w:val="-10"/>
          <w:sz w:val="24"/>
        </w:rPr>
        <w:t> </w:t>
      </w:r>
      <w:r>
        <w:rPr>
          <w:sz w:val="24"/>
        </w:rPr>
        <w:t>greater</w:t>
      </w:r>
      <w:r>
        <w:rPr>
          <w:spacing w:val="-7"/>
          <w:sz w:val="24"/>
        </w:rPr>
        <w:t> </w:t>
      </w:r>
      <w:r>
        <w:rPr>
          <w:sz w:val="24"/>
        </w:rPr>
        <w:t>control</w:t>
      </w:r>
      <w:r>
        <w:rPr>
          <w:spacing w:val="-8"/>
          <w:sz w:val="24"/>
        </w:rPr>
        <w:t> </w:t>
      </w:r>
      <w:r>
        <w:rPr>
          <w:sz w:val="24"/>
        </w:rPr>
        <w:t>over</w:t>
      </w:r>
      <w:r>
        <w:rPr>
          <w:spacing w:val="-8"/>
          <w:sz w:val="24"/>
        </w:rPr>
        <w:t> </w:t>
      </w:r>
      <w:r>
        <w:rPr>
          <w:sz w:val="24"/>
        </w:rPr>
        <w:t>firms,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therefore</w:t>
      </w:r>
      <w:r>
        <w:rPr>
          <w:spacing w:val="-10"/>
          <w:sz w:val="24"/>
        </w:rPr>
        <w:t> </w:t>
      </w:r>
      <w:r>
        <w:rPr>
          <w:sz w:val="24"/>
        </w:rPr>
        <w:t>possess</w:t>
      </w:r>
      <w:r>
        <w:rPr>
          <w:spacing w:val="-6"/>
          <w:sz w:val="24"/>
        </w:rPr>
        <w:t> </w:t>
      </w:r>
      <w:r>
        <w:rPr>
          <w:sz w:val="24"/>
        </w:rPr>
        <w:t>more</w:t>
      </w:r>
      <w:r>
        <w:rPr>
          <w:spacing w:val="-10"/>
          <w:sz w:val="24"/>
        </w:rPr>
        <w:t> </w:t>
      </w:r>
      <w:r>
        <w:rPr>
          <w:sz w:val="24"/>
        </w:rPr>
        <w:t>freedom</w:t>
      </w:r>
      <w:r>
        <w:rPr>
          <w:spacing w:val="-58"/>
          <w:sz w:val="24"/>
        </w:rPr>
        <w:t> </w:t>
      </w:r>
      <w:r>
        <w:rPr>
          <w:sz w:val="24"/>
        </w:rPr>
        <w:t>to act in their own private interests, often to the detriment of those shareholders, engaging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opportunistic</w:t>
      </w:r>
      <w:r>
        <w:rPr>
          <w:spacing w:val="-6"/>
          <w:sz w:val="24"/>
        </w:rPr>
        <w:t> </w:t>
      </w:r>
      <w:r>
        <w:rPr>
          <w:sz w:val="24"/>
        </w:rPr>
        <w:t>behaviour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5"/>
          <w:sz w:val="24"/>
        </w:rPr>
        <w:t> </w:t>
      </w:r>
      <w:r>
        <w:rPr>
          <w:sz w:val="24"/>
        </w:rPr>
        <w:t>serve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4"/>
          <w:sz w:val="24"/>
        </w:rPr>
        <w:t> </w:t>
      </w:r>
      <w:r>
        <w:rPr>
          <w:sz w:val="24"/>
        </w:rPr>
        <w:t>own</w:t>
      </w:r>
      <w:r>
        <w:rPr>
          <w:spacing w:val="-7"/>
          <w:sz w:val="24"/>
        </w:rPr>
        <w:t> </w:t>
      </w:r>
      <w:r>
        <w:rPr>
          <w:sz w:val="24"/>
        </w:rPr>
        <w:t>interests.</w:t>
      </w:r>
      <w:r>
        <w:rPr>
          <w:spacing w:val="-2"/>
          <w:sz w:val="24"/>
        </w:rPr>
        <w:t> </w:t>
      </w:r>
      <w:r>
        <w:rPr>
          <w:sz w:val="24"/>
        </w:rPr>
        <w:t>Thus,</w:t>
      </w:r>
      <w:r>
        <w:rPr>
          <w:spacing w:val="-5"/>
          <w:sz w:val="24"/>
        </w:rPr>
        <w:t> </w:t>
      </w:r>
      <w:r>
        <w:rPr>
          <w:sz w:val="24"/>
        </w:rPr>
        <w:t>it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recommended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board</w:t>
      </w:r>
      <w:r>
        <w:rPr>
          <w:spacing w:val="-57"/>
          <w:sz w:val="24"/>
        </w:rPr>
        <w:t> </w:t>
      </w:r>
      <w:r>
        <w:rPr>
          <w:sz w:val="24"/>
        </w:rPr>
        <w:t>ownership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2"/>
          <w:sz w:val="24"/>
        </w:rPr>
        <w:t> </w:t>
      </w:r>
      <w:r>
        <w:rPr>
          <w:sz w:val="24"/>
        </w:rPr>
        <w:t>moderate levels.</w:t>
      </w:r>
    </w:p>
    <w:p>
      <w:pPr>
        <w:pStyle w:val="ListParagraph"/>
        <w:numPr>
          <w:ilvl w:val="0"/>
          <w:numId w:val="34"/>
        </w:numPr>
        <w:tabs>
          <w:tab w:pos="1250" w:val="left" w:leader="none"/>
        </w:tabs>
        <w:spacing w:line="240" w:lineRule="auto" w:before="199" w:after="0"/>
        <w:ind w:left="1249" w:right="0" w:hanging="428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study recommends</w:t>
      </w:r>
      <w:r>
        <w:rPr>
          <w:spacing w:val="-1"/>
          <w:sz w:val="24"/>
        </w:rPr>
        <w:t> </w:t>
      </w:r>
      <w:r>
        <w:rPr>
          <w:sz w:val="24"/>
        </w:rPr>
        <w:t>that age</w:t>
      </w:r>
      <w:r>
        <w:rPr>
          <w:spacing w:val="-3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 factor to</w:t>
      </w:r>
      <w:r>
        <w:rPr>
          <w:spacing w:val="-1"/>
          <w:sz w:val="24"/>
        </w:rPr>
        <w:t> </w:t>
      </w:r>
      <w:r>
        <w:rPr>
          <w:sz w:val="24"/>
        </w:rPr>
        <w:t>consider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choice</w:t>
      </w:r>
      <w:r>
        <w:rPr>
          <w:spacing w:val="-2"/>
          <w:sz w:val="24"/>
        </w:rPr>
        <w:t> </w:t>
      </w:r>
      <w:r>
        <w:rPr>
          <w:sz w:val="24"/>
        </w:rPr>
        <w:t>of CEO.</w:t>
      </w:r>
    </w:p>
    <w:p>
      <w:pPr>
        <w:pStyle w:val="BodyText"/>
        <w:ind w:left="0"/>
        <w:jc w:val="left"/>
        <w:rPr>
          <w:sz w:val="26"/>
        </w:rPr>
      </w:pPr>
    </w:p>
    <w:p>
      <w:pPr>
        <w:pStyle w:val="ListParagraph"/>
        <w:numPr>
          <w:ilvl w:val="0"/>
          <w:numId w:val="34"/>
        </w:numPr>
        <w:tabs>
          <w:tab w:pos="1250" w:val="left" w:leader="none"/>
        </w:tabs>
        <w:spacing w:line="480" w:lineRule="auto" w:before="179" w:after="0"/>
        <w:ind w:left="1249" w:right="831" w:hanging="428"/>
        <w:jc w:val="both"/>
        <w:rPr>
          <w:sz w:val="24"/>
        </w:rPr>
      </w:pPr>
      <w:r>
        <w:rPr>
          <w:sz w:val="24"/>
        </w:rPr>
        <w:t>The study recommends that though it may not be easy to argue for specified tenure of</w:t>
      </w:r>
      <w:r>
        <w:rPr>
          <w:spacing w:val="1"/>
          <w:sz w:val="24"/>
        </w:rPr>
        <w:t> </w:t>
      </w:r>
      <w:r>
        <w:rPr>
          <w:sz w:val="24"/>
        </w:rPr>
        <w:t>CEO’s,</w:t>
      </w:r>
      <w:r>
        <w:rPr>
          <w:spacing w:val="-4"/>
          <w:sz w:val="24"/>
        </w:rPr>
        <w:t> </w:t>
      </w:r>
      <w:r>
        <w:rPr>
          <w:sz w:val="24"/>
        </w:rPr>
        <w:t>there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shareholders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interested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CEO</w:t>
      </w:r>
      <w:r>
        <w:rPr>
          <w:spacing w:val="-5"/>
          <w:sz w:val="24"/>
        </w:rPr>
        <w:t> </w:t>
      </w:r>
      <w:r>
        <w:rPr>
          <w:sz w:val="24"/>
        </w:rPr>
        <w:t>tenure</w:t>
      </w:r>
      <w:r>
        <w:rPr>
          <w:spacing w:val="-2"/>
          <w:sz w:val="24"/>
        </w:rPr>
        <w:t> </w:t>
      </w:r>
      <w:r>
        <w:rPr>
          <w:sz w:val="24"/>
        </w:rPr>
        <w:t>because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power</w:t>
      </w:r>
      <w:r>
        <w:rPr>
          <w:spacing w:val="-58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it can confer on CEO’s.</w:t>
      </w:r>
    </w:p>
    <w:p>
      <w:pPr>
        <w:pStyle w:val="ListParagraph"/>
        <w:numPr>
          <w:ilvl w:val="0"/>
          <w:numId w:val="34"/>
        </w:numPr>
        <w:tabs>
          <w:tab w:pos="1250" w:val="left" w:leader="none"/>
        </w:tabs>
        <w:spacing w:line="480" w:lineRule="auto" w:before="200" w:after="0"/>
        <w:ind w:left="1249" w:right="832" w:hanging="428"/>
        <w:jc w:val="both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recommends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order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control</w:t>
      </w:r>
      <w:r>
        <w:rPr>
          <w:spacing w:val="-6"/>
          <w:sz w:val="24"/>
        </w:rPr>
        <w:t> </w:t>
      </w:r>
      <w:r>
        <w:rPr>
          <w:sz w:val="24"/>
        </w:rPr>
        <w:t>CEO</w:t>
      </w:r>
      <w:r>
        <w:rPr>
          <w:spacing w:val="-6"/>
          <w:sz w:val="24"/>
        </w:rPr>
        <w:t> </w:t>
      </w:r>
      <w:r>
        <w:rPr>
          <w:sz w:val="24"/>
        </w:rPr>
        <w:t>dominance,</w:t>
      </w:r>
      <w:r>
        <w:rPr>
          <w:spacing w:val="-3"/>
          <w:sz w:val="24"/>
        </w:rPr>
        <w:t> </w:t>
      </w:r>
      <w:r>
        <w:rPr>
          <w:sz w:val="24"/>
        </w:rPr>
        <w:t>there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need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some</w:t>
      </w:r>
      <w:r>
        <w:rPr>
          <w:spacing w:val="-57"/>
          <w:sz w:val="24"/>
        </w:rPr>
        <w:t> </w:t>
      </w:r>
      <w:r>
        <w:rPr>
          <w:sz w:val="24"/>
        </w:rPr>
        <w:t>regulation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amount</w:t>
      </w:r>
      <w:r>
        <w:rPr>
          <w:spacing w:val="3"/>
          <w:sz w:val="24"/>
        </w:rPr>
        <w:t> </w:t>
      </w:r>
      <w:r>
        <w:rPr>
          <w:sz w:val="24"/>
        </w:rPr>
        <w:t>of equity a</w:t>
      </w:r>
      <w:r>
        <w:rPr>
          <w:spacing w:val="-1"/>
          <w:sz w:val="24"/>
        </w:rPr>
        <w:t> </w:t>
      </w:r>
      <w:r>
        <w:rPr>
          <w:sz w:val="24"/>
        </w:rPr>
        <w:t>CEO</w:t>
      </w:r>
      <w:r>
        <w:rPr>
          <w:spacing w:val="-1"/>
          <w:sz w:val="24"/>
        </w:rPr>
        <w:t> </w:t>
      </w:r>
      <w:r>
        <w:rPr>
          <w:sz w:val="24"/>
        </w:rPr>
        <w:t>should hold.</w:t>
      </w:r>
    </w:p>
    <w:p>
      <w:pPr>
        <w:pStyle w:val="Heading1"/>
        <w:numPr>
          <w:ilvl w:val="1"/>
          <w:numId w:val="33"/>
        </w:numPr>
        <w:tabs>
          <w:tab w:pos="1242" w:val="left" w:leader="none"/>
        </w:tabs>
        <w:spacing w:line="240" w:lineRule="auto" w:before="199" w:after="0"/>
        <w:ind w:left="1242" w:right="0" w:hanging="420"/>
        <w:jc w:val="both"/>
      </w:pPr>
      <w:bookmarkStart w:name="_bookmark106" w:id="172"/>
      <w:bookmarkEnd w:id="172"/>
      <w:r>
        <w:rPr>
          <w:b w:val="0"/>
        </w:rPr>
      </w:r>
      <w:bookmarkStart w:name="_bookmark106" w:id="173"/>
      <w:bookmarkEnd w:id="173"/>
      <w:r>
        <w:rPr/>
        <w:t>Cont</w:t>
      </w:r>
      <w:r>
        <w:rPr/>
        <w:t>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line="550" w:lineRule="atLeast" w:before="65"/>
        <w:ind w:right="828"/>
      </w:pPr>
      <w:r>
        <w:rPr/>
        <w:t>Tax aggressiveness has been linked to several corporate determinants, but in the area of</w:t>
      </w:r>
      <w:r>
        <w:rPr>
          <w:spacing w:val="1"/>
        </w:rPr>
        <w:t> </w:t>
      </w:r>
      <w:r>
        <w:rPr/>
        <w:t>corporate</w:t>
      </w:r>
      <w:r>
        <w:rPr>
          <w:spacing w:val="-11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few</w:t>
      </w:r>
      <w:r>
        <w:rPr>
          <w:spacing w:val="-10"/>
        </w:rPr>
        <w:t> </w:t>
      </w:r>
      <w:r>
        <w:rPr/>
        <w:t>studies</w:t>
      </w:r>
      <w:r>
        <w:rPr>
          <w:spacing w:val="-8"/>
        </w:rPr>
        <w:t> </w:t>
      </w:r>
      <w:r>
        <w:rPr/>
        <w:t>have</w:t>
      </w:r>
      <w:r>
        <w:rPr>
          <w:spacing w:val="-10"/>
        </w:rPr>
        <w:t> </w:t>
      </w:r>
      <w:r>
        <w:rPr/>
        <w:t>focused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area.</w:t>
      </w:r>
      <w:r>
        <w:rPr>
          <w:spacing w:val="-9"/>
        </w:rPr>
        <w:t> </w:t>
      </w:r>
      <w:r>
        <w:rPr/>
        <w:t>Consequently,</w:t>
      </w:r>
      <w:r>
        <w:rPr>
          <w:spacing w:val="-9"/>
        </w:rPr>
        <w:t> </w:t>
      </w:r>
      <w:r>
        <w:rPr/>
        <w:t>this</w:t>
      </w:r>
      <w:r>
        <w:rPr>
          <w:spacing w:val="-9"/>
        </w:rPr>
        <w:t> </w:t>
      </w:r>
      <w:r>
        <w:rPr/>
        <w:t>study</w:t>
      </w:r>
      <w:r>
        <w:rPr>
          <w:spacing w:val="-9"/>
        </w:rPr>
        <w:t> </w:t>
      </w:r>
      <w:r>
        <w:rPr/>
        <w:t>addresses</w:t>
      </w:r>
    </w:p>
    <w:p>
      <w:pPr>
        <w:spacing w:after="0" w:line="550" w:lineRule="atLeast"/>
        <w:sectPr>
          <w:pgSz w:w="11910" w:h="16840"/>
          <w:pgMar w:header="0" w:footer="1402" w:top="1120" w:bottom="1640" w:left="880" w:right="300"/>
        </w:sectPr>
      </w:pPr>
    </w:p>
    <w:p>
      <w:pPr>
        <w:pStyle w:val="BodyText"/>
        <w:spacing w:line="480" w:lineRule="auto" w:before="77"/>
        <w:ind w:right="832"/>
      </w:pPr>
      <w:r>
        <w:rPr/>
        <w:t>this gap. Hence, this study contributes to knowledge by looking critically at the relationship</w:t>
      </w:r>
      <w:r>
        <w:rPr>
          <w:spacing w:val="1"/>
        </w:rPr>
        <w:t> </w:t>
      </w:r>
      <w:r>
        <w:rPr/>
        <w:t>between corporate governance and tax aggressiveness especially for developing markets like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so as to</w:t>
      </w:r>
      <w:r>
        <w:rPr>
          <w:spacing w:val="-1"/>
        </w:rPr>
        <w:t> </w:t>
      </w:r>
      <w:r>
        <w:rPr/>
        <w:t>bolster the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though largely inadequate</w:t>
      </w:r>
      <w:r>
        <w:rPr>
          <w:spacing w:val="-1"/>
        </w:rPr>
        <w:t> </w:t>
      </w:r>
      <w:r>
        <w:rPr/>
        <w:t>empirical evidence.</w:t>
      </w:r>
    </w:p>
    <w:p>
      <w:pPr>
        <w:pStyle w:val="BodyText"/>
        <w:spacing w:line="480" w:lineRule="auto" w:before="202"/>
        <w:ind w:right="832"/>
      </w:pPr>
      <w:r>
        <w:rPr/>
        <w:drawing>
          <wp:anchor distT="0" distB="0" distL="0" distR="0" allowOverlap="1" layoutInCell="1" locked="0" behindDoc="1" simplePos="0" relativeHeight="454071296">
            <wp:simplePos x="0" y="0"/>
            <wp:positionH relativeFrom="page">
              <wp:posOffset>1261605</wp:posOffset>
            </wp:positionH>
            <wp:positionV relativeFrom="paragraph">
              <wp:posOffset>726606</wp:posOffset>
            </wp:positionV>
            <wp:extent cx="5133225" cy="5265293"/>
            <wp:effectExtent l="0" t="0" r="0" b="0"/>
            <wp:wrapNone/>
            <wp:docPr id="26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addition, an aspect of corporate governance in relation to tax aggressiveness that has been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insufficiently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researchers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  <w:r>
        <w:rPr>
          <w:spacing w:val="-5"/>
        </w:rPr>
        <w:t> </w:t>
      </w:r>
      <w:r>
        <w:rPr/>
        <w:t>to the</w:t>
      </w:r>
      <w:r>
        <w:rPr>
          <w:spacing w:val="-5"/>
        </w:rPr>
        <w:t> </w:t>
      </w:r>
      <w:r>
        <w:rPr/>
        <w:t>best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researcher’s</w:t>
      </w:r>
      <w:r>
        <w:rPr>
          <w:spacing w:val="-4"/>
        </w:rPr>
        <w:t> </w:t>
      </w:r>
      <w:r>
        <w:rPr/>
        <w:t>knowledge,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CEO</w:t>
      </w:r>
      <w:r>
        <w:rPr>
          <w:spacing w:val="-4"/>
        </w:rPr>
        <w:t> </w:t>
      </w:r>
      <w:r>
        <w:rPr/>
        <w:t>governance</w:t>
      </w:r>
      <w:r>
        <w:rPr>
          <w:spacing w:val="-4"/>
        </w:rPr>
        <w:t> </w:t>
      </w:r>
      <w:r>
        <w:rPr/>
        <w:t>attributes.</w:t>
      </w:r>
      <w:r>
        <w:rPr>
          <w:spacing w:val="-58"/>
        </w:rPr>
        <w:t> </w:t>
      </w:r>
      <w:r>
        <w:rPr/>
        <w:t>This is important because CEOs strongly influence whether stakeholder groups are considered</w:t>
      </w:r>
      <w:r>
        <w:rPr>
          <w:spacing w:val="-57"/>
        </w:rPr>
        <w:t> </w:t>
      </w:r>
      <w:r>
        <w:rPr/>
        <w:t>salient and hence ignoring the potential effect of CEO’s characteristics is a gap. This shields a</w:t>
      </w:r>
      <w:r>
        <w:rPr>
          <w:spacing w:val="-57"/>
        </w:rPr>
        <w:t> </w:t>
      </w:r>
      <w:r>
        <w:rPr/>
        <w:t>critical understanding of the impact of CEO because of the powerful influence that the CEO</w:t>
      </w:r>
      <w:r>
        <w:rPr>
          <w:spacing w:val="1"/>
        </w:rPr>
        <w:t> </w:t>
      </w:r>
      <w:r>
        <w:rPr>
          <w:spacing w:val="-1"/>
        </w:rPr>
        <w:t>has</w:t>
      </w:r>
      <w:r>
        <w:rPr>
          <w:spacing w:val="-1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directing</w:t>
      </w:r>
      <w:r>
        <w:rPr>
          <w:spacing w:val="-14"/>
        </w:rPr>
        <w:t> </w:t>
      </w:r>
      <w:r>
        <w:rPr/>
        <w:t>corporate</w:t>
      </w:r>
      <w:r>
        <w:rPr>
          <w:spacing w:val="-11"/>
        </w:rPr>
        <w:t> </w:t>
      </w:r>
      <w:r>
        <w:rPr/>
        <w:t>strategy.</w:t>
      </w:r>
      <w:r>
        <w:rPr>
          <w:spacing w:val="-14"/>
        </w:rPr>
        <w:t> </w:t>
      </w:r>
      <w:r>
        <w:rPr/>
        <w:t>Our</w:t>
      </w:r>
      <w:r>
        <w:rPr>
          <w:spacing w:val="-16"/>
        </w:rPr>
        <w:t> </w:t>
      </w:r>
      <w:r>
        <w:rPr/>
        <w:t>study</w:t>
      </w:r>
      <w:r>
        <w:rPr>
          <w:spacing w:val="-13"/>
        </w:rPr>
        <w:t> </w:t>
      </w:r>
      <w:r>
        <w:rPr/>
        <w:t>fills</w:t>
      </w:r>
      <w:r>
        <w:rPr>
          <w:spacing w:val="-14"/>
        </w:rPr>
        <w:t> </w:t>
      </w:r>
      <w:r>
        <w:rPr/>
        <w:t>this</w:t>
      </w:r>
      <w:r>
        <w:rPr>
          <w:spacing w:val="-13"/>
        </w:rPr>
        <w:t> </w:t>
      </w:r>
      <w:r>
        <w:rPr/>
        <w:t>gap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thus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best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our</w:t>
      </w:r>
      <w:r>
        <w:rPr>
          <w:spacing w:val="-16"/>
        </w:rPr>
        <w:t> </w:t>
      </w:r>
      <w:r>
        <w:rPr/>
        <w:t>knowledge,</w:t>
      </w:r>
      <w:r>
        <w:rPr>
          <w:spacing w:val="-58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combined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CEOs’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on tax aggressiveness.</w:t>
      </w:r>
    </w:p>
    <w:p>
      <w:pPr>
        <w:pStyle w:val="BodyText"/>
        <w:spacing w:line="480" w:lineRule="auto" w:before="201"/>
        <w:ind w:right="832"/>
      </w:pPr>
      <w:r>
        <w:rPr/>
        <w:t>Finally, this study to the best of the researcher’s knowledge is the first study on 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discrete</w:t>
      </w:r>
      <w:r>
        <w:rPr>
          <w:spacing w:val="1"/>
        </w:rPr>
        <w:t> </w:t>
      </w:r>
      <w:r>
        <w:rPr/>
        <w:t>threshold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numPr>
          <w:ilvl w:val="1"/>
          <w:numId w:val="33"/>
        </w:numPr>
        <w:tabs>
          <w:tab w:pos="1242" w:val="left" w:leader="none"/>
        </w:tabs>
        <w:spacing w:line="240" w:lineRule="auto" w:before="77" w:after="0"/>
        <w:ind w:left="1242" w:right="0" w:hanging="420"/>
        <w:jc w:val="left"/>
      </w:pPr>
      <w:bookmarkStart w:name="_bookmark107" w:id="174"/>
      <w:bookmarkEnd w:id="174"/>
      <w:r>
        <w:rPr>
          <w:b w:val="0"/>
        </w:rPr>
      </w:r>
      <w:bookmarkStart w:name="_bookmark107" w:id="175"/>
      <w:bookmarkEnd w:id="175"/>
      <w:r>
        <w:rPr/>
        <w:t>R</w:t>
      </w:r>
      <w:r>
        <w:rPr/>
        <w:t>ecommendation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Further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pStyle w:val="BodyText"/>
        <w:spacing w:line="480" w:lineRule="auto" w:before="1"/>
        <w:ind w:right="831"/>
      </w:pPr>
      <w:r>
        <w:rPr/>
        <w:drawing>
          <wp:anchor distT="0" distB="0" distL="0" distR="0" allowOverlap="1" layoutInCell="1" locked="0" behindDoc="1" simplePos="0" relativeHeight="454071808">
            <wp:simplePos x="0" y="0"/>
            <wp:positionH relativeFrom="page">
              <wp:posOffset>1261605</wp:posOffset>
            </wp:positionH>
            <wp:positionV relativeFrom="paragraph">
              <wp:posOffset>1388403</wp:posOffset>
            </wp:positionV>
            <wp:extent cx="5133225" cy="5265293"/>
            <wp:effectExtent l="0" t="0" r="0" b="0"/>
            <wp:wrapNone/>
            <wp:docPr id="26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a recommendation for other researchers, the study recommends that other measures of tax</w:t>
      </w:r>
      <w:r>
        <w:rPr>
          <w:spacing w:val="1"/>
        </w:rPr>
        <w:t> </w:t>
      </w:r>
      <w:r>
        <w:rPr/>
        <w:t>aggressiveness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examined</w:t>
      </w:r>
      <w:r>
        <w:rPr>
          <w:spacing w:val="-9"/>
        </w:rPr>
        <w:t> </w:t>
      </w:r>
      <w:r>
        <w:rPr/>
        <w:t>so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bolster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robustness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findings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corporate</w:t>
      </w:r>
      <w:r>
        <w:rPr>
          <w:spacing w:val="-9"/>
        </w:rPr>
        <w:t> </w:t>
      </w:r>
      <w:r>
        <w:rPr/>
        <w:t>governance</w:t>
      </w:r>
      <w:r>
        <w:rPr>
          <w:spacing w:val="-57"/>
        </w:rPr>
        <w:t> </w:t>
      </w:r>
      <w:r>
        <w:rPr/>
        <w:t>and tax aggressiveness. In addition, other researchers can focus on other variables that are not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intensity,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</w:t>
      </w:r>
      <w:r>
        <w:rPr>
          <w:spacing w:val="-1"/>
        </w:rPr>
        <w:t> </w:t>
      </w:r>
      <w:r>
        <w:rPr/>
        <w:t>and examine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implication for</w:t>
      </w:r>
      <w:r>
        <w:rPr>
          <w:spacing w:val="-1"/>
        </w:rPr>
        <w:t> </w:t>
      </w:r>
      <w:r>
        <w:rPr/>
        <w:t>tax aggressiveness.</w:t>
      </w:r>
    </w:p>
    <w:p>
      <w:pPr>
        <w:spacing w:after="0" w:line="480" w:lineRule="auto"/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ind w:left="2169" w:right="2175"/>
        <w:jc w:val="center"/>
      </w:pPr>
      <w:bookmarkStart w:name="_bookmark108" w:id="176"/>
      <w:bookmarkEnd w:id="176"/>
      <w:r>
        <w:rPr>
          <w:b w:val="0"/>
        </w:rPr>
      </w:r>
      <w:r>
        <w:rPr/>
        <w:t>REFERENCES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spacing w:before="1"/>
        <w:ind w:left="1542" w:right="830" w:hanging="720"/>
        <w:jc w:val="both"/>
        <w:rPr>
          <w:sz w:val="24"/>
        </w:rPr>
      </w:pPr>
      <w:r>
        <w:rPr>
          <w:sz w:val="24"/>
        </w:rPr>
        <w:t>Abraham,</w:t>
      </w:r>
      <w:r>
        <w:rPr>
          <w:spacing w:val="-9"/>
          <w:sz w:val="24"/>
        </w:rPr>
        <w:t> </w:t>
      </w:r>
      <w:r>
        <w:rPr>
          <w:sz w:val="24"/>
        </w:rPr>
        <w:t>S.,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Cox,</w:t>
      </w:r>
      <w:r>
        <w:rPr>
          <w:spacing w:val="-11"/>
          <w:sz w:val="24"/>
        </w:rPr>
        <w:t> </w:t>
      </w:r>
      <w:r>
        <w:rPr>
          <w:sz w:val="24"/>
        </w:rPr>
        <w:t>P.</w:t>
      </w:r>
      <w:r>
        <w:rPr>
          <w:spacing w:val="-10"/>
          <w:sz w:val="24"/>
        </w:rPr>
        <w:t> </w:t>
      </w:r>
      <w:r>
        <w:rPr>
          <w:sz w:val="24"/>
        </w:rPr>
        <w:t>(2007).</w:t>
      </w:r>
      <w:r>
        <w:rPr>
          <w:spacing w:val="-9"/>
          <w:sz w:val="24"/>
        </w:rPr>
        <w:t> </w:t>
      </w:r>
      <w:r>
        <w:rPr>
          <w:sz w:val="24"/>
        </w:rPr>
        <w:t>Analysing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determinants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narrative</w:t>
      </w:r>
      <w:r>
        <w:rPr>
          <w:spacing w:val="-10"/>
          <w:sz w:val="24"/>
        </w:rPr>
        <w:t> </w:t>
      </w:r>
      <w:r>
        <w:rPr>
          <w:sz w:val="24"/>
        </w:rPr>
        <w:t>risk</w:t>
      </w:r>
      <w:r>
        <w:rPr>
          <w:spacing w:val="-9"/>
          <w:sz w:val="24"/>
        </w:rPr>
        <w:t> </w:t>
      </w:r>
      <w:r>
        <w:rPr>
          <w:sz w:val="24"/>
        </w:rPr>
        <w:t>information</w:t>
      </w:r>
      <w:r>
        <w:rPr>
          <w:spacing w:val="-9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UK</w:t>
      </w:r>
      <w:r>
        <w:rPr>
          <w:spacing w:val="-58"/>
          <w:sz w:val="24"/>
        </w:rPr>
        <w:t> </w:t>
      </w:r>
      <w:r>
        <w:rPr>
          <w:sz w:val="24"/>
        </w:rPr>
        <w:t>FTSE</w:t>
      </w:r>
      <w:r>
        <w:rPr>
          <w:spacing w:val="-1"/>
          <w:sz w:val="24"/>
        </w:rPr>
        <w:t> </w:t>
      </w:r>
      <w:r>
        <w:rPr>
          <w:sz w:val="24"/>
        </w:rPr>
        <w:t>100 annual reports.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British 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Review. 39(3),</w:t>
      </w:r>
      <w:r>
        <w:rPr>
          <w:i/>
          <w:spacing w:val="1"/>
          <w:sz w:val="24"/>
        </w:rPr>
        <w:t> </w:t>
      </w:r>
      <w:r>
        <w:rPr>
          <w:sz w:val="24"/>
        </w:rPr>
        <w:t>227-248.</w:t>
      </w:r>
    </w:p>
    <w:p>
      <w:pPr>
        <w:spacing w:before="201"/>
        <w:ind w:left="1542" w:right="832" w:hanging="720"/>
        <w:jc w:val="both"/>
        <w:rPr>
          <w:sz w:val="24"/>
        </w:rPr>
      </w:pPr>
      <w:r>
        <w:rPr>
          <w:sz w:val="24"/>
        </w:rPr>
        <w:t>Adams,</w:t>
      </w:r>
      <w:r>
        <w:rPr>
          <w:spacing w:val="-7"/>
          <w:sz w:val="24"/>
        </w:rPr>
        <w:t> </w:t>
      </w:r>
      <w:r>
        <w:rPr>
          <w:sz w:val="24"/>
        </w:rPr>
        <w:t>R.</w:t>
      </w:r>
      <w:r>
        <w:rPr>
          <w:spacing w:val="-6"/>
          <w:sz w:val="24"/>
        </w:rPr>
        <w:t> </w:t>
      </w:r>
      <w:r>
        <w:rPr>
          <w:sz w:val="24"/>
        </w:rPr>
        <w:t>B.,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Ferreira,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7"/>
          <w:sz w:val="24"/>
        </w:rPr>
        <w:t> </w:t>
      </w:r>
      <w:r>
        <w:rPr>
          <w:sz w:val="24"/>
        </w:rPr>
        <w:t>(2009).</w:t>
      </w:r>
      <w:r>
        <w:rPr>
          <w:spacing w:val="-8"/>
          <w:sz w:val="24"/>
        </w:rPr>
        <w:t> </w:t>
      </w:r>
      <w:r>
        <w:rPr>
          <w:sz w:val="24"/>
        </w:rPr>
        <w:t>Women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boardroom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their</w:t>
      </w:r>
      <w:r>
        <w:rPr>
          <w:spacing w:val="-8"/>
          <w:sz w:val="24"/>
        </w:rPr>
        <w:t> </w:t>
      </w:r>
      <w:r>
        <w:rPr>
          <w:sz w:val="24"/>
        </w:rPr>
        <w:t>impact</w:t>
      </w:r>
      <w:r>
        <w:rPr>
          <w:spacing w:val="-6"/>
          <w:sz w:val="24"/>
        </w:rPr>
        <w:t> </w:t>
      </w:r>
      <w:r>
        <w:rPr>
          <w:sz w:val="24"/>
        </w:rPr>
        <w:t>on</w:t>
      </w:r>
      <w:r>
        <w:rPr>
          <w:spacing w:val="-6"/>
          <w:sz w:val="24"/>
        </w:rPr>
        <w:t> </w:t>
      </w:r>
      <w:r>
        <w:rPr>
          <w:sz w:val="24"/>
        </w:rPr>
        <w:t>governance</w:t>
      </w:r>
      <w:r>
        <w:rPr>
          <w:spacing w:val="-58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Journal of 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Economics, 94(1),</w:t>
      </w:r>
      <w:r>
        <w:rPr>
          <w:i/>
          <w:spacing w:val="-1"/>
          <w:sz w:val="24"/>
        </w:rPr>
        <w:t> </w:t>
      </w:r>
      <w:r>
        <w:rPr>
          <w:sz w:val="24"/>
        </w:rPr>
        <w:t>291-309.</w:t>
      </w:r>
    </w:p>
    <w:p>
      <w:pPr>
        <w:pStyle w:val="BodyText"/>
        <w:spacing w:before="199"/>
        <w:ind w:left="1542" w:right="826" w:hanging="720"/>
      </w:pPr>
      <w:r>
        <w:rPr/>
        <w:drawing>
          <wp:anchor distT="0" distB="0" distL="0" distR="0" allowOverlap="1" layoutInCell="1" locked="0" behindDoc="1" simplePos="0" relativeHeight="454072320">
            <wp:simplePos x="0" y="0"/>
            <wp:positionH relativeFrom="page">
              <wp:posOffset>1261605</wp:posOffset>
            </wp:positionH>
            <wp:positionV relativeFrom="paragraph">
              <wp:posOffset>558585</wp:posOffset>
            </wp:positionV>
            <wp:extent cx="5133225" cy="5265293"/>
            <wp:effectExtent l="0" t="0" r="0" b="0"/>
            <wp:wrapNone/>
            <wp:docPr id="26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Aguilera, R.V, Desender, K, &amp; de Castro, M. A (2012). Board characteristics and audit fees:</w:t>
      </w:r>
      <w:r>
        <w:rPr>
          <w:spacing w:val="1"/>
        </w:rPr>
        <w:t> </w:t>
      </w:r>
      <w:r>
        <w:rPr/>
        <w:t>Why</w:t>
      </w:r>
      <w:r>
        <w:rPr>
          <w:spacing w:val="-10"/>
        </w:rPr>
        <w:t> </w:t>
      </w:r>
      <w:r>
        <w:rPr/>
        <w:t>ownership</w:t>
      </w:r>
      <w:r>
        <w:rPr>
          <w:spacing w:val="-9"/>
        </w:rPr>
        <w:t> </w:t>
      </w:r>
      <w:r>
        <w:rPr/>
        <w:t>structure</w:t>
      </w:r>
      <w:r>
        <w:rPr>
          <w:spacing w:val="-8"/>
        </w:rPr>
        <w:t> </w:t>
      </w:r>
      <w:r>
        <w:rPr/>
        <w:t>matters?</w:t>
      </w:r>
      <w:r>
        <w:rPr>
          <w:spacing w:val="-9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Illinois</w:t>
      </w:r>
      <w:r>
        <w:rPr>
          <w:spacing w:val="-8"/>
        </w:rPr>
        <w:t> </w:t>
      </w:r>
      <w:r>
        <w:rPr/>
        <w:t>at</w:t>
      </w:r>
      <w:r>
        <w:rPr>
          <w:spacing w:val="-8"/>
        </w:rPr>
        <w:t> </w:t>
      </w:r>
      <w:r>
        <w:rPr/>
        <w:t>Urbana-Champaign,</w:t>
      </w:r>
      <w:r>
        <w:rPr>
          <w:spacing w:val="-9"/>
        </w:rPr>
        <w:t> </w:t>
      </w:r>
      <w:r>
        <w:rPr/>
        <w:t>College</w:t>
      </w:r>
      <w:r>
        <w:rPr>
          <w:spacing w:val="-58"/>
        </w:rPr>
        <w:t> </w:t>
      </w:r>
      <w:r>
        <w:rPr/>
        <w:t>of Business.</w:t>
      </w:r>
    </w:p>
    <w:p>
      <w:pPr>
        <w:spacing w:before="200"/>
        <w:ind w:left="1542" w:right="832" w:hanging="720"/>
        <w:jc w:val="both"/>
        <w:rPr>
          <w:sz w:val="24"/>
        </w:rPr>
      </w:pPr>
      <w:r>
        <w:rPr>
          <w:sz w:val="24"/>
        </w:rPr>
        <w:t>Aguilera, R., &amp; Jackson, G. (2003). The cross-national diversity of corporate governance:</w:t>
      </w:r>
      <w:r>
        <w:rPr>
          <w:spacing w:val="1"/>
          <w:sz w:val="24"/>
        </w:rPr>
        <w:t> </w:t>
      </w:r>
      <w:r>
        <w:rPr>
          <w:sz w:val="24"/>
        </w:rPr>
        <w:t>dimensions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determinants.</w:t>
      </w:r>
      <w:r>
        <w:rPr>
          <w:spacing w:val="2"/>
          <w:sz w:val="24"/>
        </w:rPr>
        <w:t> </w:t>
      </w:r>
      <w:r>
        <w:rPr>
          <w:i/>
          <w:sz w:val="24"/>
        </w:rPr>
        <w:t>Academy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28(3),</w:t>
      </w:r>
      <w:r>
        <w:rPr>
          <w:i/>
          <w:spacing w:val="1"/>
          <w:sz w:val="24"/>
        </w:rPr>
        <w:t> </w:t>
      </w:r>
      <w:r>
        <w:rPr>
          <w:sz w:val="24"/>
        </w:rPr>
        <w:t>447-465.</w:t>
      </w:r>
    </w:p>
    <w:p>
      <w:pPr>
        <w:spacing w:before="200"/>
        <w:ind w:left="1542" w:right="827" w:hanging="720"/>
        <w:jc w:val="both"/>
        <w:rPr>
          <w:sz w:val="24"/>
        </w:rPr>
      </w:pPr>
      <w:r>
        <w:rPr>
          <w:sz w:val="24"/>
        </w:rPr>
        <w:t>Ajibolade, S. O., &amp; Uwuigbe, U. (2013). Effects of corporate governance on corporate social</w:t>
      </w:r>
      <w:r>
        <w:rPr>
          <w:spacing w:val="1"/>
          <w:sz w:val="24"/>
        </w:rPr>
        <w:t> </w:t>
      </w:r>
      <w:r>
        <w:rPr>
          <w:sz w:val="24"/>
        </w:rPr>
        <w:t>and environmental disclosure among listed firms in Nigeria. </w:t>
      </w:r>
      <w:r>
        <w:rPr>
          <w:i/>
          <w:sz w:val="24"/>
        </w:rPr>
        <w:t>European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Sciences, 2(5),</w:t>
      </w:r>
      <w:r>
        <w:rPr>
          <w:i/>
          <w:spacing w:val="1"/>
          <w:sz w:val="24"/>
        </w:rPr>
        <w:t> </w:t>
      </w:r>
      <w:r>
        <w:rPr>
          <w:sz w:val="24"/>
        </w:rPr>
        <w:t>76–92.</w:t>
      </w:r>
    </w:p>
    <w:p>
      <w:pPr>
        <w:spacing w:before="201"/>
        <w:ind w:left="1542" w:right="827" w:hanging="720"/>
        <w:jc w:val="both"/>
        <w:rPr>
          <w:sz w:val="24"/>
        </w:rPr>
      </w:pPr>
      <w:r>
        <w:rPr>
          <w:sz w:val="24"/>
        </w:rPr>
        <w:t>Akhtaruddin,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mandatory</w:t>
      </w:r>
      <w:r>
        <w:rPr>
          <w:spacing w:val="1"/>
          <w:sz w:val="24"/>
        </w:rPr>
        <w:t> </w:t>
      </w:r>
      <w:r>
        <w:rPr>
          <w:sz w:val="24"/>
        </w:rPr>
        <w:t>disclosure</w:t>
      </w:r>
      <w:r>
        <w:rPr>
          <w:spacing w:val="1"/>
          <w:sz w:val="24"/>
        </w:rPr>
        <w:t> </w:t>
      </w:r>
      <w:r>
        <w:rPr>
          <w:sz w:val="24"/>
        </w:rPr>
        <w:t>practices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Bangladesh.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Accounting, 40(4),</w:t>
      </w:r>
      <w:r>
        <w:rPr>
          <w:i/>
          <w:spacing w:val="1"/>
          <w:sz w:val="24"/>
        </w:rPr>
        <w:t> </w:t>
      </w:r>
      <w:r>
        <w:rPr>
          <w:sz w:val="24"/>
        </w:rPr>
        <w:t>399-422.</w:t>
      </w:r>
    </w:p>
    <w:p>
      <w:pPr>
        <w:spacing w:before="200"/>
        <w:ind w:left="1542" w:right="832" w:hanging="720"/>
        <w:jc w:val="both"/>
        <w:rPr>
          <w:sz w:val="24"/>
        </w:rPr>
      </w:pPr>
      <w:r>
        <w:rPr>
          <w:sz w:val="24"/>
        </w:rPr>
        <w:t>Ali,</w:t>
      </w:r>
      <w:r>
        <w:rPr>
          <w:spacing w:val="-11"/>
          <w:sz w:val="24"/>
        </w:rPr>
        <w:t> </w:t>
      </w:r>
      <w:r>
        <w:rPr>
          <w:sz w:val="24"/>
        </w:rPr>
        <w:t>A.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Zhang,</w:t>
      </w:r>
      <w:r>
        <w:rPr>
          <w:spacing w:val="-9"/>
          <w:sz w:val="24"/>
        </w:rPr>
        <w:t> </w:t>
      </w:r>
      <w:r>
        <w:rPr>
          <w:sz w:val="24"/>
        </w:rPr>
        <w:t>W.</w:t>
      </w:r>
      <w:r>
        <w:rPr>
          <w:spacing w:val="-10"/>
          <w:sz w:val="24"/>
        </w:rPr>
        <w:t> </w:t>
      </w:r>
      <w:r>
        <w:rPr>
          <w:sz w:val="24"/>
        </w:rPr>
        <w:t>(2015).</w:t>
      </w:r>
      <w:r>
        <w:rPr>
          <w:spacing w:val="-12"/>
          <w:sz w:val="24"/>
        </w:rPr>
        <w:t> </w:t>
      </w:r>
      <w:r>
        <w:rPr>
          <w:sz w:val="24"/>
        </w:rPr>
        <w:t>CEO</w:t>
      </w:r>
      <w:r>
        <w:rPr>
          <w:spacing w:val="-11"/>
          <w:sz w:val="24"/>
        </w:rPr>
        <w:t> </w:t>
      </w:r>
      <w:r>
        <w:rPr>
          <w:sz w:val="24"/>
        </w:rPr>
        <w:t>tenure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earnings</w:t>
      </w:r>
      <w:r>
        <w:rPr>
          <w:spacing w:val="-10"/>
          <w:sz w:val="24"/>
        </w:rPr>
        <w:t> </w:t>
      </w:r>
      <w:r>
        <w:rPr>
          <w:sz w:val="24"/>
        </w:rPr>
        <w:t>management.</w:t>
      </w:r>
      <w:r>
        <w:rPr>
          <w:spacing w:val="-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59(1)</w:t>
      </w:r>
      <w:r>
        <w:rPr>
          <w:sz w:val="24"/>
        </w:rPr>
        <w:t>, 60–79.</w:t>
      </w:r>
    </w:p>
    <w:p>
      <w:pPr>
        <w:spacing w:before="199"/>
        <w:ind w:left="1542" w:right="830" w:hanging="720"/>
        <w:jc w:val="both"/>
        <w:rPr>
          <w:sz w:val="24"/>
        </w:rPr>
      </w:pPr>
      <w:r>
        <w:rPr>
          <w:sz w:val="24"/>
        </w:rPr>
        <w:t>Aliani, K., &amp; Zarai, M. A. (2012). Demographic Diversity in the board and corporate tax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-1"/>
          <w:sz w:val="24"/>
        </w:rPr>
        <w:t> </w:t>
      </w:r>
      <w:r>
        <w:rPr>
          <w:sz w:val="24"/>
        </w:rPr>
        <w:t>in American firms. </w:t>
      </w:r>
      <w:r>
        <w:rPr>
          <w:i/>
          <w:sz w:val="24"/>
        </w:rPr>
        <w:t>Business Management and Strategy,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3(1), </w:t>
      </w:r>
      <w:r>
        <w:rPr>
          <w:sz w:val="24"/>
        </w:rPr>
        <w:t>72-86.</w:t>
      </w:r>
    </w:p>
    <w:p>
      <w:pPr>
        <w:spacing w:before="202"/>
        <w:ind w:left="1542" w:right="826" w:hanging="720"/>
        <w:jc w:val="both"/>
        <w:rPr>
          <w:sz w:val="24"/>
        </w:rPr>
      </w:pPr>
      <w:r>
        <w:rPr>
          <w:sz w:val="24"/>
        </w:rPr>
        <w:t>Aliani,</w:t>
      </w:r>
      <w:r>
        <w:rPr>
          <w:spacing w:val="-7"/>
          <w:sz w:val="24"/>
        </w:rPr>
        <w:t> </w:t>
      </w:r>
      <w:r>
        <w:rPr>
          <w:sz w:val="24"/>
        </w:rPr>
        <w:t>K.,</w:t>
      </w:r>
      <w:r>
        <w:rPr>
          <w:spacing w:val="-7"/>
          <w:sz w:val="24"/>
        </w:rPr>
        <w:t> </w:t>
      </w:r>
      <w:r>
        <w:rPr>
          <w:sz w:val="24"/>
        </w:rPr>
        <w:t>Mr.</w:t>
      </w:r>
      <w:r>
        <w:rPr>
          <w:spacing w:val="-7"/>
          <w:sz w:val="24"/>
        </w:rPr>
        <w:t> </w:t>
      </w:r>
      <w:r>
        <w:rPr>
          <w:sz w:val="24"/>
        </w:rPr>
        <w:t>Hamid,</w:t>
      </w:r>
      <w:r>
        <w:rPr>
          <w:spacing w:val="-6"/>
          <w:sz w:val="24"/>
        </w:rPr>
        <w:t> </w:t>
      </w:r>
      <w:r>
        <w:rPr>
          <w:sz w:val="24"/>
        </w:rPr>
        <w:t>I.,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Zarai,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(2011).</w:t>
      </w:r>
      <w:r>
        <w:rPr>
          <w:spacing w:val="-10"/>
          <w:sz w:val="24"/>
        </w:rPr>
        <w:t> </w:t>
      </w:r>
      <w:r>
        <w:rPr>
          <w:sz w:val="24"/>
        </w:rPr>
        <w:t>Diversity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kind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board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directors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tax</w:t>
      </w:r>
      <w:r>
        <w:rPr>
          <w:spacing w:val="-15"/>
          <w:sz w:val="24"/>
        </w:rPr>
        <w:t> </w:t>
      </w:r>
      <w:r>
        <w:rPr>
          <w:sz w:val="24"/>
        </w:rPr>
        <w:t>optimization:</w:t>
      </w:r>
      <w:r>
        <w:rPr>
          <w:spacing w:val="-13"/>
          <w:sz w:val="24"/>
        </w:rPr>
        <w:t> </w:t>
      </w:r>
      <w:r>
        <w:rPr>
          <w:sz w:val="24"/>
        </w:rPr>
        <w:t>validation</w:t>
      </w:r>
      <w:r>
        <w:rPr>
          <w:spacing w:val="-13"/>
          <w:sz w:val="24"/>
        </w:rPr>
        <w:t> </w:t>
      </w:r>
      <w:r>
        <w:rPr>
          <w:sz w:val="24"/>
        </w:rPr>
        <w:t>in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Tunisian</w:t>
      </w:r>
      <w:r>
        <w:rPr>
          <w:spacing w:val="-13"/>
          <w:sz w:val="24"/>
        </w:rPr>
        <w:t> </w:t>
      </w:r>
      <w:r>
        <w:rPr>
          <w:sz w:val="24"/>
        </w:rPr>
        <w:t>context.</w:t>
      </w:r>
      <w:r>
        <w:rPr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11</w:t>
      </w:r>
      <w:r>
        <w:rPr>
          <w:sz w:val="24"/>
        </w:rPr>
        <w:t>(1), 41-50.</w:t>
      </w:r>
    </w:p>
    <w:p>
      <w:pPr>
        <w:spacing w:before="199"/>
        <w:ind w:left="0" w:right="836" w:firstLine="0"/>
        <w:jc w:val="right"/>
        <w:rPr>
          <w:i/>
          <w:sz w:val="24"/>
        </w:rPr>
      </w:pPr>
      <w:r>
        <w:rPr>
          <w:sz w:val="24"/>
        </w:rPr>
        <w:t>Allen,</w:t>
      </w:r>
      <w:r>
        <w:rPr>
          <w:spacing w:val="26"/>
          <w:sz w:val="24"/>
        </w:rPr>
        <w:t> </w:t>
      </w:r>
      <w:r>
        <w:rPr>
          <w:sz w:val="24"/>
        </w:rPr>
        <w:t>J.</w:t>
      </w:r>
      <w:r>
        <w:rPr>
          <w:spacing w:val="27"/>
          <w:sz w:val="24"/>
        </w:rPr>
        <w:t> </w:t>
      </w:r>
      <w:r>
        <w:rPr>
          <w:sz w:val="24"/>
        </w:rPr>
        <w:t>(2008)</w:t>
      </w:r>
      <w:r>
        <w:rPr>
          <w:spacing w:val="27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Association: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Seminar</w:t>
      </w:r>
    </w:p>
    <w:p>
      <w:pPr>
        <w:pStyle w:val="BodyText"/>
        <w:ind w:left="0" w:right="830"/>
        <w:jc w:val="right"/>
      </w:pPr>
      <w:r>
        <w:rPr/>
        <w:t>organised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Chubb</w:t>
      </w:r>
      <w:r>
        <w:rPr>
          <w:spacing w:val="-2"/>
        </w:rPr>
        <w:t> </w:t>
      </w:r>
      <w:r>
        <w:rPr/>
        <w:t>Insurance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Solidarity,</w:t>
      </w:r>
      <w:r>
        <w:rPr>
          <w:spacing w:val="-2"/>
        </w:rPr>
        <w:t> </w:t>
      </w:r>
      <w:r>
        <w:rPr/>
        <w:t>Bahrain.</w:t>
      </w:r>
      <w:r>
        <w:rPr>
          <w:spacing w:val="-2"/>
        </w:rPr>
        <w:t> </w:t>
      </w:r>
      <w:r>
        <w:rPr/>
        <w:t>Retrieved</w:t>
      </w:r>
      <w:r>
        <w:rPr>
          <w:spacing w:val="-3"/>
        </w:rPr>
        <w:t> </w:t>
      </w:r>
      <w:r>
        <w:rPr/>
        <w:t>from</w:t>
      </w:r>
      <w:r>
        <w:rPr>
          <w:spacing w:val="2"/>
        </w:rPr>
        <w:t> </w:t>
      </w:r>
      <w:hyperlink r:id="rId17">
        <w:r>
          <w:rPr/>
          <w:t>www.ssrn.com</w:t>
        </w:r>
      </w:hyperlink>
      <w:r>
        <w:rPr/>
        <w:t>.</w:t>
      </w:r>
    </w:p>
    <w:p>
      <w:pPr>
        <w:pStyle w:val="BodyText"/>
        <w:spacing w:before="199"/>
        <w:ind w:left="1542" w:right="837" w:hanging="720"/>
      </w:pPr>
      <w:r>
        <w:rPr/>
        <w:t>Al-Malkawi, H.-A. N., Pillai, R., &amp; Bhatti, M. I. (2014). Corporate governance practices in</w:t>
      </w:r>
      <w:r>
        <w:rPr>
          <w:spacing w:val="1"/>
        </w:rPr>
        <w:t> </w:t>
      </w:r>
      <w:r>
        <w:rPr/>
        <w:t>emerging</w:t>
      </w:r>
      <w:r>
        <w:rPr>
          <w:spacing w:val="-1"/>
        </w:rPr>
        <w:t> </w:t>
      </w:r>
      <w:r>
        <w:rPr/>
        <w:t>markets: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GCC countries.</w:t>
      </w:r>
      <w:r>
        <w:rPr>
          <w:spacing w:val="2"/>
        </w:rPr>
        <w:t> </w:t>
      </w:r>
      <w:r>
        <w:rPr>
          <w:i/>
        </w:rPr>
        <w:t>Economic</w:t>
      </w:r>
      <w:r>
        <w:rPr>
          <w:i/>
          <w:spacing w:val="-2"/>
        </w:rPr>
        <w:t> </w:t>
      </w:r>
      <w:r>
        <w:rPr>
          <w:i/>
        </w:rPr>
        <w:t>Modelling, 38(2)</w:t>
      </w:r>
      <w:r>
        <w:rPr>
          <w:i/>
          <w:spacing w:val="1"/>
        </w:rPr>
        <w:t> </w:t>
      </w:r>
      <w:r>
        <w:rPr/>
        <w:t>133-141.</w:t>
      </w:r>
    </w:p>
    <w:p>
      <w:pPr>
        <w:spacing w:before="202"/>
        <w:ind w:left="1542" w:right="837" w:hanging="720"/>
        <w:jc w:val="both"/>
        <w:rPr>
          <w:sz w:val="24"/>
        </w:rPr>
      </w:pPr>
      <w:r>
        <w:rPr>
          <w:sz w:val="24"/>
        </w:rPr>
        <w:t>Al-Moataz, E., &amp; Hussainey, K. (2012) Determinants of corporate governance disclosure in</w:t>
      </w:r>
      <w:r>
        <w:rPr>
          <w:spacing w:val="1"/>
          <w:sz w:val="24"/>
        </w:rPr>
        <w:t> </w:t>
      </w:r>
      <w:r>
        <w:rPr>
          <w:sz w:val="24"/>
        </w:rPr>
        <w:t>Saudi</w:t>
      </w:r>
      <w:r>
        <w:rPr>
          <w:spacing w:val="-1"/>
          <w:sz w:val="24"/>
        </w:rPr>
        <w:t> </w:t>
      </w:r>
      <w:r>
        <w:rPr>
          <w:sz w:val="24"/>
        </w:rPr>
        <w:t>Companies.</w:t>
      </w:r>
      <w:r>
        <w:rPr>
          <w:spacing w:val="2"/>
          <w:sz w:val="24"/>
        </w:rPr>
        <w:t> </w:t>
      </w:r>
      <w:r>
        <w:rPr>
          <w:i/>
          <w:sz w:val="24"/>
        </w:rPr>
        <w:t>Journal of Economics and 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 33-45</w:t>
      </w:r>
    </w:p>
    <w:p>
      <w:pPr>
        <w:spacing w:before="200"/>
        <w:ind w:left="1542" w:right="832" w:hanging="720"/>
        <w:jc w:val="both"/>
        <w:rPr>
          <w:sz w:val="24"/>
        </w:rPr>
      </w:pPr>
      <w:r>
        <w:rPr>
          <w:sz w:val="24"/>
        </w:rPr>
        <w:t>Al-Najjar, B., &amp; Hussainey, K. (2009). The association between dividend payout and outside</w:t>
      </w:r>
      <w:r>
        <w:rPr>
          <w:spacing w:val="1"/>
          <w:sz w:val="24"/>
        </w:rPr>
        <w:t> </w:t>
      </w:r>
      <w:r>
        <w:rPr>
          <w:sz w:val="24"/>
        </w:rPr>
        <w:t>directorships. </w:t>
      </w:r>
      <w:r>
        <w:rPr>
          <w:i/>
          <w:sz w:val="24"/>
        </w:rPr>
        <w:t>Journal of Applied Accounting Research - J Appl Account Res. 10(2) </w:t>
      </w:r>
      <w:r>
        <w:rPr>
          <w:sz w:val="24"/>
        </w:rPr>
        <w:t>4-</w:t>
      </w:r>
      <w:r>
        <w:rPr>
          <w:spacing w:val="1"/>
          <w:sz w:val="24"/>
        </w:rPr>
        <w:t> </w:t>
      </w:r>
      <w:r>
        <w:rPr>
          <w:sz w:val="24"/>
        </w:rPr>
        <w:t>19.</w:t>
      </w:r>
    </w:p>
    <w:p>
      <w:pPr>
        <w:pStyle w:val="BodyText"/>
        <w:spacing w:before="199"/>
        <w:ind w:left="0" w:right="13"/>
        <w:jc w:val="center"/>
      </w:pPr>
      <w:r>
        <w:rPr/>
        <w:t>Alnasser,</w:t>
      </w:r>
      <w:r>
        <w:rPr>
          <w:spacing w:val="-13"/>
        </w:rPr>
        <w:t> </w:t>
      </w:r>
      <w:r>
        <w:rPr/>
        <w:t>S.</w:t>
      </w:r>
      <w:r>
        <w:rPr>
          <w:spacing w:val="-12"/>
        </w:rPr>
        <w:t> </w:t>
      </w:r>
      <w:r>
        <w:rPr/>
        <w:t>(2012).</w:t>
      </w:r>
      <w:r>
        <w:rPr>
          <w:spacing w:val="-14"/>
        </w:rPr>
        <w:t> </w:t>
      </w:r>
      <w:r>
        <w:rPr/>
        <w:t>What</w:t>
      </w:r>
      <w:r>
        <w:rPr>
          <w:spacing w:val="-12"/>
        </w:rPr>
        <w:t> </w:t>
      </w:r>
      <w:r>
        <w:rPr/>
        <w:t>has</w:t>
      </w:r>
      <w:r>
        <w:rPr>
          <w:spacing w:val="-13"/>
        </w:rPr>
        <w:t> </w:t>
      </w:r>
      <w:r>
        <w:rPr/>
        <w:t>changed?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corporate</w:t>
      </w:r>
      <w:r>
        <w:rPr>
          <w:spacing w:val="-13"/>
        </w:rPr>
        <w:t> </w:t>
      </w:r>
      <w:r>
        <w:rPr/>
        <w:t>governance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Malaysia.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Risk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13(3),</w:t>
      </w:r>
      <w:r>
        <w:rPr>
          <w:i/>
          <w:spacing w:val="1"/>
          <w:sz w:val="24"/>
        </w:rPr>
        <w:t> </w:t>
      </w:r>
      <w:r>
        <w:rPr>
          <w:sz w:val="24"/>
        </w:rPr>
        <w:t>269-276.</w:t>
      </w:r>
    </w:p>
    <w:p>
      <w:pPr>
        <w:spacing w:before="202"/>
        <w:ind w:left="1542" w:right="830" w:hanging="720"/>
        <w:jc w:val="both"/>
        <w:rPr>
          <w:sz w:val="24"/>
        </w:rPr>
      </w:pPr>
      <w:r>
        <w:rPr>
          <w:sz w:val="24"/>
        </w:rPr>
        <w:t>Amran, N. A., &amp; Che Ahmad, A. (2010). Family succession and firm performance among</w:t>
      </w:r>
      <w:r>
        <w:rPr>
          <w:spacing w:val="1"/>
          <w:sz w:val="24"/>
        </w:rPr>
        <w:t> </w:t>
      </w:r>
      <w:r>
        <w:rPr>
          <w:sz w:val="24"/>
        </w:rPr>
        <w:t>Malaysian</w:t>
      </w:r>
      <w:r>
        <w:rPr>
          <w:spacing w:val="-9"/>
          <w:sz w:val="24"/>
        </w:rPr>
        <w:t> </w:t>
      </w:r>
      <w:r>
        <w:rPr>
          <w:sz w:val="24"/>
        </w:rPr>
        <w:t>companies.</w:t>
      </w:r>
      <w:r>
        <w:rPr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Science,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1(2),</w:t>
      </w:r>
      <w:r>
        <w:rPr>
          <w:i/>
          <w:spacing w:val="-7"/>
          <w:sz w:val="24"/>
        </w:rPr>
        <w:t> </w:t>
      </w:r>
      <w:r>
        <w:rPr>
          <w:sz w:val="24"/>
        </w:rPr>
        <w:t>193–</w:t>
      </w:r>
      <w:r>
        <w:rPr>
          <w:spacing w:val="-57"/>
          <w:sz w:val="24"/>
        </w:rPr>
        <w:t> </w:t>
      </w:r>
      <w:r>
        <w:rPr>
          <w:sz w:val="24"/>
        </w:rPr>
        <w:t>203.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30" w:hanging="720"/>
        <w:jc w:val="both"/>
        <w:rPr>
          <w:sz w:val="24"/>
        </w:rPr>
      </w:pPr>
      <w:r>
        <w:rPr>
          <w:sz w:val="24"/>
        </w:rPr>
        <w:t>Anandarajah,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Governance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asia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post-enron</w:t>
      </w:r>
      <w:r>
        <w:rPr>
          <w:spacing w:val="1"/>
          <w:sz w:val="24"/>
        </w:rPr>
        <w:t> </w:t>
      </w:r>
      <w:r>
        <w:rPr>
          <w:sz w:val="24"/>
        </w:rPr>
        <w:t>world’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Practitioner’s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Asia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ISI</w:t>
      </w:r>
      <w:r>
        <w:rPr>
          <w:spacing w:val="-9"/>
          <w:sz w:val="24"/>
        </w:rPr>
        <w:t> </w:t>
      </w:r>
      <w:r>
        <w:rPr>
          <w:sz w:val="24"/>
        </w:rPr>
        <w:t>Publications</w:t>
      </w:r>
      <w:r>
        <w:rPr>
          <w:spacing w:val="-7"/>
          <w:sz w:val="24"/>
        </w:rPr>
        <w:t> </w:t>
      </w:r>
      <w:r>
        <w:rPr>
          <w:sz w:val="24"/>
        </w:rPr>
        <w:t>Limited,</w:t>
      </w:r>
      <w:r>
        <w:rPr>
          <w:spacing w:val="-8"/>
          <w:sz w:val="24"/>
        </w:rPr>
        <w:t> </w:t>
      </w:r>
      <w:r>
        <w:rPr>
          <w:sz w:val="24"/>
        </w:rPr>
        <w:t>Hong</w:t>
      </w:r>
      <w:r>
        <w:rPr>
          <w:spacing w:val="-57"/>
          <w:sz w:val="24"/>
        </w:rPr>
        <w:t> </w:t>
      </w:r>
      <w:r>
        <w:rPr>
          <w:sz w:val="24"/>
        </w:rPr>
        <w:t>Kong.</w:t>
      </w:r>
    </w:p>
    <w:p>
      <w:pPr>
        <w:pStyle w:val="BodyText"/>
        <w:spacing w:before="202"/>
        <w:ind w:left="1542" w:right="832" w:hanging="720"/>
      </w:pPr>
      <w:r>
        <w:rPr/>
        <w:t>Andrea</w:t>
      </w:r>
      <w:r>
        <w:rPr>
          <w:spacing w:val="-5"/>
        </w:rPr>
        <w:t> </w:t>
      </w:r>
      <w:r>
        <w:rPr/>
        <w:t>V.,</w:t>
      </w:r>
      <w:r>
        <w:rPr>
          <w:spacing w:val="-7"/>
        </w:rPr>
        <w:t> </w:t>
      </w:r>
      <w:r>
        <w:rPr/>
        <w:t>Antonio,</w:t>
      </w:r>
      <w:r>
        <w:rPr>
          <w:spacing w:val="51"/>
        </w:rPr>
        <w:t> </w:t>
      </w:r>
      <w:r>
        <w:rPr/>
        <w:t>I.,</w:t>
      </w:r>
      <w:r>
        <w:rPr>
          <w:spacing w:val="-2"/>
        </w:rPr>
        <w:t> </w:t>
      </w:r>
      <w:r>
        <w:rPr/>
        <w:t>Demetris,</w:t>
      </w:r>
      <w:r>
        <w:rPr>
          <w:spacing w:val="-6"/>
        </w:rPr>
        <w:t> </w:t>
      </w:r>
      <w:r>
        <w:rPr/>
        <w:t>V.,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Monica,</w:t>
      </w:r>
      <w:r>
        <w:rPr>
          <w:spacing w:val="-4"/>
        </w:rPr>
        <w:t> </w:t>
      </w:r>
      <w:r>
        <w:rPr/>
        <w:t>F.</w:t>
      </w:r>
      <w:r>
        <w:rPr>
          <w:spacing w:val="-5"/>
        </w:rPr>
        <w:t> </w:t>
      </w:r>
      <w:r>
        <w:rPr/>
        <w:t>(2020).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role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gender</w:t>
      </w:r>
      <w:r>
        <w:rPr>
          <w:spacing w:val="-7"/>
        </w:rPr>
        <w:t> </w:t>
      </w:r>
      <w:r>
        <w:rPr/>
        <w:t>diversity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tax</w:t>
      </w:r>
      <w:r>
        <w:rPr>
          <w:spacing w:val="-57"/>
        </w:rPr>
        <w:t> </w:t>
      </w:r>
      <w:r>
        <w:rPr/>
        <w:t>aggressiveness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responsibility: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Italian</w:t>
      </w:r>
      <w:r>
        <w:rPr>
          <w:spacing w:val="1"/>
        </w:rPr>
        <w:t> </w:t>
      </w:r>
      <w:r>
        <w:rPr/>
        <w:t>Listed</w:t>
      </w:r>
      <w:r>
        <w:rPr>
          <w:spacing w:val="1"/>
        </w:rPr>
        <w:t> </w:t>
      </w:r>
      <w:r>
        <w:rPr/>
        <w:t>Companies. </w:t>
      </w:r>
      <w:r>
        <w:rPr>
          <w:i/>
        </w:rPr>
        <w:t>Sustainability</w:t>
      </w:r>
      <w:r>
        <w:rPr>
          <w:i/>
          <w:spacing w:val="-1"/>
        </w:rPr>
        <w:t> </w:t>
      </w:r>
      <w:r>
        <w:rPr>
          <w:i/>
        </w:rPr>
        <w:t>7(1)</w:t>
      </w:r>
      <w:r>
        <w:rPr>
          <w:i/>
          <w:spacing w:val="-1"/>
        </w:rPr>
        <w:t> </w:t>
      </w:r>
      <w:r>
        <w:rPr/>
        <w:t>2-14</w:t>
      </w:r>
    </w:p>
    <w:p>
      <w:pPr>
        <w:spacing w:before="200"/>
        <w:ind w:left="1542" w:right="83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72832">
            <wp:simplePos x="0" y="0"/>
            <wp:positionH relativeFrom="page">
              <wp:posOffset>1261605</wp:posOffset>
            </wp:positionH>
            <wp:positionV relativeFrom="paragraph">
              <wp:posOffset>598844</wp:posOffset>
            </wp:positionV>
            <wp:extent cx="5133225" cy="5265293"/>
            <wp:effectExtent l="0" t="0" r="0" b="0"/>
            <wp:wrapNone/>
            <wp:docPr id="26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Ang,</w:t>
      </w:r>
      <w:r>
        <w:rPr>
          <w:spacing w:val="-4"/>
          <w:sz w:val="24"/>
        </w:rPr>
        <w:t> </w:t>
      </w: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S.,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Ding,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3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(2006). Government</w:t>
      </w:r>
      <w:r>
        <w:rPr>
          <w:spacing w:val="-2"/>
          <w:sz w:val="24"/>
        </w:rPr>
        <w:t> </w:t>
      </w:r>
      <w:r>
        <w:rPr>
          <w:sz w:val="24"/>
        </w:rPr>
        <w:t>ownership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performance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government-</w:t>
      </w:r>
      <w:r>
        <w:rPr>
          <w:spacing w:val="-57"/>
          <w:sz w:val="24"/>
        </w:rPr>
        <w:t> </w:t>
      </w:r>
      <w:r>
        <w:rPr>
          <w:sz w:val="24"/>
        </w:rPr>
        <w:t>linked</w:t>
      </w:r>
      <w:r>
        <w:rPr>
          <w:spacing w:val="1"/>
          <w:sz w:val="24"/>
        </w:rPr>
        <w:t> </w:t>
      </w:r>
      <w:r>
        <w:rPr>
          <w:sz w:val="24"/>
        </w:rPr>
        <w:t>companies: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Singapore.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16(1), </w:t>
      </w:r>
      <w:r>
        <w:rPr>
          <w:sz w:val="24"/>
        </w:rPr>
        <w:t>64-88.</w:t>
      </w:r>
    </w:p>
    <w:p>
      <w:pPr>
        <w:pStyle w:val="BodyText"/>
        <w:spacing w:before="199"/>
        <w:ind w:left="1542" w:right="829" w:hanging="720"/>
      </w:pPr>
      <w:r>
        <w:rPr/>
        <w:t>Annuar, A. A., Salihu, I. A., &amp; Obid, S. N. (2014). Corporate ownership, governance and tax</w:t>
      </w:r>
      <w:r>
        <w:rPr>
          <w:spacing w:val="1"/>
        </w:rPr>
        <w:t> </w:t>
      </w:r>
      <w:r>
        <w:rPr/>
        <w:t>avoidance: An interactive effects.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 on Accounting studies,</w:t>
      </w:r>
      <w:r>
        <w:rPr>
          <w:spacing w:val="1"/>
        </w:rPr>
        <w:t> </w:t>
      </w:r>
      <w:r>
        <w:rPr/>
        <w:t>Kuala,</w:t>
      </w:r>
      <w:r>
        <w:rPr>
          <w:spacing w:val="-1"/>
        </w:rPr>
        <w:t> </w:t>
      </w:r>
      <w:r>
        <w:rPr/>
        <w:t>Lumpur</w:t>
      </w:r>
      <w:r>
        <w:rPr>
          <w:spacing w:val="-1"/>
        </w:rPr>
        <w:t> </w:t>
      </w:r>
      <w:r>
        <w:rPr/>
        <w:t>Malaysia,</w:t>
      </w:r>
      <w:r>
        <w:rPr>
          <w:spacing w:val="1"/>
        </w:rPr>
        <w:t> </w:t>
      </w:r>
      <w:r>
        <w:rPr>
          <w:i/>
        </w:rPr>
        <w:t>Procedia</w:t>
      </w:r>
      <w:r>
        <w:rPr>
          <w:i/>
          <w:spacing w:val="-1"/>
        </w:rPr>
        <w:t> </w:t>
      </w:r>
      <w:r>
        <w:rPr>
          <w:i/>
        </w:rPr>
        <w:t>Social and</w:t>
      </w:r>
      <w:r>
        <w:rPr>
          <w:i/>
          <w:spacing w:val="-1"/>
        </w:rPr>
        <w:t> </w:t>
      </w:r>
      <w:r>
        <w:rPr>
          <w:i/>
        </w:rPr>
        <w:t>Behavioral Sciences,</w:t>
      </w:r>
      <w:r>
        <w:rPr>
          <w:i/>
          <w:spacing w:val="-1"/>
        </w:rPr>
        <w:t> </w:t>
      </w:r>
      <w:r>
        <w:rPr>
          <w:i/>
        </w:rPr>
        <w:t>164</w:t>
      </w:r>
      <w:r>
        <w:rPr/>
        <w:t>(1), 150-160.</w:t>
      </w:r>
    </w:p>
    <w:p>
      <w:pPr>
        <w:spacing w:before="202"/>
        <w:ind w:left="1542" w:right="827" w:hanging="720"/>
        <w:jc w:val="both"/>
        <w:rPr>
          <w:sz w:val="24"/>
        </w:rPr>
      </w:pPr>
      <w:r>
        <w:rPr/>
        <w:pict>
          <v:shape style="position:absolute;margin-left:85.104004pt;margin-top:10.1441pt;width:453.7pt;height:27.6pt;mso-position-horizontal-relative:page;mso-position-vertical-relative:paragraph;z-index:-49243136" coordorigin="1702,203" coordsize="9074,552" path="m10776,203l1702,203,1702,479,2422,479,2422,755,10776,755,10776,479,10776,203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Anup,</w:t>
      </w:r>
      <w:r>
        <w:rPr>
          <w:spacing w:val="1"/>
          <w:sz w:val="24"/>
        </w:rPr>
        <w:t> </w:t>
      </w:r>
      <w:r>
        <w:rPr>
          <w:sz w:val="24"/>
        </w:rPr>
        <w:t>K,</w:t>
      </w:r>
      <w:r>
        <w:rPr>
          <w:spacing w:val="1"/>
          <w:sz w:val="24"/>
        </w:rPr>
        <w:t> </w:t>
      </w:r>
      <w:r>
        <w:rPr>
          <w:sz w:val="24"/>
        </w:rPr>
        <w:t>&amp; Shahnag, A. (2013). Corporate governance and voluntary disclosure practices of</w:t>
      </w:r>
      <w:r>
        <w:rPr>
          <w:spacing w:val="-57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non-financial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Bangladesh.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  <w:shd w:fill="FFFFFF" w:color="auto" w:val="clear"/>
        </w:rPr>
        <w:t>Management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Accounting</w:t>
      </w:r>
      <w:r>
        <w:rPr>
          <w:i/>
          <w:spacing w:val="2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Research, 11(2),</w:t>
      </w:r>
      <w:r>
        <w:rPr>
          <w:i/>
          <w:spacing w:val="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45-61.</w:t>
      </w:r>
    </w:p>
    <w:p>
      <w:pPr>
        <w:pStyle w:val="BodyText"/>
        <w:spacing w:before="199"/>
        <w:ind w:left="1542" w:right="831" w:hanging="720"/>
      </w:pPr>
      <w:r>
        <w:rPr/>
        <w:t>Ararat, M. &amp; Ugur, M (2003). Corporate governance in turkey: An overview and some policy</w:t>
      </w:r>
      <w:r>
        <w:rPr>
          <w:spacing w:val="1"/>
        </w:rPr>
        <w:t> </w:t>
      </w:r>
      <w:r>
        <w:rPr/>
        <w:t>recommendations. </w:t>
      </w:r>
      <w:r>
        <w:rPr>
          <w:i/>
        </w:rPr>
        <w:t>Corporate Governance. 3 (2) </w:t>
      </w:r>
      <w:r>
        <w:rPr/>
        <w:t>58-75.</w:t>
      </w:r>
    </w:p>
    <w:p>
      <w:pPr>
        <w:pStyle w:val="BodyText"/>
        <w:spacing w:before="200"/>
        <w:ind w:left="1542" w:right="833" w:hanging="720"/>
      </w:pPr>
      <w:r>
        <w:rPr/>
        <w:t>Arcot, S.R., &amp; Bruno, V.G. (2005). Sticking to their principles: evidence from corporate</w:t>
      </w:r>
      <w:r>
        <w:rPr>
          <w:spacing w:val="1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UK, mimeo,</w:t>
      </w:r>
      <w:r>
        <w:rPr>
          <w:spacing w:val="-1"/>
        </w:rPr>
        <w:t> </w:t>
      </w:r>
      <w:r>
        <w:rPr/>
        <w:t>Financial Markets</w:t>
      </w:r>
      <w:r>
        <w:rPr>
          <w:spacing w:val="2"/>
        </w:rPr>
        <w:t> </w:t>
      </w:r>
      <w:r>
        <w:rPr/>
        <w:t>Group, London.</w:t>
      </w:r>
    </w:p>
    <w:p>
      <w:pPr>
        <w:spacing w:before="201"/>
        <w:ind w:left="1542" w:right="834" w:hanging="720"/>
        <w:jc w:val="both"/>
        <w:rPr>
          <w:sz w:val="24"/>
        </w:rPr>
      </w:pPr>
      <w:r>
        <w:rPr>
          <w:sz w:val="24"/>
        </w:rPr>
        <w:t>Armitage, S., &amp; Marston, C. (2008). Corporate disclosure, cost of capital and reputation: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-2"/>
          <w:sz w:val="24"/>
        </w:rPr>
        <w:t> </w:t>
      </w:r>
      <w:r>
        <w:rPr>
          <w:sz w:val="24"/>
        </w:rPr>
        <w:t>from finance</w:t>
      </w:r>
      <w:r>
        <w:rPr>
          <w:spacing w:val="-1"/>
          <w:sz w:val="24"/>
        </w:rPr>
        <w:t> </w:t>
      </w:r>
      <w:r>
        <w:rPr>
          <w:sz w:val="24"/>
        </w:rPr>
        <w:t>directors</w:t>
      </w:r>
      <w:r>
        <w:rPr>
          <w:i/>
          <w:sz w:val="24"/>
        </w:rPr>
        <w:t>. British 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Review. 40(2).</w:t>
      </w:r>
      <w:r>
        <w:rPr>
          <w:sz w:val="24"/>
        </w:rPr>
        <w:t>10-16.</w:t>
      </w:r>
    </w:p>
    <w:p>
      <w:pPr>
        <w:spacing w:before="200"/>
        <w:ind w:left="1542" w:right="829" w:hanging="720"/>
        <w:jc w:val="both"/>
        <w:rPr>
          <w:sz w:val="24"/>
        </w:rPr>
      </w:pPr>
      <w:r>
        <w:rPr>
          <w:spacing w:val="-1"/>
          <w:sz w:val="24"/>
        </w:rPr>
        <w:t>Armstrong,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C.</w:t>
      </w:r>
      <w:r>
        <w:rPr>
          <w:spacing w:val="-12"/>
          <w:sz w:val="24"/>
        </w:rPr>
        <w:t> </w:t>
      </w:r>
      <w:r>
        <w:rPr>
          <w:sz w:val="24"/>
        </w:rPr>
        <w:t>S.,</w:t>
      </w:r>
      <w:r>
        <w:rPr>
          <w:spacing w:val="-12"/>
          <w:sz w:val="24"/>
        </w:rPr>
        <w:t> </w:t>
      </w:r>
      <w:r>
        <w:rPr>
          <w:sz w:val="24"/>
        </w:rPr>
        <w:t>Blouin,</w:t>
      </w:r>
      <w:r>
        <w:rPr>
          <w:spacing w:val="-15"/>
          <w:sz w:val="24"/>
        </w:rPr>
        <w:t> </w:t>
      </w:r>
      <w:r>
        <w:rPr>
          <w:sz w:val="24"/>
        </w:rPr>
        <w:t>J.</w:t>
      </w:r>
      <w:r>
        <w:rPr>
          <w:spacing w:val="-12"/>
          <w:sz w:val="24"/>
        </w:rPr>
        <w:t> </w:t>
      </w:r>
      <w:r>
        <w:rPr>
          <w:sz w:val="24"/>
        </w:rPr>
        <w:t>C.,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Larcker,</w:t>
      </w:r>
      <w:r>
        <w:rPr>
          <w:spacing w:val="-13"/>
          <w:sz w:val="24"/>
        </w:rPr>
        <w:t> </w:t>
      </w:r>
      <w:r>
        <w:rPr>
          <w:sz w:val="24"/>
        </w:rPr>
        <w:t>D.</w:t>
      </w:r>
      <w:r>
        <w:rPr>
          <w:spacing w:val="-11"/>
          <w:sz w:val="24"/>
        </w:rPr>
        <w:t> </w:t>
      </w:r>
      <w:r>
        <w:rPr>
          <w:sz w:val="24"/>
        </w:rPr>
        <w:t>F.</w:t>
      </w:r>
      <w:r>
        <w:rPr>
          <w:spacing w:val="-12"/>
          <w:sz w:val="24"/>
        </w:rPr>
        <w:t> </w:t>
      </w:r>
      <w:r>
        <w:rPr>
          <w:sz w:val="24"/>
        </w:rPr>
        <w:t>(2012).</w:t>
      </w:r>
      <w:r>
        <w:rPr>
          <w:spacing w:val="-13"/>
          <w:sz w:val="24"/>
        </w:rPr>
        <w:t> </w:t>
      </w:r>
      <w:r>
        <w:rPr>
          <w:sz w:val="24"/>
        </w:rPr>
        <w:t>The</w:t>
      </w:r>
      <w:r>
        <w:rPr>
          <w:spacing w:val="-14"/>
          <w:sz w:val="24"/>
        </w:rPr>
        <w:t> </w:t>
      </w:r>
      <w:r>
        <w:rPr>
          <w:sz w:val="24"/>
        </w:rPr>
        <w:t>incentive</w:t>
      </w:r>
      <w:r>
        <w:rPr>
          <w:spacing w:val="-13"/>
          <w:sz w:val="24"/>
        </w:rPr>
        <w:t> </w:t>
      </w:r>
      <w:r>
        <w:rPr>
          <w:sz w:val="24"/>
        </w:rPr>
        <w:t>for</w:t>
      </w:r>
      <w:r>
        <w:rPr>
          <w:spacing w:val="-14"/>
          <w:sz w:val="24"/>
        </w:rPr>
        <w:t> </w:t>
      </w:r>
      <w:r>
        <w:rPr>
          <w:sz w:val="24"/>
        </w:rPr>
        <w:t>tax</w:t>
      </w:r>
      <w:r>
        <w:rPr>
          <w:spacing w:val="-12"/>
          <w:sz w:val="24"/>
        </w:rPr>
        <w:t> </w:t>
      </w:r>
      <w:r>
        <w:rPr>
          <w:sz w:val="24"/>
        </w:rPr>
        <w:t>planning.</w:t>
      </w:r>
      <w:r>
        <w:rPr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Accounting and Economics</w:t>
      </w:r>
      <w:r>
        <w:rPr>
          <w:sz w:val="24"/>
        </w:rPr>
        <w:t>, </w:t>
      </w:r>
      <w:r>
        <w:rPr>
          <w:i/>
          <w:sz w:val="24"/>
        </w:rPr>
        <w:t>53(1), </w:t>
      </w:r>
      <w:r>
        <w:rPr>
          <w:sz w:val="24"/>
        </w:rPr>
        <w:t>391-411.</w:t>
      </w:r>
    </w:p>
    <w:p>
      <w:pPr>
        <w:spacing w:before="199"/>
        <w:ind w:left="1542" w:right="832" w:hanging="720"/>
        <w:jc w:val="both"/>
        <w:rPr>
          <w:sz w:val="24"/>
        </w:rPr>
      </w:pPr>
      <w:r>
        <w:rPr>
          <w:sz w:val="24"/>
        </w:rPr>
        <w:t>Armstrong, C. S., Blouin, J. L., &amp; Larcker, D. F. (2015). Corporate governance, incentives 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tax</w:t>
      </w:r>
      <w:r>
        <w:rPr>
          <w:spacing w:val="-1"/>
          <w:sz w:val="24"/>
        </w:rPr>
        <w:t> </w:t>
      </w:r>
      <w:r>
        <w:rPr>
          <w:sz w:val="24"/>
        </w:rPr>
        <w:t>avoidance.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and Social Science, 1(2),</w:t>
      </w:r>
      <w:r>
        <w:rPr>
          <w:i/>
          <w:spacing w:val="1"/>
          <w:sz w:val="24"/>
        </w:rPr>
        <w:t> </w:t>
      </w:r>
      <w:r>
        <w:rPr>
          <w:sz w:val="24"/>
        </w:rPr>
        <w:t>60, 1–17</w:t>
      </w:r>
    </w:p>
    <w:p>
      <w:pPr>
        <w:spacing w:before="202"/>
        <w:ind w:left="1542" w:right="829" w:hanging="720"/>
        <w:jc w:val="both"/>
        <w:rPr>
          <w:sz w:val="24"/>
        </w:rPr>
      </w:pPr>
      <w:r>
        <w:rPr>
          <w:sz w:val="24"/>
        </w:rPr>
        <w:t>Arun,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Almahrog,</w:t>
      </w:r>
      <w:r>
        <w:rPr>
          <w:spacing w:val="1"/>
          <w:sz w:val="24"/>
        </w:rPr>
        <w:t> </w:t>
      </w:r>
      <w:r>
        <w:rPr>
          <w:sz w:val="24"/>
        </w:rPr>
        <w:t>Y.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Aribi,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directors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earnings</w:t>
      </w:r>
      <w:r>
        <w:rPr>
          <w:spacing w:val="1"/>
          <w:sz w:val="24"/>
        </w:rPr>
        <w:t> </w:t>
      </w:r>
      <w:r>
        <w:rPr>
          <w:sz w:val="24"/>
        </w:rPr>
        <w:t>management: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UK</w:t>
      </w:r>
      <w:r>
        <w:rPr>
          <w:spacing w:val="1"/>
          <w:sz w:val="24"/>
        </w:rPr>
        <w:t> </w:t>
      </w:r>
      <w:r>
        <w:rPr>
          <w:sz w:val="24"/>
        </w:rPr>
        <w:t>companies.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(3), 137-146.</w:t>
      </w:r>
    </w:p>
    <w:p>
      <w:pPr>
        <w:spacing w:before="199"/>
        <w:ind w:left="1542" w:right="833" w:hanging="720"/>
        <w:jc w:val="both"/>
        <w:rPr>
          <w:sz w:val="24"/>
        </w:rPr>
      </w:pPr>
      <w:r>
        <w:rPr/>
        <w:pict>
          <v:shape style="position:absolute;margin-left:85.104004pt;margin-top:9.993115pt;width:453.7pt;height:27.65pt;mso-position-horizontal-relative:page;mso-position-vertical-relative:paragraph;z-index:-49242624" coordorigin="1702,200" coordsize="9074,553" path="m10776,476l2422,476,2422,752,10776,752,10776,476xm10776,200l1702,200,1702,476,10776,476,10776,200xe" filled="true" fillcolor="#ffffff" stroked="false">
            <v:path arrowok="t"/>
            <v:fill type="solid"/>
            <w10:wrap type="none"/>
          </v:shape>
        </w:pict>
      </w:r>
      <w:r>
        <w:rPr>
          <w:sz w:val="24"/>
        </w:rPr>
        <w:t>Austin, C &amp; Wilson, R. (2016). An examination of reputational costs and tax avoidance:</w:t>
      </w:r>
      <w:r>
        <w:rPr>
          <w:spacing w:val="1"/>
          <w:sz w:val="24"/>
        </w:rPr>
        <w:t> </w:t>
      </w:r>
      <w:r>
        <w:rPr>
          <w:sz w:val="24"/>
        </w:rPr>
        <w:t>evidence from firms with valuable consumer brands. </w:t>
      </w:r>
      <w:r>
        <w:rPr>
          <w:i/>
          <w:sz w:val="24"/>
        </w:rPr>
        <w:t>The Journal of the American</w:t>
      </w:r>
      <w:r>
        <w:rPr>
          <w:i/>
          <w:spacing w:val="1"/>
          <w:sz w:val="24"/>
        </w:rPr>
        <w:t> </w:t>
      </w:r>
      <w:r>
        <w:rPr>
          <w:i/>
          <w:sz w:val="24"/>
          <w:shd w:fill="FFFFFF" w:color="auto" w:val="clear"/>
        </w:rPr>
        <w:t>Taxation</w:t>
      </w:r>
      <w:r>
        <w:rPr>
          <w:i/>
          <w:spacing w:val="-1"/>
          <w:sz w:val="24"/>
          <w:shd w:fill="FFFFFF" w:color="auto" w:val="clear"/>
        </w:rPr>
        <w:t> </w:t>
      </w:r>
      <w:r>
        <w:rPr>
          <w:i/>
          <w:sz w:val="24"/>
          <w:shd w:fill="FFFFFF" w:color="auto" w:val="clear"/>
        </w:rPr>
        <w:t>Association. 39(2),</w:t>
      </w:r>
      <w:r>
        <w:rPr>
          <w:i/>
          <w:spacing w:val="1"/>
          <w:sz w:val="24"/>
          <w:shd w:fill="FFFFFF" w:color="auto" w:val="clear"/>
        </w:rPr>
        <w:t> </w:t>
      </w:r>
      <w:r>
        <w:rPr>
          <w:sz w:val="24"/>
          <w:shd w:fill="FFFFFF" w:color="auto" w:val="clear"/>
        </w:rPr>
        <w:t>10-23</w:t>
      </w:r>
    </w:p>
    <w:p>
      <w:pPr>
        <w:pStyle w:val="BodyText"/>
        <w:spacing w:before="200"/>
        <w:ind w:left="1542" w:right="830" w:hanging="720"/>
      </w:pPr>
      <w:r>
        <w:rPr/>
        <w:pict>
          <v:rect style="position:absolute;margin-left:85.103996pt;margin-top:10.043129pt;width:453.7pt;height:13.8pt;mso-position-horizontal-relative:page;mso-position-vertical-relative:paragraph;z-index:-49242112" filled="true" fillcolor="#ffffff" stroked="false">
            <v:fill type="solid"/>
            <w10:wrap type="none"/>
          </v:rect>
        </w:pict>
      </w:r>
      <w:r>
        <w:rPr/>
        <w:t>Axelson, U., &amp; Bond, P. (2009).</w:t>
      </w:r>
      <w:r>
        <w:rPr>
          <w:spacing w:val="1"/>
        </w:rPr>
        <w:t> </w:t>
      </w:r>
      <w:r>
        <w:rPr/>
        <w:t>Wall street occupations: An equilibrium theory of overpaid</w:t>
      </w:r>
      <w:r>
        <w:rPr>
          <w:spacing w:val="1"/>
        </w:rPr>
        <w:t> </w:t>
      </w:r>
      <w:r>
        <w:rPr/>
        <w:t>jobs.</w:t>
      </w:r>
      <w:r>
        <w:rPr>
          <w:spacing w:val="-1"/>
        </w:rPr>
        <w:t> </w:t>
      </w:r>
      <w:r>
        <w:rPr/>
        <w:t>Available at SSRN:</w:t>
      </w:r>
      <w:r>
        <w:rPr>
          <w:spacing w:val="1"/>
        </w:rPr>
        <w:t> </w:t>
      </w:r>
      <w:hyperlink r:id="rId18">
        <w:r>
          <w:rPr/>
          <w:t>https://ssrn.com/abstract=1343600</w:t>
        </w:r>
      </w:hyperlink>
    </w:p>
    <w:p>
      <w:pPr>
        <w:spacing w:before="199"/>
        <w:ind w:left="1542" w:right="830" w:hanging="720"/>
        <w:jc w:val="both"/>
        <w:rPr>
          <w:i/>
          <w:sz w:val="24"/>
        </w:rPr>
      </w:pPr>
      <w:r>
        <w:rPr>
          <w:sz w:val="24"/>
        </w:rPr>
        <w:t>Ayers, B., Jiang, J., &amp; Laplante, S. (2009). Taxable income as a performance measure: 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tax</w:t>
      </w:r>
      <w:r>
        <w:rPr>
          <w:spacing w:val="-8"/>
          <w:sz w:val="24"/>
        </w:rPr>
        <w:t> </w:t>
      </w:r>
      <w:r>
        <w:rPr>
          <w:sz w:val="24"/>
        </w:rPr>
        <w:t>planning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earnings</w:t>
      </w:r>
      <w:r>
        <w:rPr>
          <w:spacing w:val="-9"/>
          <w:sz w:val="24"/>
        </w:rPr>
        <w:t> </w:t>
      </w:r>
      <w:r>
        <w:rPr>
          <w:sz w:val="24"/>
        </w:rPr>
        <w:t>quality.</w:t>
      </w:r>
      <w:r>
        <w:rPr>
          <w:spacing w:val="-7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26(1)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22-38</w:t>
      </w:r>
    </w:p>
    <w:p>
      <w:pPr>
        <w:pStyle w:val="BodyText"/>
        <w:spacing w:before="202"/>
        <w:ind w:left="1542" w:right="836" w:hanging="720"/>
      </w:pPr>
      <w:r>
        <w:rPr/>
        <w:t>Ayodele, O. (2006). Tax policy reforms in Nigeria, Research Paper No. 2004 National Centre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Administration, Ibadan,</w:t>
      </w:r>
      <w:r>
        <w:rPr>
          <w:spacing w:val="-1"/>
        </w:rPr>
        <w:t> </w:t>
      </w:r>
      <w:r>
        <w:rPr/>
        <w:t>(Nigeria),</w:t>
      </w:r>
      <w:r>
        <w:rPr>
          <w:spacing w:val="-1"/>
        </w:rPr>
        <w:t> </w:t>
      </w:r>
      <w:r>
        <w:rPr/>
        <w:t>January, 2006.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33" w:hanging="720"/>
        <w:jc w:val="both"/>
        <w:rPr>
          <w:sz w:val="24"/>
        </w:rPr>
      </w:pPr>
      <w:r>
        <w:rPr>
          <w:sz w:val="24"/>
        </w:rPr>
        <w:t>Azlan, A., Mohd Syarizal, I., Zulkafi, A.H. &amp; Nejati, M. (2010). Board structure and extent of</w:t>
      </w:r>
      <w:r>
        <w:rPr>
          <w:spacing w:val="-57"/>
          <w:sz w:val="24"/>
        </w:rPr>
        <w:t> </w:t>
      </w:r>
      <w:r>
        <w:rPr>
          <w:sz w:val="24"/>
        </w:rPr>
        <w:t>corporate governance statement. </w:t>
      </w:r>
      <w:r>
        <w:rPr>
          <w:i/>
          <w:sz w:val="24"/>
        </w:rPr>
        <w:t>International Journal of Managerial and 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2(4)</w:t>
      </w:r>
      <w:r>
        <w:rPr>
          <w:i/>
          <w:spacing w:val="-2"/>
          <w:sz w:val="24"/>
        </w:rPr>
        <w:t> </w:t>
      </w:r>
      <w:r>
        <w:rPr>
          <w:sz w:val="24"/>
        </w:rPr>
        <w:t>383–400.</w:t>
      </w:r>
    </w:p>
    <w:p>
      <w:pPr>
        <w:pStyle w:val="BodyText"/>
        <w:spacing w:before="202"/>
        <w:ind w:left="1542" w:right="830" w:hanging="720"/>
      </w:pPr>
      <w:r>
        <w:rPr/>
        <w:t>Badertscher, B., Katz, S., &amp; Rego, S. O. (2011). The impact of private equity ownership on</w:t>
      </w:r>
      <w:r>
        <w:rPr>
          <w:spacing w:val="1"/>
        </w:rPr>
        <w:t> </w:t>
      </w:r>
      <w:r>
        <w:rPr/>
        <w:t>portfolio firms´ corporate tax planning. Working Paper, University of Notre Dame,</w:t>
      </w:r>
      <w:r>
        <w:rPr>
          <w:spacing w:val="1"/>
        </w:rPr>
        <w:t> </w:t>
      </w:r>
      <w:r>
        <w:rPr/>
        <w:t>Columbia</w:t>
      </w:r>
      <w:r>
        <w:rPr>
          <w:spacing w:val="-1"/>
        </w:rPr>
        <w:t> </w:t>
      </w:r>
      <w:r>
        <w:rPr/>
        <w:t>University and University of</w:t>
      </w:r>
      <w:r>
        <w:rPr>
          <w:spacing w:val="1"/>
        </w:rPr>
        <w:t> </w:t>
      </w:r>
      <w:r>
        <w:rPr/>
        <w:t>Iowa.</w:t>
      </w:r>
    </w:p>
    <w:p>
      <w:pPr>
        <w:spacing w:before="200"/>
        <w:ind w:left="1542" w:right="833" w:hanging="720"/>
        <w:jc w:val="both"/>
        <w:rPr>
          <w:sz w:val="24"/>
        </w:rPr>
      </w:pPr>
      <w:r>
        <w:rPr>
          <w:sz w:val="24"/>
        </w:rPr>
        <w:t>Baek, H.Y., Johnson, D.R. &amp; Kim, J.W. (2009). Managerial ownership, corporate governance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voluntary</w:t>
      </w:r>
      <w:r>
        <w:rPr>
          <w:spacing w:val="-1"/>
          <w:sz w:val="24"/>
        </w:rPr>
        <w:t> </w:t>
      </w:r>
      <w:r>
        <w:rPr>
          <w:sz w:val="24"/>
        </w:rPr>
        <w:t>disclosure.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 Economic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Fall, </w:t>
      </w:r>
      <w:r>
        <w:rPr>
          <w:i/>
          <w:sz w:val="24"/>
        </w:rPr>
        <w:t>15(2)</w:t>
      </w:r>
      <w:r>
        <w:rPr>
          <w:i/>
          <w:spacing w:val="-3"/>
          <w:sz w:val="24"/>
        </w:rPr>
        <w:t> </w:t>
      </w:r>
      <w:r>
        <w:rPr>
          <w:sz w:val="24"/>
        </w:rPr>
        <w:t>44–61.</w:t>
      </w:r>
    </w:p>
    <w:p>
      <w:pPr>
        <w:pStyle w:val="BodyText"/>
        <w:spacing w:before="199"/>
        <w:ind w:left="1542" w:right="830" w:hanging="720"/>
      </w:pPr>
      <w:r>
        <w:rPr/>
        <w:drawing>
          <wp:anchor distT="0" distB="0" distL="0" distR="0" allowOverlap="1" layoutInCell="1" locked="0" behindDoc="1" simplePos="0" relativeHeight="454074880">
            <wp:simplePos x="0" y="0"/>
            <wp:positionH relativeFrom="page">
              <wp:posOffset>1261605</wp:posOffset>
            </wp:positionH>
            <wp:positionV relativeFrom="paragraph">
              <wp:posOffset>121197</wp:posOffset>
            </wp:positionV>
            <wp:extent cx="5133225" cy="5265293"/>
            <wp:effectExtent l="0" t="0" r="0" b="0"/>
            <wp:wrapNone/>
            <wp:docPr id="27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Bamber, L. S., Jiang, J.X., &amp; Wang, I. Y. (2010). What’s my style? The influence of top</w:t>
      </w:r>
      <w:r>
        <w:rPr>
          <w:spacing w:val="1"/>
        </w:rPr>
        <w:t> </w:t>
      </w:r>
      <w:r>
        <w:rPr/>
        <w:t>managers on voluntary corporate financial disclosure. </w:t>
      </w:r>
      <w:r>
        <w:rPr>
          <w:i/>
        </w:rPr>
        <w:t>The Accounting Review, </w:t>
      </w:r>
      <w:r>
        <w:rPr/>
        <w:t>85 (2)</w:t>
      </w:r>
      <w:r>
        <w:rPr>
          <w:spacing w:val="1"/>
        </w:rPr>
        <w:t> </w:t>
      </w:r>
      <w:r>
        <w:rPr/>
        <w:t>1131-1162.</w:t>
      </w:r>
    </w:p>
    <w:p>
      <w:pPr>
        <w:pStyle w:val="BodyText"/>
        <w:spacing w:before="202"/>
        <w:ind w:left="1542" w:right="832" w:hanging="720"/>
      </w:pPr>
      <w:r>
        <w:rPr/>
        <w:t>Barako,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Hancock,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Izan,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disclosure by Kenyan companies. Corporate Governance: </w:t>
      </w:r>
      <w:r>
        <w:rPr>
          <w:i/>
        </w:rPr>
        <w:t>An International Review.</w:t>
      </w:r>
      <w:r>
        <w:rPr>
          <w:i/>
          <w:spacing w:val="1"/>
        </w:rPr>
        <w:t> </w:t>
      </w:r>
      <w:r>
        <w:rPr>
          <w:i/>
        </w:rPr>
        <w:t>14(2)</w:t>
      </w:r>
      <w:r>
        <w:rPr>
          <w:i/>
          <w:spacing w:val="-2"/>
        </w:rPr>
        <w:t> </w:t>
      </w:r>
      <w:r>
        <w:rPr/>
        <w:t>107-125.</w:t>
      </w:r>
    </w:p>
    <w:p>
      <w:pPr>
        <w:spacing w:before="199"/>
        <w:ind w:left="1542" w:right="832" w:hanging="720"/>
        <w:jc w:val="both"/>
        <w:rPr>
          <w:sz w:val="24"/>
        </w:rPr>
      </w:pPr>
      <w:r>
        <w:rPr>
          <w:sz w:val="24"/>
        </w:rPr>
        <w:t>Barros, C. P., Boubaker, S., &amp; Hamrouni, A. (2013). Corporate governance and voluntary</w:t>
      </w:r>
      <w:r>
        <w:rPr>
          <w:spacing w:val="1"/>
          <w:sz w:val="24"/>
        </w:rPr>
        <w:t> </w:t>
      </w:r>
      <w:r>
        <w:rPr>
          <w:sz w:val="24"/>
        </w:rPr>
        <w:t>disclosure</w:t>
      </w:r>
      <w:r>
        <w:rPr>
          <w:spacing w:val="-3"/>
          <w:sz w:val="24"/>
        </w:rPr>
        <w:t> </w:t>
      </w:r>
      <w:r>
        <w:rPr>
          <w:sz w:val="24"/>
        </w:rPr>
        <w:t>in France.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 Business Research,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29(2),</w:t>
      </w:r>
      <w:r>
        <w:rPr>
          <w:i/>
          <w:spacing w:val="2"/>
          <w:sz w:val="24"/>
        </w:rPr>
        <w:t> </w:t>
      </w:r>
      <w:r>
        <w:rPr>
          <w:sz w:val="24"/>
        </w:rPr>
        <w:t>561-577.</w:t>
      </w:r>
    </w:p>
    <w:p>
      <w:pPr>
        <w:spacing w:before="200"/>
        <w:ind w:left="1542" w:right="828" w:hanging="720"/>
        <w:jc w:val="both"/>
        <w:rPr>
          <w:sz w:val="24"/>
        </w:rPr>
      </w:pPr>
      <w:r>
        <w:rPr>
          <w:sz w:val="24"/>
        </w:rPr>
        <w:t>Baskerville, R. F. (2003). Hofstede never studied culture. </w:t>
      </w:r>
      <w:r>
        <w:rPr>
          <w:i/>
          <w:sz w:val="24"/>
        </w:rPr>
        <w:t>Accounting, Organizations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28(1),</w:t>
      </w:r>
      <w:r>
        <w:rPr>
          <w:i/>
          <w:spacing w:val="-1"/>
          <w:sz w:val="24"/>
        </w:rPr>
        <w:t> </w:t>
      </w:r>
      <w:r>
        <w:rPr>
          <w:sz w:val="24"/>
        </w:rPr>
        <w:t>1-14.</w:t>
      </w:r>
    </w:p>
    <w:p>
      <w:pPr>
        <w:spacing w:before="201"/>
        <w:ind w:left="1542" w:right="829" w:hanging="720"/>
        <w:jc w:val="both"/>
        <w:rPr>
          <w:sz w:val="24"/>
        </w:rPr>
      </w:pPr>
      <w:r>
        <w:rPr>
          <w:sz w:val="24"/>
        </w:rPr>
        <w:t>Beattie,</w:t>
      </w:r>
      <w:r>
        <w:rPr>
          <w:spacing w:val="-7"/>
          <w:sz w:val="24"/>
        </w:rPr>
        <w:t> </w:t>
      </w:r>
      <w:r>
        <w:rPr>
          <w:sz w:val="24"/>
        </w:rPr>
        <w:t>V.</w:t>
      </w:r>
      <w:r>
        <w:rPr>
          <w:spacing w:val="-7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Thomas,</w:t>
      </w:r>
      <w:r>
        <w:rPr>
          <w:spacing w:val="-6"/>
          <w:sz w:val="24"/>
        </w:rPr>
        <w:t> </w:t>
      </w:r>
      <w:r>
        <w:rPr>
          <w:sz w:val="24"/>
        </w:rPr>
        <w:t>S.J.</w:t>
      </w:r>
      <w:r>
        <w:rPr>
          <w:spacing w:val="-5"/>
          <w:sz w:val="24"/>
        </w:rPr>
        <w:t> </w:t>
      </w:r>
      <w:r>
        <w:rPr>
          <w:sz w:val="24"/>
        </w:rPr>
        <w:t>(2006).</w:t>
      </w:r>
      <w:r>
        <w:rPr>
          <w:spacing w:val="-6"/>
          <w:sz w:val="24"/>
        </w:rPr>
        <w:t> </w:t>
      </w:r>
      <w:r>
        <w:rPr>
          <w:i/>
          <w:sz w:val="24"/>
        </w:rPr>
        <w:t>Lifting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Lid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Use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Analysis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Investigate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Intellectual Capital Disclosures</w:t>
      </w:r>
      <w:r>
        <w:rPr>
          <w:sz w:val="24"/>
        </w:rPr>
        <w:t>, Discussion Paper Series in Accounting and Finance,</w:t>
      </w:r>
      <w:r>
        <w:rPr>
          <w:spacing w:val="1"/>
          <w:sz w:val="24"/>
        </w:rPr>
        <w:t> </w:t>
      </w:r>
      <w:r>
        <w:rPr>
          <w:sz w:val="24"/>
        </w:rPr>
        <w:t>Heriot-Watt University, School of Management and Languages, September [online]</w:t>
      </w:r>
      <w:r>
        <w:rPr>
          <w:spacing w:val="1"/>
          <w:sz w:val="24"/>
        </w:rPr>
        <w:t> </w:t>
      </w:r>
      <w:r>
        <w:rPr>
          <w:sz w:val="24"/>
        </w:rPr>
        <w:t>http//</w:t>
      </w:r>
      <w:hyperlink r:id="rId19">
        <w:r>
          <w:rPr>
            <w:sz w:val="24"/>
          </w:rPr>
          <w:t>www.sml.hw.ac.uk.</w:t>
        </w:r>
      </w:hyperlink>
    </w:p>
    <w:p>
      <w:pPr>
        <w:pStyle w:val="BodyText"/>
        <w:spacing w:before="200"/>
        <w:ind w:left="1542" w:right="830" w:hanging="720"/>
      </w:pPr>
      <w:r>
        <w:rPr/>
        <w:t>Beattie,</w:t>
      </w:r>
      <w:r>
        <w:rPr>
          <w:spacing w:val="-5"/>
        </w:rPr>
        <w:t> </w:t>
      </w:r>
      <w:r>
        <w:rPr/>
        <w:t>V.</w:t>
      </w:r>
      <w:r>
        <w:rPr>
          <w:spacing w:val="-4"/>
        </w:rPr>
        <w:t> </w:t>
      </w:r>
      <w:r>
        <w:rPr/>
        <w:t>(2014).</w:t>
      </w:r>
      <w:r>
        <w:rPr>
          <w:spacing w:val="-6"/>
        </w:rPr>
        <w:t> </w:t>
      </w:r>
      <w:r>
        <w:rPr/>
        <w:t>Accounting</w:t>
      </w:r>
      <w:r>
        <w:rPr>
          <w:spacing w:val="-4"/>
        </w:rPr>
        <w:t> </w:t>
      </w:r>
      <w:r>
        <w:rPr/>
        <w:t>narratives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the narrative</w:t>
      </w:r>
      <w:r>
        <w:rPr>
          <w:spacing w:val="-4"/>
        </w:rPr>
        <w:t> </w:t>
      </w:r>
      <w:r>
        <w:rPr/>
        <w:t>turn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accounting</w:t>
      </w:r>
      <w:r>
        <w:rPr>
          <w:spacing w:val="-5"/>
        </w:rPr>
        <w:t> </w:t>
      </w:r>
      <w:r>
        <w:rPr/>
        <w:t>research:</w:t>
      </w:r>
      <w:r>
        <w:rPr>
          <w:spacing w:val="1"/>
        </w:rPr>
        <w:t> </w:t>
      </w:r>
      <w:r>
        <w:rPr/>
        <w:t>Issues,</w:t>
      </w:r>
      <w:r>
        <w:rPr>
          <w:spacing w:val="-58"/>
        </w:rPr>
        <w:t> </w:t>
      </w:r>
      <w:r>
        <w:rPr/>
        <w:t>theory,</w:t>
      </w:r>
      <w:r>
        <w:rPr>
          <w:spacing w:val="1"/>
        </w:rPr>
        <w:t> </w:t>
      </w:r>
      <w:r>
        <w:rPr/>
        <w:t>methodology,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 research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>
          <w:i/>
        </w:rPr>
        <w:t>The British</w:t>
      </w:r>
      <w:r>
        <w:rPr>
          <w:i/>
          <w:spacing w:val="1"/>
        </w:rPr>
        <w:t> </w:t>
      </w:r>
      <w:r>
        <w:rPr>
          <w:i/>
        </w:rPr>
        <w:t>Accounting</w:t>
      </w:r>
      <w:r>
        <w:rPr>
          <w:i/>
          <w:spacing w:val="1"/>
        </w:rPr>
        <w:t> </w:t>
      </w:r>
      <w:r>
        <w:rPr>
          <w:i/>
        </w:rPr>
        <w:t>Review,</w:t>
      </w:r>
      <w:r>
        <w:rPr>
          <w:i/>
          <w:spacing w:val="-1"/>
        </w:rPr>
        <w:t> </w:t>
      </w:r>
      <w:r>
        <w:rPr>
          <w:i/>
        </w:rPr>
        <w:t>46(2), </w:t>
      </w:r>
      <w:r>
        <w:rPr/>
        <w:t>111-134.</w:t>
      </w:r>
    </w:p>
    <w:p>
      <w:pPr>
        <w:pStyle w:val="BodyText"/>
        <w:spacing w:before="199"/>
        <w:ind w:left="1542" w:right="829" w:hanging="720"/>
      </w:pPr>
      <w:r>
        <w:rPr/>
        <w:t>Beattie, V., McInnes, B., &amp; Fearnley, S. (2004). A methodology for analysing and evaluating</w:t>
      </w:r>
      <w:r>
        <w:rPr>
          <w:spacing w:val="1"/>
        </w:rPr>
        <w:t> </w:t>
      </w:r>
      <w:r>
        <w:rPr/>
        <w:t>narratives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annual</w:t>
      </w:r>
      <w:r>
        <w:rPr>
          <w:spacing w:val="1"/>
        </w:rPr>
        <w:t> </w:t>
      </w:r>
      <w:r>
        <w:rPr/>
        <w:t>reports: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profile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metrics</w:t>
      </w:r>
      <w:r>
        <w:rPr>
          <w:spacing w:val="1"/>
        </w:rPr>
        <w:t> </w:t>
      </w:r>
      <w:r>
        <w:rPr/>
        <w:t>for</w:t>
      </w:r>
      <w:r>
        <w:rPr>
          <w:spacing w:val="-58"/>
        </w:rPr>
        <w:t> </w:t>
      </w:r>
      <w:r>
        <w:rPr/>
        <w:t>disclosure</w:t>
      </w:r>
      <w:r>
        <w:rPr>
          <w:spacing w:val="-3"/>
        </w:rPr>
        <w:t> </w:t>
      </w:r>
      <w:r>
        <w:rPr/>
        <w:t>quality attributes.</w:t>
      </w:r>
      <w:r>
        <w:rPr>
          <w:spacing w:val="1"/>
        </w:rPr>
        <w:t> </w:t>
      </w:r>
      <w:r>
        <w:rPr>
          <w:i/>
        </w:rPr>
        <w:t>Accounting Forum, 28(3),</w:t>
      </w:r>
      <w:r>
        <w:rPr>
          <w:i/>
          <w:spacing w:val="-1"/>
        </w:rPr>
        <w:t> </w:t>
      </w:r>
      <w:r>
        <w:rPr/>
        <w:t>205-236.</w:t>
      </w:r>
    </w:p>
    <w:p>
      <w:pPr>
        <w:spacing w:before="199"/>
        <w:ind w:left="1542" w:right="833" w:hanging="720"/>
        <w:jc w:val="both"/>
        <w:rPr>
          <w:sz w:val="24"/>
        </w:rPr>
      </w:pPr>
      <w:r>
        <w:rPr>
          <w:sz w:val="24"/>
        </w:rPr>
        <w:t>Bertrand, M.</w:t>
      </w:r>
      <w:r>
        <w:rPr>
          <w:spacing w:val="1"/>
          <w:sz w:val="24"/>
        </w:rPr>
        <w:t> </w:t>
      </w:r>
      <w:r>
        <w:rPr>
          <w:sz w:val="24"/>
        </w:rPr>
        <w:t>&amp; Schoar, A. (2003). Managing with style: The effect of managers on firm</w:t>
      </w:r>
      <w:r>
        <w:rPr>
          <w:spacing w:val="1"/>
          <w:sz w:val="24"/>
        </w:rPr>
        <w:t> </w:t>
      </w:r>
      <w:r>
        <w:rPr>
          <w:sz w:val="24"/>
        </w:rPr>
        <w:t>policies.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Economics. 118(2)</w:t>
      </w:r>
      <w:r>
        <w:rPr>
          <w:sz w:val="24"/>
        </w:rPr>
        <w:t>,1169-1208.</w:t>
      </w:r>
    </w:p>
    <w:p>
      <w:pPr>
        <w:pStyle w:val="BodyText"/>
        <w:spacing w:before="203"/>
        <w:ind w:left="1542" w:right="836" w:hanging="720"/>
      </w:pPr>
      <w:r>
        <w:rPr/>
        <w:t>Beyer, B. (2014). Corporate tax avoidance: Does the level of tax aggressiveness depend on</w:t>
      </w:r>
      <w:r>
        <w:rPr>
          <w:spacing w:val="1"/>
        </w:rPr>
        <w:t> </w:t>
      </w:r>
      <w:r>
        <w:rPr/>
        <w:t>economic factors. Unpublished Master’s thesis, Oulu Business School, University of</w:t>
      </w:r>
      <w:r>
        <w:rPr>
          <w:spacing w:val="1"/>
        </w:rPr>
        <w:t> </w:t>
      </w:r>
      <w:r>
        <w:rPr/>
        <w:t>Oulu.</w:t>
      </w:r>
    </w:p>
    <w:p>
      <w:pPr>
        <w:spacing w:before="199"/>
        <w:ind w:left="1542" w:right="832" w:hanging="720"/>
        <w:jc w:val="both"/>
        <w:rPr>
          <w:sz w:val="24"/>
        </w:rPr>
      </w:pPr>
      <w:r>
        <w:rPr>
          <w:sz w:val="24"/>
        </w:rPr>
        <w:t>Bhagat, S., &amp; Bolton, B. (2008). Corporate governance and firm performance.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Finance,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14</w:t>
      </w:r>
      <w:r>
        <w:rPr>
          <w:sz w:val="24"/>
        </w:rPr>
        <w:t>(1), 257-273.</w:t>
      </w:r>
    </w:p>
    <w:p>
      <w:pPr>
        <w:spacing w:before="199"/>
        <w:ind w:left="1542" w:right="830" w:hanging="720"/>
        <w:jc w:val="both"/>
        <w:rPr>
          <w:sz w:val="24"/>
        </w:rPr>
      </w:pPr>
      <w:r>
        <w:rPr>
          <w:sz w:val="24"/>
        </w:rPr>
        <w:t>Bhasa,</w:t>
      </w:r>
      <w:r>
        <w:rPr>
          <w:spacing w:val="1"/>
          <w:sz w:val="24"/>
        </w:rPr>
        <w:t> </w:t>
      </w:r>
      <w:r>
        <w:rPr>
          <w:sz w:val="24"/>
        </w:rPr>
        <w:t>M.P.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governance:</w:t>
      </w:r>
      <w:r>
        <w:rPr>
          <w:spacing w:val="1"/>
          <w:sz w:val="24"/>
        </w:rPr>
        <w:t> </w:t>
      </w:r>
      <w:r>
        <w:rPr>
          <w:sz w:val="24"/>
        </w:rPr>
        <w:t>debates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  <w:r>
        <w:rPr>
          <w:spacing w:val="1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40(2) </w:t>
      </w:r>
      <w:r>
        <w:rPr>
          <w:sz w:val="24"/>
        </w:rPr>
        <w:t>5-17</w:t>
      </w:r>
    </w:p>
    <w:p>
      <w:pPr>
        <w:pStyle w:val="BodyText"/>
        <w:spacing w:before="202"/>
        <w:ind w:left="0" w:right="10"/>
        <w:jc w:val="center"/>
      </w:pPr>
      <w:r>
        <w:rPr/>
        <w:t>Bhasin,</w:t>
      </w:r>
      <w:r>
        <w:rPr>
          <w:spacing w:val="6"/>
        </w:rPr>
        <w:t> </w:t>
      </w:r>
      <w:r>
        <w:rPr/>
        <w:t>M.L.</w:t>
      </w:r>
      <w:r>
        <w:rPr>
          <w:spacing w:val="5"/>
        </w:rPr>
        <w:t> </w:t>
      </w:r>
      <w:r>
        <w:rPr/>
        <w:t>(2011).</w:t>
      </w:r>
      <w:r>
        <w:rPr>
          <w:spacing w:val="5"/>
        </w:rPr>
        <w:t> </w:t>
      </w:r>
      <w:r>
        <w:rPr/>
        <w:t>Corporate</w:t>
      </w:r>
      <w:r>
        <w:rPr>
          <w:spacing w:val="6"/>
        </w:rPr>
        <w:t> </w:t>
      </w:r>
      <w:r>
        <w:rPr/>
        <w:t>governance</w:t>
      </w:r>
      <w:r>
        <w:rPr>
          <w:spacing w:val="7"/>
        </w:rPr>
        <w:t> </w:t>
      </w:r>
      <w:r>
        <w:rPr/>
        <w:t>disclosure</w:t>
      </w:r>
      <w:r>
        <w:rPr>
          <w:spacing w:val="4"/>
        </w:rPr>
        <w:t> </w:t>
      </w:r>
      <w:r>
        <w:rPr/>
        <w:t>practices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India:</w:t>
      </w:r>
      <w:r>
        <w:rPr>
          <w:spacing w:val="10"/>
        </w:rPr>
        <w:t> </w:t>
      </w:r>
      <w:r>
        <w:rPr/>
        <w:t>An</w:t>
      </w:r>
      <w:r>
        <w:rPr>
          <w:spacing w:val="5"/>
        </w:rPr>
        <w:t> </w:t>
      </w:r>
      <w:r>
        <w:rPr/>
        <w:t>empirical</w:t>
      </w:r>
      <w:r>
        <w:rPr>
          <w:spacing w:val="6"/>
        </w:rPr>
        <w:t> </w:t>
      </w:r>
      <w:r>
        <w:rPr/>
        <w:t>study,</w:t>
      </w:r>
    </w:p>
    <w:p>
      <w:pPr>
        <w:spacing w:before="0"/>
        <w:ind w:left="0" w:right="119" w:firstLine="0"/>
        <w:jc w:val="center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sz w:val="24"/>
        </w:rPr>
        <w:t>(IJCBS),</w:t>
      </w:r>
      <w:r>
        <w:rPr>
          <w:spacing w:val="-1"/>
          <w:sz w:val="24"/>
        </w:rPr>
        <w:t> </w:t>
      </w:r>
      <w:r>
        <w:rPr>
          <w:sz w:val="24"/>
        </w:rPr>
        <w:t>2(4)</w:t>
      </w:r>
      <w:r>
        <w:rPr>
          <w:spacing w:val="-1"/>
          <w:sz w:val="24"/>
        </w:rPr>
        <w:t> </w:t>
      </w:r>
      <w:r>
        <w:rPr>
          <w:sz w:val="24"/>
        </w:rPr>
        <w:t>34–57.</w:t>
      </w:r>
    </w:p>
    <w:p>
      <w:pPr>
        <w:spacing w:after="0"/>
        <w:jc w:val="center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30" w:hanging="720"/>
        <w:jc w:val="both"/>
        <w:rPr>
          <w:sz w:val="24"/>
        </w:rPr>
      </w:pPr>
      <w:r>
        <w:rPr>
          <w:sz w:val="24"/>
        </w:rPr>
        <w:t>Bhasin, M.L. &amp; Shaikh, J.M. (2012). Corporate governance through an audit committee an</w:t>
      </w:r>
      <w:r>
        <w:rPr>
          <w:spacing w:val="1"/>
          <w:sz w:val="24"/>
        </w:rPr>
        <w:t> </w:t>
      </w:r>
      <w:r>
        <w:rPr>
          <w:sz w:val="24"/>
        </w:rPr>
        <w:t>empirical study.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Managerial and Financial Accounting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4(4)</w:t>
      </w:r>
      <w:r>
        <w:rPr>
          <w:spacing w:val="-57"/>
          <w:sz w:val="24"/>
        </w:rPr>
        <w:t> </w:t>
      </w:r>
      <w:r>
        <w:rPr>
          <w:sz w:val="24"/>
        </w:rPr>
        <w:t>339–365.</w:t>
      </w:r>
    </w:p>
    <w:p>
      <w:pPr>
        <w:spacing w:line="218" w:lineRule="auto" w:before="194"/>
        <w:ind w:left="1542" w:right="828" w:hanging="720"/>
        <w:jc w:val="both"/>
        <w:rPr>
          <w:sz w:val="24"/>
        </w:rPr>
      </w:pPr>
      <w:r>
        <w:rPr>
          <w:sz w:val="24"/>
        </w:rPr>
        <w:t>Bhattacharyya,</w:t>
      </w:r>
      <w:r>
        <w:rPr>
          <w:spacing w:val="1"/>
          <w:sz w:val="24"/>
        </w:rPr>
        <w:t> </w:t>
      </w:r>
      <w:r>
        <w:rPr>
          <w:sz w:val="24"/>
        </w:rPr>
        <w:t>A.K.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Rao,</w:t>
      </w:r>
      <w:r>
        <w:rPr>
          <w:spacing w:val="1"/>
          <w:sz w:val="24"/>
        </w:rPr>
        <w:t> </w:t>
      </w:r>
      <w:r>
        <w:rPr>
          <w:sz w:val="24"/>
        </w:rPr>
        <w:t>S.V.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rFonts w:ascii="Yu Gothic" w:hAnsi="Yu Gothic"/>
          <w:sz w:val="25"/>
        </w:rPr>
        <w:t>‘</w:t>
      </w:r>
      <w:r>
        <w:rPr>
          <w:i/>
          <w:sz w:val="24"/>
        </w:rPr>
        <w:t>Regulation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Corporat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Governance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hyperlink r:id="rId20">
        <w:r>
          <w:rPr>
            <w:sz w:val="24"/>
          </w:rPr>
          <w:t>http://ssrn.com</w:t>
        </w:r>
      </w:hyperlink>
    </w:p>
    <w:p>
      <w:pPr>
        <w:spacing w:before="203"/>
        <w:ind w:left="1542" w:right="833" w:hanging="720"/>
        <w:jc w:val="both"/>
        <w:rPr>
          <w:sz w:val="24"/>
        </w:rPr>
      </w:pPr>
      <w:r>
        <w:rPr>
          <w:sz w:val="24"/>
        </w:rPr>
        <w:t>Bhuiyan, M.H.U. &amp; Biswas, P.K. (2007). Corporate governance and reporting: an empirical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listed companies</w:t>
      </w:r>
      <w:r>
        <w:rPr>
          <w:spacing w:val="-1"/>
          <w:sz w:val="24"/>
        </w:rPr>
        <w:t> </w:t>
      </w:r>
      <w:r>
        <w:rPr>
          <w:sz w:val="24"/>
        </w:rPr>
        <w:t>in Bangladesh.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 Studies,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28(1) </w:t>
      </w:r>
      <w:r>
        <w:rPr>
          <w:sz w:val="24"/>
        </w:rPr>
        <w:t>22-39.</w:t>
      </w:r>
    </w:p>
    <w:p>
      <w:pPr>
        <w:pStyle w:val="BodyText"/>
        <w:spacing w:before="201"/>
        <w:ind w:left="1542" w:right="834" w:hanging="720"/>
      </w:pPr>
      <w:r>
        <w:rPr/>
        <w:drawing>
          <wp:anchor distT="0" distB="0" distL="0" distR="0" allowOverlap="1" layoutInCell="1" locked="0" behindDoc="1" simplePos="0" relativeHeight="454075392">
            <wp:simplePos x="0" y="0"/>
            <wp:positionH relativeFrom="page">
              <wp:posOffset>1261605</wp:posOffset>
            </wp:positionH>
            <wp:positionV relativeFrom="paragraph">
              <wp:posOffset>216955</wp:posOffset>
            </wp:positionV>
            <wp:extent cx="5133225" cy="5265293"/>
            <wp:effectExtent l="0" t="0" r="0" b="0"/>
            <wp:wrapNone/>
            <wp:docPr id="27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Blaylock,</w:t>
      </w:r>
      <w:r>
        <w:rPr>
          <w:spacing w:val="-14"/>
        </w:rPr>
        <w:t> </w:t>
      </w:r>
      <w:r>
        <w:rPr/>
        <w:t>B.</w:t>
      </w:r>
      <w:r>
        <w:rPr>
          <w:spacing w:val="-13"/>
        </w:rPr>
        <w:t> </w:t>
      </w:r>
      <w:r>
        <w:rPr/>
        <w:t>(2012).</w:t>
      </w:r>
      <w:r>
        <w:rPr>
          <w:spacing w:val="-14"/>
        </w:rPr>
        <w:t> </w:t>
      </w:r>
      <w:r>
        <w:rPr/>
        <w:t>Do</w:t>
      </w:r>
      <w:r>
        <w:rPr>
          <w:spacing w:val="-12"/>
        </w:rPr>
        <w:t> </w:t>
      </w:r>
      <w:r>
        <w:rPr/>
        <w:t>managers</w:t>
      </w:r>
      <w:r>
        <w:rPr>
          <w:spacing w:val="-12"/>
        </w:rPr>
        <w:t> </w:t>
      </w:r>
      <w:r>
        <w:rPr/>
        <w:t>extract</w:t>
      </w:r>
      <w:r>
        <w:rPr>
          <w:spacing w:val="-13"/>
        </w:rPr>
        <w:t> </w:t>
      </w:r>
      <w:r>
        <w:rPr/>
        <w:t>economically</w:t>
      </w:r>
      <w:r>
        <w:rPr>
          <w:spacing w:val="-13"/>
        </w:rPr>
        <w:t> </w:t>
      </w:r>
      <w:r>
        <w:rPr/>
        <w:t>significant</w:t>
      </w:r>
      <w:r>
        <w:rPr>
          <w:spacing w:val="-13"/>
        </w:rPr>
        <w:t> </w:t>
      </w:r>
      <w:r>
        <w:rPr/>
        <w:t>rents</w:t>
      </w:r>
      <w:r>
        <w:rPr>
          <w:spacing w:val="-13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tax</w:t>
      </w:r>
      <w:r>
        <w:rPr>
          <w:spacing w:val="-14"/>
        </w:rPr>
        <w:t> </w:t>
      </w:r>
      <w:r>
        <w:rPr/>
        <w:t>aggressive</w:t>
      </w:r>
      <w:r>
        <w:rPr>
          <w:spacing w:val="-58"/>
        </w:rPr>
        <w:t> </w:t>
      </w:r>
      <w:r>
        <w:rPr/>
        <w:t>transactions?</w:t>
      </w:r>
      <w:r>
        <w:rPr>
          <w:spacing w:val="-2"/>
        </w:rPr>
        <w:t> </w:t>
      </w:r>
      <w:r>
        <w:rPr/>
        <w:t>Working Paper, Oklahoma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University.</w:t>
      </w:r>
    </w:p>
    <w:p>
      <w:pPr>
        <w:pStyle w:val="BodyText"/>
        <w:spacing w:before="200"/>
        <w:ind w:left="1542" w:right="838" w:hanging="720"/>
      </w:pPr>
      <w:r>
        <w:rPr/>
        <w:t>Blaylock, B., Shevlin, T., &amp; Wilson, R. J. (2012). Tax avoidance, large positive temporary</w:t>
      </w:r>
      <w:r>
        <w:rPr>
          <w:spacing w:val="1"/>
        </w:rPr>
        <w:t> </w:t>
      </w:r>
      <w:r>
        <w:rPr/>
        <w:t>book-tax</w:t>
      </w:r>
      <w:r>
        <w:rPr>
          <w:spacing w:val="-1"/>
        </w:rPr>
        <w:t> </w:t>
      </w:r>
      <w:r>
        <w:rPr/>
        <w:t>differences,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earnings</w:t>
      </w:r>
      <w:r>
        <w:rPr>
          <w:spacing w:val="-1"/>
        </w:rPr>
        <w:t> </w:t>
      </w:r>
      <w:r>
        <w:rPr/>
        <w:t>persistence.</w:t>
      </w:r>
      <w:r>
        <w:rPr>
          <w:spacing w:val="1"/>
        </w:rPr>
        <w:t> </w:t>
      </w:r>
      <w:r>
        <w:rPr>
          <w:i/>
        </w:rPr>
        <w:t>Accounting</w:t>
      </w:r>
      <w:r>
        <w:rPr>
          <w:i/>
          <w:spacing w:val="-1"/>
        </w:rPr>
        <w:t> </w:t>
      </w:r>
      <w:r>
        <w:rPr>
          <w:i/>
        </w:rPr>
        <w:t>Review, 87</w:t>
      </w:r>
      <w:r>
        <w:rPr/>
        <w:t>(1),</w:t>
      </w:r>
      <w:r>
        <w:rPr>
          <w:spacing w:val="1"/>
        </w:rPr>
        <w:t> </w:t>
      </w:r>
      <w:r>
        <w:rPr/>
        <w:t>91-120.</w:t>
      </w:r>
    </w:p>
    <w:p>
      <w:pPr>
        <w:pStyle w:val="BodyText"/>
        <w:spacing w:before="200"/>
        <w:ind w:left="1542" w:right="831" w:hanging="720"/>
      </w:pPr>
      <w:r>
        <w:rPr/>
        <w:t>Boesso, G. &amp; Kumar, K. (2007). Drivers of corporate voluntary disclosure: a framework and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Italy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Accounting,</w:t>
      </w:r>
      <w:r>
        <w:rPr>
          <w:spacing w:val="1"/>
        </w:rPr>
        <w:t> </w:t>
      </w:r>
      <w:r>
        <w:rPr/>
        <w:t>Auditing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Accountability</w:t>
      </w:r>
      <w:r>
        <w:rPr>
          <w:spacing w:val="-1"/>
        </w:rPr>
        <w:t> </w:t>
      </w:r>
      <w:r>
        <w:rPr/>
        <w:t>Journal, 30(2)</w:t>
      </w:r>
      <w:r>
        <w:rPr>
          <w:spacing w:val="-2"/>
        </w:rPr>
        <w:t> </w:t>
      </w:r>
      <w:r>
        <w:rPr/>
        <w:t>269-96.</w:t>
      </w:r>
    </w:p>
    <w:p>
      <w:pPr>
        <w:spacing w:before="201"/>
        <w:ind w:left="1542" w:right="834" w:hanging="720"/>
        <w:jc w:val="both"/>
        <w:rPr>
          <w:sz w:val="24"/>
        </w:rPr>
      </w:pPr>
      <w:r>
        <w:rPr>
          <w:sz w:val="24"/>
        </w:rPr>
        <w:t>Boris, S. and Ana (2008) The role of audit committee in corporate governance, extended</w:t>
      </w:r>
      <w:r>
        <w:rPr>
          <w:spacing w:val="1"/>
          <w:sz w:val="24"/>
        </w:rPr>
        <w:t> </w:t>
      </w:r>
      <w:r>
        <w:rPr>
          <w:sz w:val="24"/>
        </w:rPr>
        <w:t>abstract,</w:t>
      </w:r>
      <w:r>
        <w:rPr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Faculty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Sarajevo, pp.19–22.</w:t>
      </w:r>
    </w:p>
    <w:p>
      <w:pPr>
        <w:pStyle w:val="BodyText"/>
        <w:spacing w:before="200"/>
        <w:ind w:left="1542" w:right="826" w:hanging="720"/>
      </w:pPr>
      <w:r>
        <w:rPr/>
        <w:t>Botoson, C. (1997). Disclosure Level and the Cost of Equity Capital, </w:t>
      </w:r>
      <w:r>
        <w:rPr>
          <w:i/>
        </w:rPr>
        <w:t>Accounting Review </w:t>
      </w:r>
      <w:r>
        <w:rPr/>
        <w:t>72:</w:t>
      </w:r>
      <w:r>
        <w:rPr>
          <w:spacing w:val="1"/>
        </w:rPr>
        <w:t> </w:t>
      </w:r>
      <w:r>
        <w:rPr/>
        <w:t>323-349.</w:t>
      </w:r>
    </w:p>
    <w:p>
      <w:pPr>
        <w:pStyle w:val="BodyText"/>
        <w:spacing w:before="199"/>
        <w:ind w:left="1542" w:right="832" w:hanging="720"/>
      </w:pPr>
      <w:r>
        <w:rPr/>
        <w:t>Boussaidi,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Hamed,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tax</w:t>
      </w:r>
      <w:r>
        <w:rPr>
          <w:spacing w:val="-57"/>
        </w:rPr>
        <w:t> </w:t>
      </w:r>
      <w:r>
        <w:rPr/>
        <w:t>aggressiveness: Empirical evidence from Tunisian context. </w:t>
      </w:r>
      <w:r>
        <w:rPr>
          <w:i/>
        </w:rPr>
        <w:t>Journal of Asian Business</w:t>
      </w:r>
      <w:r>
        <w:rPr>
          <w:i/>
          <w:spacing w:val="1"/>
        </w:rPr>
        <w:t> </w:t>
      </w:r>
      <w:r>
        <w:rPr>
          <w:i/>
        </w:rPr>
        <w:t>Strategy,</w:t>
      </w:r>
      <w:r>
        <w:rPr>
          <w:i/>
          <w:spacing w:val="-1"/>
        </w:rPr>
        <w:t> </w:t>
      </w:r>
      <w:r>
        <w:rPr>
          <w:i/>
        </w:rPr>
        <w:t>5</w:t>
      </w:r>
      <w:r>
        <w:rPr/>
        <w:t>(1), 1-12.</w:t>
      </w:r>
    </w:p>
    <w:p>
      <w:pPr>
        <w:pStyle w:val="BodyText"/>
        <w:spacing w:before="202"/>
        <w:ind w:left="1542" w:right="830" w:hanging="660"/>
      </w:pPr>
      <w:r>
        <w:rPr/>
        <w:pict>
          <v:shape style="position:absolute;margin-left:88.104004pt;margin-top:10.143122pt;width:450.7pt;height:27.5pt;mso-position-horizontal-relative:page;mso-position-vertical-relative:paragraph;z-index:-49240576" coordorigin="1762,203" coordsize="9014,550" path="m10776,203l1762,203,1762,479,2422,479,2422,752,10776,752,10776,479,10776,203xe" filled="true" fillcolor="#ffffff" stroked="false">
            <v:path arrowok="t"/>
            <v:fill type="solid"/>
            <w10:wrap type="none"/>
          </v:shape>
        </w:pict>
      </w:r>
      <w:r>
        <w:rPr/>
        <w:t>Brickley, A. Coles, L. and Linck, S. (1999). What Happens to CEOs After They Retire? New</w:t>
      </w:r>
      <w:r>
        <w:rPr>
          <w:spacing w:val="1"/>
        </w:rPr>
        <w:t> </w:t>
      </w:r>
      <w:r>
        <w:rPr/>
        <w:t>Evidence on Career Concerns, Horizon Problems, and CEO Incentives. Journal of</w:t>
      </w:r>
      <w:r>
        <w:rPr>
          <w:spacing w:val="1"/>
        </w:rPr>
        <w:t> </w:t>
      </w:r>
      <w:r>
        <w:rPr>
          <w:shd w:fill="FFFFFF" w:color="auto" w:val="clear"/>
        </w:rPr>
        <w:t>Financial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Economics (JFE), 52(2) 12-34.</w:t>
      </w:r>
    </w:p>
    <w:p>
      <w:pPr>
        <w:pStyle w:val="BodyText"/>
        <w:spacing w:before="199"/>
        <w:ind w:left="1542" w:right="836" w:hanging="720"/>
      </w:pPr>
      <w:r>
        <w:rPr/>
        <w:t>Brown, K. Drake,T and Martin, L (2016). The benefits of a relational approach to corporate</w:t>
      </w:r>
      <w:r>
        <w:rPr>
          <w:spacing w:val="1"/>
        </w:rPr>
        <w:t> </w:t>
      </w:r>
      <w:r>
        <w:rPr>
          <w:spacing w:val="-1"/>
        </w:rPr>
        <w:t>political</w:t>
      </w:r>
      <w:r>
        <w:rPr>
          <w:spacing w:val="-14"/>
        </w:rPr>
        <w:t> </w:t>
      </w:r>
      <w:r>
        <w:rPr>
          <w:spacing w:val="-1"/>
        </w:rPr>
        <w:t>activity:</w:t>
      </w:r>
      <w:r>
        <w:rPr>
          <w:spacing w:val="-14"/>
        </w:rPr>
        <w:t> </w:t>
      </w:r>
      <w:r>
        <w:rPr/>
        <w:t>Evidence</w:t>
      </w:r>
      <w:r>
        <w:rPr>
          <w:spacing w:val="-16"/>
        </w:rPr>
        <w:t> </w:t>
      </w:r>
      <w:r>
        <w:rPr/>
        <w:t>from</w:t>
      </w:r>
      <w:r>
        <w:rPr>
          <w:spacing w:val="-14"/>
        </w:rPr>
        <w:t> </w:t>
      </w:r>
      <w:r>
        <w:rPr/>
        <w:t>political</w:t>
      </w:r>
      <w:r>
        <w:rPr>
          <w:spacing w:val="-14"/>
        </w:rPr>
        <w:t> </w:t>
      </w:r>
      <w:r>
        <w:rPr/>
        <w:t>contributions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tax</w:t>
      </w:r>
      <w:r>
        <w:rPr>
          <w:spacing w:val="-15"/>
        </w:rPr>
        <w:t> </w:t>
      </w:r>
      <w:r>
        <w:rPr/>
        <w:t>policymakers.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Journal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American Taxation</w:t>
      </w:r>
      <w:r>
        <w:rPr>
          <w:spacing w:val="1"/>
        </w:rPr>
        <w:t> </w:t>
      </w:r>
      <w:r>
        <w:rPr/>
        <w:t>Association, 37:69– 102</w:t>
      </w:r>
    </w:p>
    <w:p>
      <w:pPr>
        <w:pStyle w:val="BodyText"/>
        <w:spacing w:before="199"/>
        <w:ind w:left="1542" w:right="833" w:hanging="720"/>
      </w:pPr>
      <w:r>
        <w:rPr/>
        <w:t>Bruce,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Deskins,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Fox,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extended,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consequences of state business tax planning, in Taxing corporate income in the 21</w:t>
      </w:r>
      <w:r>
        <w:rPr>
          <w:spacing w:val="1"/>
        </w:rPr>
        <w:t> </w:t>
      </w:r>
      <w:r>
        <w:rPr/>
        <w:t>century.</w:t>
      </w:r>
      <w:r>
        <w:rPr>
          <w:spacing w:val="-1"/>
        </w:rPr>
        <w:t> </w:t>
      </w:r>
      <w:r>
        <w:rPr/>
        <w:t>Cambridge</w:t>
      </w:r>
      <w:r>
        <w:rPr>
          <w:spacing w:val="-1"/>
        </w:rPr>
        <w:t> </w:t>
      </w:r>
      <w:r>
        <w:rPr/>
        <w:t>university press.</w:t>
      </w:r>
    </w:p>
    <w:p>
      <w:pPr>
        <w:spacing w:before="200"/>
        <w:ind w:left="1542" w:right="830" w:hanging="720"/>
        <w:jc w:val="both"/>
        <w:rPr>
          <w:sz w:val="24"/>
        </w:rPr>
      </w:pPr>
      <w:r>
        <w:rPr>
          <w:sz w:val="24"/>
        </w:rPr>
        <w:t>Buijink, W., Janssen, B., &amp; Schols, Y. (2002). Evidence of the effect of domicile on corporate</w:t>
      </w:r>
      <w:r>
        <w:rPr>
          <w:spacing w:val="-57"/>
          <w:sz w:val="24"/>
        </w:rPr>
        <w:t> </w:t>
      </w:r>
      <w:r>
        <w:rPr>
          <w:sz w:val="24"/>
        </w:rPr>
        <w:t>average</w:t>
      </w:r>
      <w:r>
        <w:rPr>
          <w:spacing w:val="-7"/>
          <w:sz w:val="24"/>
        </w:rPr>
        <w:t> </w:t>
      </w:r>
      <w:r>
        <w:rPr>
          <w:sz w:val="24"/>
        </w:rPr>
        <w:t>effective</w:t>
      </w:r>
      <w:r>
        <w:rPr>
          <w:spacing w:val="-7"/>
          <w:sz w:val="24"/>
        </w:rPr>
        <w:t> </w:t>
      </w:r>
      <w:r>
        <w:rPr>
          <w:sz w:val="24"/>
        </w:rPr>
        <w:t>tax</w:t>
      </w:r>
      <w:r>
        <w:rPr>
          <w:spacing w:val="-7"/>
          <w:sz w:val="24"/>
        </w:rPr>
        <w:t> </w:t>
      </w:r>
      <w:r>
        <w:rPr>
          <w:sz w:val="24"/>
        </w:rPr>
        <w:t>rates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European</w:t>
      </w:r>
      <w:r>
        <w:rPr>
          <w:spacing w:val="-6"/>
          <w:sz w:val="24"/>
        </w:rPr>
        <w:t> </w:t>
      </w:r>
      <w:r>
        <w:rPr>
          <w:sz w:val="24"/>
        </w:rPr>
        <w:t>Union.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Accounting,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Auditing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 Taxation,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(1), 115-130.</w:t>
      </w:r>
    </w:p>
    <w:p>
      <w:pPr>
        <w:spacing w:before="202"/>
        <w:ind w:left="1542" w:right="830" w:hanging="720"/>
        <w:jc w:val="both"/>
        <w:rPr>
          <w:sz w:val="24"/>
        </w:rPr>
      </w:pPr>
      <w:r>
        <w:rPr>
          <w:sz w:val="24"/>
        </w:rPr>
        <w:t>Burton, J.C. (1981). Emerging Trends in Financial Reporting, </w:t>
      </w:r>
      <w:r>
        <w:rPr>
          <w:i/>
          <w:sz w:val="24"/>
        </w:rPr>
        <w:t>Journal of Accountancy, </w:t>
      </w:r>
      <w:r>
        <w:rPr>
          <w:sz w:val="24"/>
        </w:rPr>
        <w:t>July:</w:t>
      </w:r>
      <w:r>
        <w:rPr>
          <w:spacing w:val="1"/>
          <w:sz w:val="24"/>
        </w:rPr>
        <w:t> </w:t>
      </w:r>
      <w:r>
        <w:rPr>
          <w:sz w:val="24"/>
        </w:rPr>
        <w:t>54-66.</w:t>
      </w:r>
    </w:p>
    <w:p>
      <w:pPr>
        <w:pStyle w:val="BodyText"/>
        <w:spacing w:before="199"/>
        <w:ind w:left="1542" w:right="838" w:hanging="720"/>
      </w:pPr>
      <w:r>
        <w:rPr/>
        <w:t>Bushman, R., &amp; Smith, A. (2003). Transparency, Financial Accounting Information, and</w:t>
      </w:r>
      <w:r>
        <w:rPr>
          <w:spacing w:val="1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Governance. Economic</w:t>
      </w:r>
      <w:r>
        <w:rPr>
          <w:spacing w:val="-1"/>
        </w:rPr>
        <w:t> </w:t>
      </w:r>
      <w:r>
        <w:rPr/>
        <w:t>Policy Review. 9(3)</w:t>
      </w:r>
      <w:r>
        <w:rPr>
          <w:spacing w:val="-2"/>
        </w:rPr>
        <w:t> </w:t>
      </w:r>
      <w:r>
        <w:rPr/>
        <w:t>65-87.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28" w:hanging="720"/>
        <w:jc w:val="both"/>
        <w:rPr>
          <w:sz w:val="24"/>
        </w:rPr>
      </w:pPr>
      <w:r>
        <w:rPr>
          <w:sz w:val="24"/>
        </w:rPr>
        <w:t>Cadbury Code (1992). </w:t>
      </w:r>
      <w:r>
        <w:rPr>
          <w:i/>
          <w:sz w:val="24"/>
        </w:rPr>
        <w:t>The Report of the Committee on the Financial Aspects of Corporate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Governance: The Code of Best Practices</w:t>
      </w:r>
      <w:r>
        <w:rPr>
          <w:sz w:val="24"/>
        </w:rPr>
        <w:t>, Gee Professional Publishing, London, pp.1–</w:t>
      </w:r>
      <w:r>
        <w:rPr>
          <w:spacing w:val="1"/>
          <w:sz w:val="24"/>
        </w:rPr>
        <w:t> </w:t>
      </w:r>
      <w:r>
        <w:rPr>
          <w:sz w:val="24"/>
        </w:rPr>
        <w:t>90</w:t>
      </w:r>
      <w:r>
        <w:rPr>
          <w:spacing w:val="-1"/>
          <w:sz w:val="24"/>
        </w:rPr>
        <w:t> </w:t>
      </w:r>
      <w:r>
        <w:rPr>
          <w:sz w:val="24"/>
        </w:rPr>
        <w:t>[online] </w:t>
      </w:r>
      <w:hyperlink r:id="rId21">
        <w:r>
          <w:rPr>
            <w:sz w:val="24"/>
          </w:rPr>
          <w:t>http://www.icaew.com.</w:t>
        </w:r>
      </w:hyperlink>
    </w:p>
    <w:p>
      <w:pPr>
        <w:pStyle w:val="BodyText"/>
        <w:spacing w:before="202"/>
        <w:jc w:val="left"/>
      </w:pPr>
      <w:r>
        <w:rPr/>
        <w:t>Cadbury,</w:t>
      </w:r>
      <w:r>
        <w:rPr>
          <w:spacing w:val="-4"/>
        </w:rPr>
        <w:t> </w:t>
      </w:r>
      <w:r>
        <w:rPr/>
        <w:t>A.</w:t>
      </w:r>
      <w:r>
        <w:rPr>
          <w:spacing w:val="-3"/>
        </w:rPr>
        <w:t> </w:t>
      </w:r>
      <w:r>
        <w:rPr/>
        <w:t>(1992).</w:t>
      </w:r>
      <w:r>
        <w:rPr>
          <w:spacing w:val="-5"/>
        </w:rPr>
        <w:t> </w:t>
      </w:r>
      <w:r>
        <w:rPr/>
        <w:t>Report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committee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aspects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corporate</w:t>
      </w:r>
      <w:r>
        <w:rPr>
          <w:spacing w:val="-3"/>
        </w:rPr>
        <w:t> </w:t>
      </w:r>
      <w:r>
        <w:rPr/>
        <w:t>governance.</w:t>
      </w:r>
    </w:p>
    <w:p>
      <w:pPr>
        <w:pStyle w:val="BodyText"/>
        <w:ind w:left="1542"/>
        <w:jc w:val="left"/>
      </w:pPr>
      <w:r>
        <w:rPr/>
        <w:t>London:</w:t>
      </w:r>
      <w:r>
        <w:rPr>
          <w:spacing w:val="-2"/>
        </w:rPr>
        <w:t> </w:t>
      </w:r>
      <w:r>
        <w:rPr/>
        <w:t>Gee.</w:t>
      </w:r>
    </w:p>
    <w:p>
      <w:pPr>
        <w:spacing w:before="200"/>
        <w:ind w:left="1542" w:right="832" w:hanging="720"/>
        <w:jc w:val="both"/>
        <w:rPr>
          <w:i/>
          <w:sz w:val="24"/>
        </w:rPr>
      </w:pPr>
      <w:r>
        <w:rPr>
          <w:sz w:val="24"/>
        </w:rPr>
        <w:t>Callihan, D. S. (1994). Corporate effective tax rates: A synthesis of the literature.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Literature, 12</w:t>
      </w:r>
      <w:r>
        <w:rPr>
          <w:sz w:val="24"/>
        </w:rPr>
        <w:t>(1), 26-43</w:t>
      </w:r>
      <w:r>
        <w:rPr>
          <w:i/>
          <w:sz w:val="24"/>
        </w:rPr>
        <w:t>.</w:t>
      </w:r>
    </w:p>
    <w:p>
      <w:pPr>
        <w:pStyle w:val="BodyText"/>
        <w:spacing w:before="199"/>
        <w:ind w:left="1542" w:right="834" w:hanging="720"/>
      </w:pPr>
      <w:r>
        <w:rPr/>
        <w:drawing>
          <wp:anchor distT="0" distB="0" distL="0" distR="0" allowOverlap="1" layoutInCell="1" locked="0" behindDoc="1" simplePos="0" relativeHeight="454076416">
            <wp:simplePos x="0" y="0"/>
            <wp:positionH relativeFrom="page">
              <wp:posOffset>1261605</wp:posOffset>
            </wp:positionH>
            <wp:positionV relativeFrom="paragraph">
              <wp:posOffset>296457</wp:posOffset>
            </wp:positionV>
            <wp:extent cx="5133225" cy="5265293"/>
            <wp:effectExtent l="0" t="0" r="0" b="0"/>
            <wp:wrapNone/>
            <wp:docPr id="27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21.099998pt;margin-top:23.793114pt;width:417.7pt;height:13.8pt;mso-position-horizontal-relative:page;mso-position-vertical-relative:paragraph;z-index:-49239552" filled="true" fillcolor="#ffffff" stroked="false">
            <v:fill type="solid"/>
            <w10:wrap type="none"/>
          </v:rect>
        </w:pict>
      </w:r>
      <w:r>
        <w:rPr/>
        <w:t>Cassell, S, Huang, S &amp; Sanchez, J. (2013). CEO Inside Debt Incentives and Corporate Tax</w:t>
      </w:r>
      <w:r>
        <w:rPr>
          <w:spacing w:val="1"/>
        </w:rPr>
        <w:t> </w:t>
      </w:r>
      <w:r>
        <w:rPr/>
        <w:t>Sheltering.  </w:t>
      </w:r>
      <w:r>
        <w:rPr>
          <w:spacing w:val="1"/>
        </w:rPr>
        <w:t> </w:t>
      </w:r>
      <w:r>
        <w:rPr/>
        <w:t>Journal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Accounting  </w:t>
      </w:r>
      <w:r>
        <w:rPr>
          <w:spacing w:val="1"/>
        </w:rPr>
        <w:t> </w:t>
      </w:r>
      <w:r>
        <w:rPr/>
        <w:t>Research,  </w:t>
      </w:r>
      <w:r>
        <w:rPr>
          <w:spacing w:val="1"/>
        </w:rPr>
        <w:t> </w:t>
      </w:r>
      <w:r>
        <w:rPr/>
        <w:t>Forthcoming.  </w:t>
      </w:r>
      <w:r>
        <w:rPr>
          <w:spacing w:val="1"/>
        </w:rPr>
        <w:t> </w:t>
      </w:r>
      <w:r>
        <w:rPr/>
        <w:t>Available    at</w:t>
      </w:r>
      <w:r>
        <w:rPr>
          <w:spacing w:val="1"/>
        </w:rPr>
        <w:t> </w:t>
      </w:r>
      <w:r>
        <w:rPr/>
        <w:t>SSRN:</w:t>
      </w:r>
      <w:r>
        <w:rPr>
          <w:spacing w:val="-1"/>
        </w:rPr>
        <w:t> </w:t>
      </w:r>
      <w:hyperlink r:id="rId22">
        <w:r>
          <w:rPr/>
          <w:t>https://ssrn.com/abstract=2915106</w:t>
        </w:r>
      </w:hyperlink>
    </w:p>
    <w:p>
      <w:pPr>
        <w:spacing w:before="202"/>
        <w:ind w:left="1542" w:right="832" w:hanging="720"/>
        <w:jc w:val="both"/>
        <w:rPr>
          <w:sz w:val="24"/>
        </w:rPr>
      </w:pPr>
      <w:r>
        <w:rPr>
          <w:sz w:val="24"/>
        </w:rPr>
        <w:t>Chadefaux,</w:t>
      </w:r>
      <w:r>
        <w:rPr>
          <w:spacing w:val="-9"/>
          <w:sz w:val="24"/>
        </w:rPr>
        <w:t> </w:t>
      </w:r>
      <w:r>
        <w:rPr>
          <w:sz w:val="24"/>
        </w:rPr>
        <w:t>M.,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Rossignol,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11"/>
          <w:sz w:val="24"/>
        </w:rPr>
        <w:t> </w:t>
      </w:r>
      <w:r>
        <w:rPr>
          <w:sz w:val="24"/>
        </w:rPr>
        <w:t>L.</w:t>
      </w:r>
      <w:r>
        <w:rPr>
          <w:spacing w:val="-10"/>
          <w:sz w:val="24"/>
        </w:rPr>
        <w:t> </w:t>
      </w:r>
      <w:r>
        <w:rPr>
          <w:sz w:val="24"/>
        </w:rPr>
        <w:t>(2006).</w:t>
      </w:r>
      <w:r>
        <w:rPr>
          <w:spacing w:val="-12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effective</w:t>
      </w:r>
      <w:r>
        <w:rPr>
          <w:spacing w:val="-12"/>
          <w:sz w:val="24"/>
        </w:rPr>
        <w:t> </w:t>
      </w:r>
      <w:r>
        <w:rPr>
          <w:sz w:val="24"/>
        </w:rPr>
        <w:t>tax</w:t>
      </w:r>
      <w:r>
        <w:rPr>
          <w:spacing w:val="-8"/>
          <w:sz w:val="24"/>
        </w:rPr>
        <w:t> </w:t>
      </w:r>
      <w:r>
        <w:rPr>
          <w:sz w:val="24"/>
        </w:rPr>
        <w:t>rate.</w:t>
      </w:r>
      <w:r>
        <w:rPr>
          <w:spacing w:val="-6"/>
          <w:sz w:val="24"/>
        </w:rPr>
        <w:t> </w:t>
      </w:r>
      <w:r>
        <w:rPr>
          <w:i/>
          <w:sz w:val="24"/>
        </w:rPr>
        <w:t>French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Accounting,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386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8-10.</w:t>
      </w:r>
    </w:p>
    <w:p>
      <w:pPr>
        <w:spacing w:before="199"/>
        <w:ind w:left="1542" w:right="831" w:hanging="720"/>
        <w:jc w:val="both"/>
        <w:rPr>
          <w:sz w:val="24"/>
        </w:rPr>
      </w:pPr>
      <w:r>
        <w:rPr>
          <w:sz w:val="24"/>
        </w:rPr>
        <w:t>Chahine,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Filatochev,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disclosure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board</w:t>
      </w:r>
      <w:r>
        <w:rPr>
          <w:spacing w:val="1"/>
          <w:sz w:val="24"/>
        </w:rPr>
        <w:t> </w:t>
      </w:r>
      <w:r>
        <w:rPr>
          <w:sz w:val="24"/>
        </w:rPr>
        <w:t>independence on IPO discounts. </w:t>
      </w:r>
      <w:r>
        <w:rPr>
          <w:i/>
          <w:sz w:val="24"/>
        </w:rPr>
        <w:t>The Journal of Small Business Management</w:t>
      </w:r>
      <w:r>
        <w:rPr>
          <w:sz w:val="24"/>
        </w:rPr>
        <w:t>, Vol. 46,</w:t>
      </w:r>
      <w:r>
        <w:rPr>
          <w:spacing w:val="1"/>
          <w:sz w:val="24"/>
        </w:rPr>
        <w:t> </w:t>
      </w:r>
      <w:r>
        <w:rPr>
          <w:sz w:val="24"/>
        </w:rPr>
        <w:t>No. 2, pp.219–241.</w:t>
      </w:r>
    </w:p>
    <w:p>
      <w:pPr>
        <w:pStyle w:val="BodyText"/>
        <w:spacing w:before="200"/>
        <w:jc w:val="left"/>
      </w:pPr>
      <w:r>
        <w:rPr/>
        <w:t>Chakrabarti,</w:t>
      </w:r>
      <w:r>
        <w:rPr>
          <w:spacing w:val="2"/>
        </w:rPr>
        <w:t> </w:t>
      </w:r>
      <w:r>
        <w:rPr/>
        <w:t>R.,</w:t>
      </w:r>
      <w:r>
        <w:rPr>
          <w:spacing w:val="63"/>
        </w:rPr>
        <w:t> </w:t>
      </w:r>
      <w:r>
        <w:rPr/>
        <w:t>Megginson,W.</w:t>
      </w:r>
      <w:r>
        <w:rPr>
          <w:spacing w:val="63"/>
        </w:rPr>
        <w:t> </w:t>
      </w:r>
      <w:r>
        <w:rPr/>
        <w:t>&amp;</w:t>
      </w:r>
      <w:r>
        <w:rPr>
          <w:spacing w:val="61"/>
        </w:rPr>
        <w:t> </w:t>
      </w:r>
      <w:r>
        <w:rPr/>
        <w:t>Yadav,</w:t>
      </w:r>
      <w:r>
        <w:rPr>
          <w:spacing w:val="61"/>
        </w:rPr>
        <w:t> </w:t>
      </w:r>
      <w:r>
        <w:rPr/>
        <w:t>P.K.</w:t>
      </w:r>
      <w:r>
        <w:rPr>
          <w:spacing w:val="62"/>
        </w:rPr>
        <w:t> </w:t>
      </w:r>
      <w:r>
        <w:rPr/>
        <w:t>(2008).</w:t>
      </w:r>
      <w:r>
        <w:rPr>
          <w:spacing w:val="61"/>
        </w:rPr>
        <w:t> </w:t>
      </w:r>
      <w:r>
        <w:rPr/>
        <w:t>Corporate</w:t>
      </w:r>
      <w:r>
        <w:rPr>
          <w:spacing w:val="62"/>
        </w:rPr>
        <w:t> </w:t>
      </w:r>
      <w:r>
        <w:rPr/>
        <w:t>Governance</w:t>
      </w:r>
      <w:r>
        <w:rPr>
          <w:spacing w:val="60"/>
        </w:rPr>
        <w:t> </w:t>
      </w:r>
      <w:r>
        <w:rPr/>
        <w:t>in</w:t>
      </w:r>
      <w:r>
        <w:rPr>
          <w:spacing w:val="65"/>
        </w:rPr>
        <w:t> </w:t>
      </w:r>
      <w:r>
        <w:rPr/>
        <w:t>India’,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Corporate Finance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Winter, 20(1),</w:t>
      </w:r>
      <w:r>
        <w:rPr>
          <w:spacing w:val="-2"/>
          <w:sz w:val="24"/>
        </w:rPr>
        <w:t> </w:t>
      </w:r>
      <w:r>
        <w:rPr>
          <w:sz w:val="24"/>
        </w:rPr>
        <w:t>59–72.</w:t>
      </w:r>
    </w:p>
    <w:p>
      <w:pPr>
        <w:spacing w:before="201"/>
        <w:ind w:left="1542" w:right="831" w:hanging="720"/>
        <w:jc w:val="both"/>
        <w:rPr>
          <w:sz w:val="24"/>
        </w:rPr>
      </w:pPr>
      <w:r>
        <w:rPr>
          <w:sz w:val="24"/>
        </w:rPr>
        <w:t>Charema, J. (2004). </w:t>
      </w:r>
      <w:r>
        <w:rPr>
          <w:i/>
          <w:sz w:val="24"/>
        </w:rPr>
        <w:t>Preparing your Dissertation at a distance: A research guide. </w:t>
      </w:r>
      <w:r>
        <w:rPr>
          <w:sz w:val="24"/>
        </w:rPr>
        <w:t>Vancouver:</w:t>
      </w:r>
      <w:r>
        <w:rPr>
          <w:spacing w:val="1"/>
          <w:sz w:val="24"/>
        </w:rPr>
        <w:t> </w:t>
      </w:r>
      <w:r>
        <w:rPr>
          <w:sz w:val="24"/>
        </w:rPr>
        <w:t>Virtual</w:t>
      </w:r>
      <w:r>
        <w:rPr>
          <w:spacing w:val="-1"/>
          <w:sz w:val="24"/>
        </w:rPr>
        <w:t> </w:t>
      </w:r>
      <w:r>
        <w:rPr>
          <w:sz w:val="24"/>
        </w:rPr>
        <w:t>University Press.</w:t>
      </w:r>
    </w:p>
    <w:p>
      <w:pPr>
        <w:spacing w:before="199"/>
        <w:ind w:left="1542" w:right="830" w:hanging="720"/>
        <w:jc w:val="both"/>
        <w:rPr>
          <w:sz w:val="24"/>
        </w:rPr>
      </w:pPr>
      <w:r>
        <w:rPr>
          <w:sz w:val="24"/>
        </w:rPr>
        <w:t>Chee, S., Choi, W., Shin, J. (2017). The non-linear relationship between CEO compensation</w:t>
      </w:r>
      <w:r>
        <w:rPr>
          <w:spacing w:val="1"/>
          <w:sz w:val="24"/>
        </w:rPr>
        <w:t> </w:t>
      </w:r>
      <w:r>
        <w:rPr>
          <w:sz w:val="24"/>
        </w:rPr>
        <w:t>incentives and corporate tax avoidance. </w:t>
      </w:r>
      <w:r>
        <w:rPr>
          <w:i/>
          <w:sz w:val="24"/>
        </w:rPr>
        <w:t>The Journal of Applied Business Research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33(3),</w:t>
      </w:r>
      <w:r>
        <w:rPr>
          <w:spacing w:val="-1"/>
          <w:sz w:val="24"/>
        </w:rPr>
        <w:t> </w:t>
      </w:r>
      <w:r>
        <w:rPr>
          <w:sz w:val="24"/>
        </w:rPr>
        <w:t>439-450.</w:t>
      </w:r>
    </w:p>
    <w:p>
      <w:pPr>
        <w:pStyle w:val="BodyText"/>
        <w:spacing w:before="200"/>
        <w:ind w:left="1542" w:right="837" w:hanging="720"/>
      </w:pPr>
      <w:r>
        <w:rPr/>
        <w:t>Chen, K., &amp; Chu, (2005). Internal control versus external manipulation: A model of corporate</w:t>
      </w:r>
      <w:r>
        <w:rPr>
          <w:spacing w:val="-57"/>
        </w:rPr>
        <w:t> </w:t>
      </w:r>
      <w:r>
        <w:rPr/>
        <w:t>income</w:t>
      </w:r>
      <w:r>
        <w:rPr>
          <w:spacing w:val="-2"/>
        </w:rPr>
        <w:t> </w:t>
      </w:r>
      <w:r>
        <w:rPr/>
        <w:t>tax evasion.</w:t>
      </w:r>
      <w:r>
        <w:rPr>
          <w:spacing w:val="1"/>
        </w:rPr>
        <w:t> </w:t>
      </w:r>
      <w:r>
        <w:rPr>
          <w:i/>
        </w:rPr>
        <w:t>RAND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Economics,</w:t>
      </w:r>
      <w:r>
        <w:rPr>
          <w:i/>
          <w:spacing w:val="2"/>
        </w:rPr>
        <w:t> </w:t>
      </w:r>
      <w:r>
        <w:rPr>
          <w:i/>
        </w:rPr>
        <w:t>36(</w:t>
      </w:r>
      <w:r>
        <w:rPr/>
        <w:t>1), 151-164.</w:t>
      </w:r>
    </w:p>
    <w:p>
      <w:pPr>
        <w:pStyle w:val="BodyText"/>
        <w:spacing w:before="202"/>
        <w:ind w:left="1542" w:right="833" w:hanging="720"/>
      </w:pPr>
      <w:r>
        <w:rPr/>
        <w:t>Chen, S., &amp; Chen, X., Cheng, Q., &amp; Shevlin, T. (2008). Are family firms more or less tax</w:t>
      </w:r>
      <w:r>
        <w:rPr>
          <w:spacing w:val="1"/>
        </w:rPr>
        <w:t> </w:t>
      </w:r>
      <w:r>
        <w:rPr/>
        <w:t>aggressive?</w:t>
      </w:r>
      <w:r>
        <w:rPr>
          <w:spacing w:val="1"/>
          <w:shd w:fill="FFFFFF" w:color="auto" w:val="clear"/>
        </w:rPr>
        <w:t> </w:t>
      </w:r>
      <w:r>
        <w:rPr>
          <w:shd w:fill="FFFFFF" w:color="auto" w:val="clear"/>
        </w:rPr>
        <w:t>Available at SSRN: </w:t>
      </w:r>
      <w:hyperlink r:id="rId18">
        <w:r>
          <w:rPr>
            <w:shd w:fill="FFFFFF" w:color="auto" w:val="clear"/>
          </w:rPr>
          <w:t>https://ssrn.com/abstract=1343600</w:t>
        </w:r>
      </w:hyperlink>
    </w:p>
    <w:p>
      <w:pPr>
        <w:pStyle w:val="BodyText"/>
        <w:spacing w:before="199"/>
        <w:ind w:left="1542" w:right="835" w:hanging="720"/>
      </w:pPr>
      <w:r>
        <w:rPr/>
        <w:t>Chen, S., Chen, X., Cheng, Q., &amp; Shevlin, T. (2007). Ownership and tax aggressiveness.</w:t>
      </w:r>
      <w:r>
        <w:rPr>
          <w:spacing w:val="1"/>
        </w:rPr>
        <w:t> </w:t>
      </w:r>
      <w:r>
        <w:rPr/>
        <w:t>Working Paper, University of Washington Business School and University of British</w:t>
      </w:r>
      <w:r>
        <w:rPr>
          <w:spacing w:val="1"/>
        </w:rPr>
        <w:t> </w:t>
      </w:r>
      <w:r>
        <w:rPr/>
        <w:t>Columbia.</w:t>
      </w:r>
    </w:p>
    <w:p>
      <w:pPr>
        <w:spacing w:before="200"/>
        <w:ind w:left="1542" w:right="830" w:hanging="720"/>
        <w:jc w:val="both"/>
        <w:rPr>
          <w:sz w:val="24"/>
        </w:rPr>
      </w:pPr>
      <w:r>
        <w:rPr>
          <w:sz w:val="24"/>
        </w:rPr>
        <w:t>Chen,</w:t>
      </w:r>
      <w:r>
        <w:rPr>
          <w:spacing w:val="-11"/>
          <w:sz w:val="24"/>
        </w:rPr>
        <w:t> </w:t>
      </w:r>
      <w:r>
        <w:rPr>
          <w:sz w:val="24"/>
        </w:rPr>
        <w:t>S.,</w:t>
      </w:r>
      <w:r>
        <w:rPr>
          <w:spacing w:val="-10"/>
          <w:sz w:val="24"/>
        </w:rPr>
        <w:t> </w:t>
      </w:r>
      <w:r>
        <w:rPr>
          <w:sz w:val="24"/>
        </w:rPr>
        <w:t>Chen,</w:t>
      </w:r>
      <w:r>
        <w:rPr>
          <w:spacing w:val="-10"/>
          <w:sz w:val="24"/>
        </w:rPr>
        <w:t> </w:t>
      </w:r>
      <w:r>
        <w:rPr>
          <w:sz w:val="24"/>
        </w:rPr>
        <w:t>X.,</w:t>
      </w:r>
      <w:r>
        <w:rPr>
          <w:spacing w:val="-11"/>
          <w:sz w:val="24"/>
        </w:rPr>
        <w:t> </w:t>
      </w:r>
      <w:r>
        <w:rPr>
          <w:sz w:val="24"/>
        </w:rPr>
        <w:t>Cheng,</w:t>
      </w:r>
      <w:r>
        <w:rPr>
          <w:spacing w:val="-10"/>
          <w:sz w:val="24"/>
        </w:rPr>
        <w:t> </w:t>
      </w:r>
      <w:r>
        <w:rPr>
          <w:sz w:val="24"/>
        </w:rPr>
        <w:t>Q.,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Shevlin,</w:t>
      </w:r>
      <w:r>
        <w:rPr>
          <w:spacing w:val="-10"/>
          <w:sz w:val="24"/>
        </w:rPr>
        <w:t> </w:t>
      </w:r>
      <w:r>
        <w:rPr>
          <w:sz w:val="24"/>
        </w:rPr>
        <w:t>T.</w:t>
      </w:r>
      <w:r>
        <w:rPr>
          <w:spacing w:val="-8"/>
          <w:sz w:val="24"/>
        </w:rPr>
        <w:t> </w:t>
      </w:r>
      <w:r>
        <w:rPr>
          <w:sz w:val="24"/>
        </w:rPr>
        <w:t>(2013).</w:t>
      </w:r>
      <w:r>
        <w:rPr>
          <w:spacing w:val="-11"/>
          <w:sz w:val="24"/>
        </w:rPr>
        <w:t> </w:t>
      </w:r>
      <w:r>
        <w:rPr>
          <w:sz w:val="24"/>
        </w:rPr>
        <w:t>Are</w:t>
      </w:r>
      <w:r>
        <w:rPr>
          <w:spacing w:val="-11"/>
          <w:sz w:val="24"/>
        </w:rPr>
        <w:t> </w:t>
      </w:r>
      <w:r>
        <w:rPr>
          <w:sz w:val="24"/>
        </w:rPr>
        <w:t>family</w:t>
      </w:r>
      <w:r>
        <w:rPr>
          <w:spacing w:val="-10"/>
          <w:sz w:val="24"/>
        </w:rPr>
        <w:t> </w:t>
      </w:r>
      <w:r>
        <w:rPr>
          <w:sz w:val="24"/>
        </w:rPr>
        <w:t>firms</w:t>
      </w:r>
      <w:r>
        <w:rPr>
          <w:spacing w:val="-10"/>
          <w:sz w:val="24"/>
        </w:rPr>
        <w:t> </w:t>
      </w:r>
      <w:r>
        <w:rPr>
          <w:sz w:val="24"/>
        </w:rPr>
        <w:t>more</w:t>
      </w:r>
      <w:r>
        <w:rPr>
          <w:spacing w:val="-9"/>
          <w:sz w:val="24"/>
        </w:rPr>
        <w:t> </w:t>
      </w:r>
      <w:r>
        <w:rPr>
          <w:sz w:val="24"/>
        </w:rPr>
        <w:t>tax</w:t>
      </w:r>
      <w:r>
        <w:rPr>
          <w:spacing w:val="-11"/>
          <w:sz w:val="24"/>
        </w:rPr>
        <w:t> </w:t>
      </w:r>
      <w:r>
        <w:rPr>
          <w:sz w:val="24"/>
        </w:rPr>
        <w:t>aggressive</w:t>
      </w:r>
      <w:r>
        <w:rPr>
          <w:spacing w:val="-6"/>
          <w:sz w:val="24"/>
        </w:rPr>
        <w:t> </w:t>
      </w:r>
      <w:r>
        <w:rPr>
          <w:sz w:val="24"/>
        </w:rPr>
        <w:t>then</w:t>
      </w:r>
      <w:r>
        <w:rPr>
          <w:spacing w:val="-57"/>
          <w:sz w:val="24"/>
        </w:rPr>
        <w:t> </w:t>
      </w:r>
      <w:r>
        <w:rPr>
          <w:sz w:val="24"/>
        </w:rPr>
        <w:t>non-family</w:t>
      </w:r>
      <w:r>
        <w:rPr>
          <w:spacing w:val="-1"/>
          <w:sz w:val="24"/>
        </w:rPr>
        <w:t> </w:t>
      </w:r>
      <w:r>
        <w:rPr>
          <w:sz w:val="24"/>
        </w:rPr>
        <w:t>firms? </w:t>
      </w:r>
      <w:r>
        <w:rPr>
          <w:i/>
          <w:sz w:val="24"/>
        </w:rPr>
        <w:t>Journal of Financial 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95</w:t>
      </w:r>
      <w:r>
        <w:rPr>
          <w:sz w:val="24"/>
        </w:rPr>
        <w:t>(1), 41-61.</w:t>
      </w:r>
    </w:p>
    <w:p>
      <w:pPr>
        <w:pStyle w:val="BodyText"/>
        <w:spacing w:before="199"/>
        <w:ind w:left="1542" w:right="833" w:hanging="720"/>
      </w:pPr>
      <w:r>
        <w:rPr/>
        <w:t>Chytis,</w:t>
      </w:r>
      <w:r>
        <w:rPr>
          <w:spacing w:val="-7"/>
        </w:rPr>
        <w:t> </w:t>
      </w:r>
      <w:r>
        <w:rPr/>
        <w:t>E.,</w:t>
      </w:r>
      <w:r>
        <w:rPr>
          <w:spacing w:val="-6"/>
        </w:rPr>
        <w:t> </w:t>
      </w:r>
      <w:r>
        <w:rPr/>
        <w:t>Tasios,</w:t>
      </w:r>
      <w:r>
        <w:rPr>
          <w:spacing w:val="-9"/>
        </w:rPr>
        <w:t> </w:t>
      </w:r>
      <w:r>
        <w:rPr/>
        <w:t>S.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Filos,</w:t>
      </w:r>
      <w:r>
        <w:rPr>
          <w:spacing w:val="-7"/>
        </w:rPr>
        <w:t> </w:t>
      </w:r>
      <w:r>
        <w:rPr/>
        <w:t>I.</w:t>
      </w:r>
      <w:r>
        <w:rPr>
          <w:spacing w:val="-6"/>
        </w:rPr>
        <w:t> </w:t>
      </w:r>
      <w:r>
        <w:rPr/>
        <w:t>(2020).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mechanisms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tax</w:t>
      </w:r>
      <w:r>
        <w:rPr>
          <w:spacing w:val="-58"/>
        </w:rPr>
        <w:t> </w:t>
      </w:r>
      <w:r>
        <w:rPr/>
        <w:t>planning during financial crisis: an empirical study of companies listed on the Athens</w:t>
      </w:r>
      <w:r>
        <w:rPr>
          <w:spacing w:val="1"/>
        </w:rPr>
        <w:t> </w:t>
      </w:r>
      <w:r>
        <w:rPr/>
        <w:t>stock</w:t>
      </w:r>
      <w:r>
        <w:rPr>
          <w:spacing w:val="-1"/>
        </w:rPr>
        <w:t> </w:t>
      </w:r>
      <w:r>
        <w:rPr/>
        <w:t>exchange. </w:t>
      </w:r>
      <w:r>
        <w:rPr>
          <w:i/>
        </w:rPr>
        <w:t>Int J</w:t>
      </w:r>
      <w:r>
        <w:rPr>
          <w:i/>
          <w:spacing w:val="-2"/>
        </w:rPr>
        <w:t> </w:t>
      </w:r>
      <w:r>
        <w:rPr>
          <w:i/>
        </w:rPr>
        <w:t>Discl Gov</w:t>
      </w:r>
      <w:r>
        <w:rPr>
          <w:i/>
          <w:spacing w:val="-1"/>
        </w:rPr>
        <w:t> </w:t>
      </w:r>
      <w:r>
        <w:rPr>
          <w:b/>
        </w:rPr>
        <w:t>17(1)</w:t>
      </w:r>
      <w:r>
        <w:rPr>
          <w:b/>
          <w:spacing w:val="-2"/>
        </w:rPr>
        <w:t> </w:t>
      </w:r>
      <w:r>
        <w:rPr/>
        <w:t>30–38</w:t>
      </w:r>
    </w:p>
    <w:p>
      <w:pPr>
        <w:pStyle w:val="BodyText"/>
        <w:spacing w:before="202"/>
        <w:ind w:left="1542" w:right="834" w:hanging="720"/>
      </w:pPr>
      <w:r>
        <w:rPr/>
        <w:t>Chyz, J., &amp; Gaertner, F. (2018). Can paying “too much” or “too little” tax contribute to forced</w:t>
      </w:r>
      <w:r>
        <w:rPr>
          <w:spacing w:val="-57"/>
        </w:rPr>
        <w:t> </w:t>
      </w:r>
      <w:r>
        <w:rPr/>
        <w:t>CEO</w:t>
      </w:r>
      <w:r>
        <w:rPr>
          <w:spacing w:val="-2"/>
        </w:rPr>
        <w:t> </w:t>
      </w:r>
      <w:r>
        <w:rPr/>
        <w:t>turnover</w:t>
      </w:r>
      <w:r>
        <w:rPr>
          <w:i/>
        </w:rPr>
        <w:t>? The</w:t>
      </w:r>
      <w:r>
        <w:rPr>
          <w:i/>
          <w:spacing w:val="-1"/>
        </w:rPr>
        <w:t> </w:t>
      </w:r>
      <w:r>
        <w:rPr>
          <w:i/>
        </w:rPr>
        <w:t>Accounting Review 93</w:t>
      </w:r>
      <w:r>
        <w:rPr/>
        <w:t>(1): 103-130.</w:t>
      </w:r>
    </w:p>
    <w:p>
      <w:pPr>
        <w:pStyle w:val="BodyText"/>
        <w:spacing w:before="199"/>
        <w:ind w:left="1542" w:right="829" w:hanging="720"/>
      </w:pPr>
      <w:r>
        <w:rPr/>
        <w:t>Clarkson,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Bueren,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Walker,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Remuneration</w:t>
      </w:r>
      <w:r>
        <w:rPr>
          <w:spacing w:val="1"/>
        </w:rPr>
        <w:t> </w:t>
      </w:r>
      <w:r>
        <w:rPr/>
        <w:t>Disclosure Quality:</w:t>
      </w:r>
      <w:r>
        <w:rPr>
          <w:spacing w:val="1"/>
        </w:rPr>
        <w:t> </w:t>
      </w:r>
      <w:r>
        <w:rPr/>
        <w:t>Corporate Responses to an Evolving Disclosure Environment.</w:t>
      </w:r>
      <w:r>
        <w:rPr>
          <w:spacing w:val="1"/>
        </w:rPr>
        <w:t> </w:t>
      </w:r>
      <w:r>
        <w:rPr/>
        <w:t>Accounting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Finance.</w:t>
      </w:r>
      <w:r>
        <w:rPr>
          <w:spacing w:val="2"/>
        </w:rPr>
        <w:t> </w:t>
      </w:r>
      <w:r>
        <w:rPr/>
        <w:t>46(2) 771-796.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30" w:hanging="720"/>
        <w:jc w:val="both"/>
        <w:rPr>
          <w:sz w:val="24"/>
        </w:rPr>
      </w:pPr>
      <w:r>
        <w:rPr>
          <w:sz w:val="24"/>
        </w:rPr>
        <w:t>Collett,</w:t>
      </w:r>
      <w:r>
        <w:rPr>
          <w:spacing w:val="-13"/>
          <w:sz w:val="24"/>
        </w:rPr>
        <w:t> </w:t>
      </w:r>
      <w:r>
        <w:rPr>
          <w:sz w:val="24"/>
        </w:rPr>
        <w:t>P.</w:t>
      </w:r>
      <w:r>
        <w:rPr>
          <w:spacing w:val="-15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Hrasky,</w:t>
      </w:r>
      <w:r>
        <w:rPr>
          <w:spacing w:val="-13"/>
          <w:sz w:val="24"/>
        </w:rPr>
        <w:t> </w:t>
      </w:r>
      <w:r>
        <w:rPr>
          <w:sz w:val="24"/>
        </w:rPr>
        <w:t>S.</w:t>
      </w:r>
      <w:r>
        <w:rPr>
          <w:spacing w:val="-12"/>
          <w:sz w:val="24"/>
        </w:rPr>
        <w:t> </w:t>
      </w:r>
      <w:r>
        <w:rPr>
          <w:sz w:val="24"/>
        </w:rPr>
        <w:t>(2005)</w:t>
      </w:r>
      <w:r>
        <w:rPr>
          <w:spacing w:val="-14"/>
          <w:sz w:val="24"/>
        </w:rPr>
        <w:t> </w:t>
      </w:r>
      <w:r>
        <w:rPr>
          <w:sz w:val="24"/>
        </w:rPr>
        <w:t>Voluntary</w:t>
      </w:r>
      <w:r>
        <w:rPr>
          <w:spacing w:val="-13"/>
          <w:sz w:val="24"/>
        </w:rPr>
        <w:t> </w:t>
      </w:r>
      <w:r>
        <w:rPr>
          <w:sz w:val="24"/>
        </w:rPr>
        <w:t>disclosure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corporate</w:t>
      </w:r>
      <w:r>
        <w:rPr>
          <w:spacing w:val="-14"/>
          <w:sz w:val="24"/>
        </w:rPr>
        <w:t> </w:t>
      </w:r>
      <w:r>
        <w:rPr>
          <w:sz w:val="24"/>
        </w:rPr>
        <w:t>governance</w:t>
      </w:r>
      <w:r>
        <w:rPr>
          <w:spacing w:val="-14"/>
          <w:sz w:val="24"/>
        </w:rPr>
        <w:t> </w:t>
      </w:r>
      <w:r>
        <w:rPr>
          <w:sz w:val="24"/>
        </w:rPr>
        <w:t>practices</w:t>
      </w:r>
      <w:r>
        <w:rPr>
          <w:spacing w:val="-13"/>
          <w:sz w:val="24"/>
        </w:rPr>
        <w:t> </w:t>
      </w:r>
      <w:r>
        <w:rPr>
          <w:sz w:val="24"/>
        </w:rPr>
        <w:t>by</w:t>
      </w:r>
      <w:r>
        <w:rPr>
          <w:spacing w:val="-12"/>
          <w:sz w:val="24"/>
        </w:rPr>
        <w:t> </w:t>
      </w:r>
      <w:r>
        <w:rPr>
          <w:sz w:val="24"/>
        </w:rPr>
        <w:t>listed</w:t>
      </w:r>
      <w:r>
        <w:rPr>
          <w:spacing w:val="-58"/>
          <w:sz w:val="24"/>
        </w:rPr>
        <w:t> </w:t>
      </w:r>
      <w:r>
        <w:rPr>
          <w:sz w:val="24"/>
        </w:rPr>
        <w:t>Australian companies, </w:t>
      </w:r>
      <w:r>
        <w:rPr>
          <w:i/>
          <w:sz w:val="24"/>
        </w:rPr>
        <w:t>Journal of Corporate Governance: An International Review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13(2)</w:t>
      </w:r>
      <w:r>
        <w:rPr>
          <w:spacing w:val="-2"/>
          <w:sz w:val="24"/>
        </w:rPr>
        <w:t> </w:t>
      </w:r>
      <w:r>
        <w:rPr>
          <w:sz w:val="24"/>
        </w:rPr>
        <w:t>188–196.</w:t>
      </w:r>
    </w:p>
    <w:p>
      <w:pPr>
        <w:spacing w:before="202"/>
        <w:ind w:left="1542" w:right="831" w:hanging="720"/>
        <w:jc w:val="both"/>
        <w:rPr>
          <w:sz w:val="24"/>
        </w:rPr>
      </w:pPr>
      <w:r>
        <w:rPr>
          <w:sz w:val="24"/>
        </w:rPr>
        <w:t>Coughlan. A. &amp; R. Schmidt, (1985). Executive compensation, management turnover, and firm</w:t>
      </w:r>
      <w:r>
        <w:rPr>
          <w:spacing w:val="-57"/>
          <w:sz w:val="24"/>
        </w:rPr>
        <w:t> </w:t>
      </w:r>
      <w:r>
        <w:rPr>
          <w:sz w:val="24"/>
        </w:rPr>
        <w:t>performance: An empirical investigation. </w:t>
      </w:r>
      <w:r>
        <w:rPr>
          <w:i/>
          <w:sz w:val="24"/>
        </w:rPr>
        <w:t>Journal of Accounting and Economics </w:t>
      </w:r>
      <w:r>
        <w:rPr>
          <w:sz w:val="24"/>
        </w:rPr>
        <w:t>7(2),</w:t>
      </w:r>
      <w:r>
        <w:rPr>
          <w:spacing w:val="1"/>
          <w:sz w:val="24"/>
        </w:rPr>
        <w:t> </w:t>
      </w:r>
      <w:r>
        <w:rPr>
          <w:sz w:val="24"/>
        </w:rPr>
        <w:t>43-66.</w:t>
      </w:r>
    </w:p>
    <w:p>
      <w:pPr>
        <w:pStyle w:val="BodyText"/>
        <w:spacing w:before="200"/>
        <w:ind w:left="0" w:right="12"/>
        <w:jc w:val="center"/>
      </w:pPr>
      <w:r>
        <w:rPr/>
        <w:t>Croci,</w:t>
      </w:r>
      <w:r>
        <w:rPr>
          <w:spacing w:val="58"/>
        </w:rPr>
        <w:t> </w:t>
      </w:r>
      <w:r>
        <w:rPr/>
        <w:t>E.</w:t>
      </w:r>
      <w:r>
        <w:rPr>
          <w:spacing w:val="58"/>
        </w:rPr>
        <w:t> </w:t>
      </w:r>
      <w:r>
        <w:rPr/>
        <w:t>&amp;</w:t>
      </w:r>
      <w:r>
        <w:rPr>
          <w:spacing w:val="58"/>
        </w:rPr>
        <w:t> </w:t>
      </w:r>
      <w:r>
        <w:rPr/>
        <w:t>Doukas,</w:t>
      </w:r>
      <w:r>
        <w:rPr>
          <w:spacing w:val="59"/>
        </w:rPr>
        <w:t> </w:t>
      </w:r>
      <w:r>
        <w:rPr/>
        <w:t>J</w:t>
      </w:r>
      <w:r>
        <w:rPr>
          <w:spacing w:val="55"/>
        </w:rPr>
        <w:t> </w:t>
      </w:r>
      <w:r>
        <w:rPr/>
        <w:t>&amp;</w:t>
      </w:r>
      <w:r>
        <w:rPr>
          <w:spacing w:val="59"/>
        </w:rPr>
        <w:t> </w:t>
      </w:r>
      <w:r>
        <w:rPr/>
        <w:t>Gonenc,</w:t>
      </w:r>
      <w:r>
        <w:rPr>
          <w:spacing w:val="58"/>
        </w:rPr>
        <w:t> </w:t>
      </w:r>
      <w:r>
        <w:rPr/>
        <w:t>H.</w:t>
      </w:r>
      <w:r>
        <w:rPr>
          <w:spacing w:val="57"/>
        </w:rPr>
        <w:t> </w:t>
      </w:r>
      <w:r>
        <w:rPr/>
        <w:t>(2017).</w:t>
      </w:r>
      <w:r>
        <w:rPr>
          <w:spacing w:val="58"/>
        </w:rPr>
        <w:t> </w:t>
      </w:r>
      <w:r>
        <w:rPr/>
        <w:t>Family</w:t>
      </w:r>
      <w:r>
        <w:rPr>
          <w:spacing w:val="58"/>
        </w:rPr>
        <w:t> </w:t>
      </w:r>
      <w:r>
        <w:rPr/>
        <w:t>Control</w:t>
      </w:r>
      <w:r>
        <w:rPr>
          <w:spacing w:val="59"/>
        </w:rPr>
        <w:t> </w:t>
      </w:r>
      <w:r>
        <w:rPr/>
        <w:t>and</w:t>
      </w:r>
      <w:r>
        <w:rPr>
          <w:spacing w:val="56"/>
        </w:rPr>
        <w:t> </w:t>
      </w:r>
      <w:r>
        <w:rPr/>
        <w:t>Financing</w:t>
      </w:r>
      <w:r>
        <w:rPr>
          <w:spacing w:val="58"/>
        </w:rPr>
        <w:t> </w:t>
      </w:r>
      <w:r>
        <w:rPr/>
        <w:t>Decisions.</w:t>
      </w:r>
    </w:p>
    <w:p>
      <w:pPr>
        <w:pStyle w:val="BodyText"/>
        <w:ind w:left="1542"/>
        <w:jc w:val="left"/>
      </w:pPr>
      <w:r>
        <w:rPr/>
        <w:t>European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Management.</w:t>
      </w:r>
      <w:r>
        <w:rPr>
          <w:spacing w:val="-1"/>
        </w:rPr>
        <w:t> </w:t>
      </w:r>
      <w:r>
        <w:rPr/>
        <w:t>17(2)</w:t>
      </w:r>
      <w:r>
        <w:rPr>
          <w:spacing w:val="-1"/>
        </w:rPr>
        <w:t> </w:t>
      </w:r>
      <w:r>
        <w:rPr/>
        <w:t>860</w:t>
      </w:r>
      <w:r>
        <w:rPr>
          <w:spacing w:val="3"/>
        </w:rPr>
        <w:t> </w:t>
      </w:r>
      <w:r>
        <w:rPr/>
        <w:t>-</w:t>
      </w:r>
      <w:r>
        <w:rPr>
          <w:spacing w:val="-2"/>
        </w:rPr>
        <w:t> </w:t>
      </w:r>
      <w:r>
        <w:rPr/>
        <w:t>897.</w:t>
      </w:r>
    </w:p>
    <w:p>
      <w:pPr>
        <w:spacing w:before="199"/>
        <w:ind w:left="1542" w:right="828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77440">
            <wp:simplePos x="0" y="0"/>
            <wp:positionH relativeFrom="page">
              <wp:posOffset>1261605</wp:posOffset>
            </wp:positionH>
            <wp:positionV relativeFrom="paragraph">
              <wp:posOffset>121197</wp:posOffset>
            </wp:positionV>
            <wp:extent cx="5133225" cy="5265293"/>
            <wp:effectExtent l="0" t="0" r="0" b="0"/>
            <wp:wrapNone/>
            <wp:docPr id="27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Crocker, K., &amp; Slemrod, J. (2005). Corporate tax evasion with agency costs. </w:t>
      </w:r>
      <w:r>
        <w:rPr>
          <w:i/>
          <w:sz w:val="24"/>
        </w:rPr>
        <w:t>Journal of Public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89</w:t>
      </w:r>
      <w:r>
        <w:rPr>
          <w:sz w:val="24"/>
        </w:rPr>
        <w:t>(9-10), 1593-1610.</w:t>
      </w:r>
    </w:p>
    <w:p>
      <w:pPr>
        <w:pStyle w:val="BodyText"/>
        <w:spacing w:before="202"/>
        <w:ind w:left="1542" w:right="833" w:hanging="720"/>
      </w:pPr>
      <w:r>
        <w:rPr/>
        <w:t>Cromme,</w:t>
      </w:r>
      <w:r>
        <w:rPr>
          <w:spacing w:val="-10"/>
        </w:rPr>
        <w:t> </w:t>
      </w:r>
      <w:r>
        <w:rPr/>
        <w:t>G</w:t>
      </w:r>
      <w:r>
        <w:rPr>
          <w:spacing w:val="-10"/>
        </w:rPr>
        <w:t> </w:t>
      </w:r>
      <w:r>
        <w:rPr/>
        <w:t>(2005).</w:t>
      </w:r>
      <w:r>
        <w:rPr>
          <w:spacing w:val="-10"/>
        </w:rPr>
        <w:t> </w:t>
      </w:r>
      <w:r>
        <w:rPr/>
        <w:t>Corporate</w:t>
      </w:r>
      <w:r>
        <w:rPr>
          <w:spacing w:val="-10"/>
        </w:rPr>
        <w:t> </w:t>
      </w:r>
      <w:r>
        <w:rPr/>
        <w:t>Governance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Germany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German</w:t>
      </w:r>
      <w:r>
        <w:rPr>
          <w:spacing w:val="-10"/>
        </w:rPr>
        <w:t> </w:t>
      </w:r>
      <w:r>
        <w:rPr/>
        <w:t>Corporate</w:t>
      </w:r>
      <w:r>
        <w:rPr>
          <w:spacing w:val="-10"/>
        </w:rPr>
        <w:t> </w:t>
      </w:r>
      <w:r>
        <w:rPr/>
        <w:t>Governance</w:t>
      </w:r>
      <w:r>
        <w:rPr>
          <w:spacing w:val="-57"/>
        </w:rPr>
        <w:t> </w:t>
      </w:r>
      <w:r>
        <w:rPr/>
        <w:t>Code.</w:t>
      </w:r>
      <w:r>
        <w:rPr>
          <w:spacing w:val="59"/>
        </w:rPr>
        <w:t> </w:t>
      </w:r>
      <w:r>
        <w:rPr/>
        <w:t>Retrieved from onlinelibrary.wiley.com</w:t>
      </w:r>
    </w:p>
    <w:p>
      <w:pPr>
        <w:spacing w:before="199"/>
        <w:ind w:left="1542" w:right="831" w:hanging="720"/>
        <w:jc w:val="both"/>
        <w:rPr>
          <w:sz w:val="24"/>
        </w:rPr>
      </w:pPr>
      <w:r>
        <w:rPr>
          <w:sz w:val="24"/>
        </w:rPr>
        <w:t>Croson, R., &amp; Gneezy, U. (2009). Gender differences in preferences. </w:t>
      </w:r>
      <w:r>
        <w:rPr>
          <w:i/>
          <w:sz w:val="24"/>
        </w:rPr>
        <w:t>Journal of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Literature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47</w:t>
      </w:r>
      <w:r>
        <w:rPr>
          <w:sz w:val="24"/>
        </w:rPr>
        <w:t>(1), 448-474.</w:t>
      </w:r>
    </w:p>
    <w:p>
      <w:pPr>
        <w:pStyle w:val="BodyText"/>
        <w:spacing w:before="200"/>
        <w:ind w:left="820" w:right="834"/>
        <w:jc w:val="center"/>
      </w:pPr>
      <w:r>
        <w:rPr>
          <w:spacing w:val="-1"/>
        </w:rPr>
        <w:t>Darmadi,</w:t>
      </w:r>
      <w:r>
        <w:rPr>
          <w:spacing w:val="-14"/>
        </w:rPr>
        <w:t> </w:t>
      </w:r>
      <w:r>
        <w:rPr/>
        <w:t>S.</w:t>
      </w:r>
      <w:r>
        <w:rPr>
          <w:spacing w:val="-12"/>
        </w:rPr>
        <w:t> </w:t>
      </w:r>
      <w:r>
        <w:rPr/>
        <w:t>(2013).</w:t>
      </w:r>
      <w:r>
        <w:rPr>
          <w:spacing w:val="-15"/>
        </w:rPr>
        <w:t> </w:t>
      </w:r>
      <w:r>
        <w:rPr/>
        <w:t>Corporate</w:t>
      </w:r>
      <w:r>
        <w:rPr>
          <w:spacing w:val="-15"/>
        </w:rPr>
        <w:t> </w:t>
      </w:r>
      <w:r>
        <w:rPr/>
        <w:t>governance</w:t>
      </w:r>
      <w:r>
        <w:rPr>
          <w:spacing w:val="-14"/>
        </w:rPr>
        <w:t> </w:t>
      </w:r>
      <w:r>
        <w:rPr/>
        <w:t>disclosure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annual</w:t>
      </w:r>
      <w:r>
        <w:rPr>
          <w:spacing w:val="-14"/>
        </w:rPr>
        <w:t> </w:t>
      </w:r>
      <w:r>
        <w:rPr/>
        <w:t>report:</w:t>
      </w:r>
      <w:r>
        <w:rPr>
          <w:spacing w:val="-12"/>
        </w:rPr>
        <w:t> </w:t>
      </w:r>
      <w:r>
        <w:rPr/>
        <w:t>An</w:t>
      </w:r>
      <w:r>
        <w:rPr>
          <w:spacing w:val="-14"/>
        </w:rPr>
        <w:t> </w:t>
      </w:r>
      <w:r>
        <w:rPr/>
        <w:t>exploratory</w:t>
      </w:r>
      <w:r>
        <w:rPr>
          <w:spacing w:val="-15"/>
        </w:rPr>
        <w:t> </w:t>
      </w:r>
      <w:r>
        <w:rPr/>
        <w:t>study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Indonesian</w:t>
      </w:r>
      <w:r>
        <w:rPr>
          <w:spacing w:val="1"/>
        </w:rPr>
        <w:t> </w:t>
      </w:r>
      <w:r>
        <w:rPr/>
        <w:t>Islamic banks. Humanomics, 29(1),</w:t>
      </w:r>
      <w:r>
        <w:rPr>
          <w:spacing w:val="1"/>
        </w:rPr>
        <w:t> </w:t>
      </w:r>
      <w:r>
        <w:rPr/>
        <w:t>4-23. Eng, L. L., &amp;</w:t>
      </w:r>
      <w:r>
        <w:rPr>
          <w:spacing w:val="-1"/>
        </w:rPr>
        <w:t> </w:t>
      </w:r>
      <w:r>
        <w:rPr/>
        <w:t>Mak, Y.</w:t>
      </w:r>
    </w:p>
    <w:p>
      <w:pPr>
        <w:pStyle w:val="BodyText"/>
        <w:spacing w:before="201"/>
        <w:ind w:left="1542" w:right="835" w:hanging="720"/>
      </w:pPr>
      <w:r>
        <w:rPr/>
        <w:t>De Waegenaere, A., Richard, S., &amp; Jacco, W. (2010). Financial accounting measures of tax</w:t>
      </w:r>
      <w:r>
        <w:rPr>
          <w:spacing w:val="1"/>
        </w:rPr>
        <w:t> </w:t>
      </w:r>
      <w:r>
        <w:rPr/>
        <w:t>reporting</w:t>
      </w:r>
      <w:r>
        <w:rPr>
          <w:spacing w:val="-2"/>
        </w:rPr>
        <w:t> </w:t>
      </w:r>
      <w:r>
        <w:rPr/>
        <w:t>aggressiveness.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SSRN:</w:t>
      </w:r>
      <w:r>
        <w:rPr>
          <w:spacing w:val="-2"/>
        </w:rPr>
        <w:t> </w:t>
      </w:r>
      <w:hyperlink r:id="rId23">
        <w:r>
          <w:rPr/>
          <w:t>http://ssrn.com/abstract=1697536</w:t>
        </w:r>
      </w:hyperlink>
    </w:p>
    <w:p>
      <w:pPr>
        <w:pStyle w:val="BodyText"/>
        <w:spacing w:before="199"/>
        <w:ind w:left="0" w:right="15"/>
        <w:jc w:val="center"/>
      </w:pPr>
      <w:r>
        <w:rPr/>
        <w:t>Demirguc-Kunt,</w:t>
      </w:r>
      <w:r>
        <w:rPr>
          <w:spacing w:val="27"/>
        </w:rPr>
        <w:t> </w:t>
      </w:r>
      <w:r>
        <w:rPr/>
        <w:t>A.,</w:t>
      </w:r>
      <w:r>
        <w:rPr>
          <w:spacing w:val="29"/>
        </w:rPr>
        <w:t> </w:t>
      </w:r>
      <w:r>
        <w:rPr/>
        <w:t>&amp;</w:t>
      </w:r>
      <w:r>
        <w:rPr>
          <w:spacing w:val="28"/>
        </w:rPr>
        <w:t> </w:t>
      </w:r>
      <w:r>
        <w:rPr/>
        <w:t>Huizinza,</w:t>
      </w:r>
      <w:r>
        <w:rPr>
          <w:spacing w:val="27"/>
        </w:rPr>
        <w:t> </w:t>
      </w:r>
      <w:r>
        <w:rPr/>
        <w:t>H.</w:t>
      </w:r>
      <w:r>
        <w:rPr>
          <w:spacing w:val="29"/>
        </w:rPr>
        <w:t> </w:t>
      </w:r>
      <w:r>
        <w:rPr/>
        <w:t>(2001).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taxation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domestic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foreign</w:t>
      </w:r>
      <w:r>
        <w:rPr>
          <w:spacing w:val="28"/>
        </w:rPr>
        <w:t> </w:t>
      </w:r>
      <w:r>
        <w:rPr/>
        <w:t>banking.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79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429-453.</w:t>
      </w:r>
    </w:p>
    <w:p>
      <w:pPr>
        <w:spacing w:before="200"/>
        <w:ind w:left="1542" w:right="826" w:hanging="720"/>
        <w:jc w:val="both"/>
        <w:rPr>
          <w:sz w:val="24"/>
        </w:rPr>
      </w:pPr>
      <w:r>
        <w:rPr>
          <w:sz w:val="24"/>
        </w:rPr>
        <w:t>Derashid, C., &amp; Zhang, H. (2003). Effective tax rates and the "industrial policy" hypothesis:</w:t>
      </w:r>
      <w:r>
        <w:rPr>
          <w:spacing w:val="1"/>
          <w:sz w:val="24"/>
        </w:rPr>
        <w:t> </w:t>
      </w:r>
      <w:r>
        <w:rPr>
          <w:sz w:val="24"/>
        </w:rPr>
        <w:t>Evidence from Malaysia. </w:t>
      </w:r>
      <w:r>
        <w:rPr>
          <w:i/>
          <w:sz w:val="24"/>
        </w:rPr>
        <w:t>Journal of International Accounting, Auditing and Taxation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12: 45-62.</w:t>
      </w:r>
    </w:p>
    <w:p>
      <w:pPr>
        <w:spacing w:before="202"/>
        <w:ind w:left="822" w:right="0" w:firstLine="0"/>
        <w:jc w:val="left"/>
        <w:rPr>
          <w:sz w:val="24"/>
        </w:rPr>
      </w:pPr>
      <w:r>
        <w:rPr>
          <w:sz w:val="24"/>
        </w:rPr>
        <w:t>Desai,</w:t>
      </w:r>
      <w:r>
        <w:rPr>
          <w:spacing w:val="-6"/>
          <w:sz w:val="24"/>
        </w:rPr>
        <w:t> </w:t>
      </w:r>
      <w:r>
        <w:rPr>
          <w:sz w:val="24"/>
        </w:rPr>
        <w:t>M.</w:t>
      </w:r>
      <w:r>
        <w:rPr>
          <w:spacing w:val="-3"/>
          <w:sz w:val="24"/>
        </w:rPr>
        <w:t> </w:t>
      </w:r>
      <w:r>
        <w:rPr>
          <w:sz w:val="24"/>
        </w:rPr>
        <w:t>(2003).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divergence</w:t>
      </w:r>
      <w:r>
        <w:rPr>
          <w:spacing w:val="-6"/>
          <w:sz w:val="24"/>
        </w:rPr>
        <w:t> </w:t>
      </w:r>
      <w:r>
        <w:rPr>
          <w:sz w:val="24"/>
        </w:rPr>
        <w:t>between</w:t>
      </w:r>
      <w:r>
        <w:rPr>
          <w:spacing w:val="-4"/>
          <w:sz w:val="24"/>
        </w:rPr>
        <w:t> </w:t>
      </w:r>
      <w:r>
        <w:rPr>
          <w:sz w:val="24"/>
        </w:rPr>
        <w:t>book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tax</w:t>
      </w:r>
      <w:r>
        <w:rPr>
          <w:spacing w:val="-3"/>
          <w:sz w:val="24"/>
        </w:rPr>
        <w:t> </w:t>
      </w:r>
      <w:r>
        <w:rPr>
          <w:sz w:val="24"/>
        </w:rPr>
        <w:t>Income.</w:t>
      </w:r>
      <w:r>
        <w:rPr>
          <w:spacing w:val="-4"/>
          <w:sz w:val="24"/>
        </w:rPr>
        <w:t> </w:t>
      </w:r>
      <w:r>
        <w:rPr>
          <w:i/>
          <w:sz w:val="24"/>
        </w:rPr>
        <w:t>Tax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Policy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Economy</w:t>
      </w:r>
      <w:r>
        <w:rPr>
          <w:sz w:val="24"/>
        </w:rPr>
        <w:t>,</w:t>
      </w:r>
    </w:p>
    <w:p>
      <w:pPr>
        <w:pStyle w:val="BodyText"/>
        <w:ind w:left="1542"/>
        <w:jc w:val="left"/>
      </w:pPr>
      <w:r>
        <w:rPr/>
        <w:t>J.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Poterba</w:t>
      </w:r>
      <w:r>
        <w:rPr>
          <w:spacing w:val="-1"/>
        </w:rPr>
        <w:t> </w:t>
      </w:r>
      <w:r>
        <w:rPr/>
        <w:t>(ed.), (Cambridge, MA:</w:t>
      </w:r>
      <w:r>
        <w:rPr>
          <w:spacing w:val="-1"/>
        </w:rPr>
        <w:t> </w:t>
      </w:r>
      <w:r>
        <w:rPr/>
        <w:t>MIT Press) 17:169–206.</w:t>
      </w:r>
    </w:p>
    <w:p>
      <w:pPr>
        <w:pStyle w:val="BodyText"/>
        <w:spacing w:before="199"/>
        <w:jc w:val="left"/>
      </w:pPr>
      <w:r>
        <w:rPr/>
        <w:t>Desai,</w:t>
      </w:r>
      <w:r>
        <w:rPr>
          <w:spacing w:val="-11"/>
        </w:rPr>
        <w:t> </w:t>
      </w:r>
      <w:r>
        <w:rPr/>
        <w:t>M.</w:t>
      </w:r>
      <w:r>
        <w:rPr>
          <w:spacing w:val="-11"/>
        </w:rPr>
        <w:t> </w:t>
      </w:r>
      <w:r>
        <w:rPr/>
        <w:t>A.,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Dharmapala,</w:t>
      </w:r>
      <w:r>
        <w:rPr>
          <w:spacing w:val="-11"/>
        </w:rPr>
        <w:t> </w:t>
      </w:r>
      <w:r>
        <w:rPr/>
        <w:t>D.</w:t>
      </w:r>
      <w:r>
        <w:rPr>
          <w:spacing w:val="-12"/>
        </w:rPr>
        <w:t> </w:t>
      </w:r>
      <w:r>
        <w:rPr/>
        <w:t>(2006).</w:t>
      </w:r>
      <w:r>
        <w:rPr>
          <w:spacing w:val="-11"/>
        </w:rPr>
        <w:t> </w:t>
      </w:r>
      <w:r>
        <w:rPr/>
        <w:t>Corporate</w:t>
      </w:r>
      <w:r>
        <w:rPr>
          <w:spacing w:val="-10"/>
        </w:rPr>
        <w:t> </w:t>
      </w:r>
      <w:r>
        <w:rPr/>
        <w:t>tax</w:t>
      </w:r>
      <w:r>
        <w:rPr>
          <w:spacing w:val="-11"/>
        </w:rPr>
        <w:t> </w:t>
      </w:r>
      <w:r>
        <w:rPr/>
        <w:t>avoidance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high-powered</w:t>
      </w:r>
      <w:r>
        <w:rPr>
          <w:spacing w:val="-11"/>
        </w:rPr>
        <w:t> </w:t>
      </w:r>
      <w:r>
        <w:rPr/>
        <w:t>incentives.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79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145-179.</w:t>
      </w:r>
    </w:p>
    <w:p>
      <w:pPr>
        <w:spacing w:before="199"/>
        <w:ind w:left="1542" w:right="831" w:hanging="720"/>
        <w:jc w:val="both"/>
        <w:rPr>
          <w:sz w:val="24"/>
        </w:rPr>
      </w:pPr>
      <w:r>
        <w:rPr>
          <w:sz w:val="24"/>
        </w:rPr>
        <w:t>Desai,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Dharmapala,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Tax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governance: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approach.</w:t>
      </w:r>
      <w:r>
        <w:rPr>
          <w:spacing w:val="-6"/>
          <w:sz w:val="24"/>
        </w:rPr>
        <w:t> </w:t>
      </w:r>
      <w:r>
        <w:rPr>
          <w:i/>
          <w:sz w:val="24"/>
        </w:rPr>
        <w:t>MPI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Intellectual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Property,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Competition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Tax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Law,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</w:t>
      </w:r>
      <w:r>
        <w:rPr>
          <w:spacing w:val="-8"/>
          <w:sz w:val="24"/>
        </w:rPr>
        <w:t> </w:t>
      </w:r>
      <w:r>
        <w:rPr>
          <w:sz w:val="24"/>
        </w:rPr>
        <w:t>13-30.</w:t>
      </w:r>
    </w:p>
    <w:p>
      <w:pPr>
        <w:spacing w:before="200"/>
        <w:ind w:left="1542" w:right="829" w:hanging="720"/>
        <w:jc w:val="both"/>
        <w:rPr>
          <w:sz w:val="24"/>
        </w:rPr>
      </w:pPr>
      <w:r>
        <w:rPr>
          <w:sz w:val="24"/>
        </w:rPr>
        <w:t>Desai, M. A., &amp; Dharmapala, D. (2009a). Corporate tax avoidance and firm value. </w:t>
      </w:r>
      <w:r>
        <w:rPr>
          <w:i/>
          <w:sz w:val="24"/>
        </w:rPr>
        <w:t>Review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Statistics, </w:t>
      </w:r>
      <w:r>
        <w:rPr>
          <w:sz w:val="24"/>
        </w:rPr>
        <w:t>91, 537–546.</w:t>
      </w:r>
    </w:p>
    <w:p>
      <w:pPr>
        <w:pStyle w:val="BodyText"/>
        <w:spacing w:before="202"/>
        <w:ind w:left="1542" w:right="834" w:hanging="720"/>
      </w:pPr>
      <w:r>
        <w:rPr/>
        <w:t>Desai, M. A., &amp; Dharmapala, D. (2009b). Earnings management, corporate tax shelters, and</w:t>
      </w:r>
      <w:r>
        <w:rPr>
          <w:spacing w:val="1"/>
        </w:rPr>
        <w:t> </w:t>
      </w:r>
      <w:r>
        <w:rPr/>
        <w:t>book-tax</w:t>
      </w:r>
      <w:r>
        <w:rPr>
          <w:spacing w:val="-1"/>
        </w:rPr>
        <w:t> </w:t>
      </w:r>
      <w:r>
        <w:rPr/>
        <w:t>alignment. </w:t>
      </w:r>
      <w:r>
        <w:rPr>
          <w:i/>
        </w:rPr>
        <w:t>National Tax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/>
        <w:t>62, 169–186.</w:t>
      </w:r>
    </w:p>
    <w:p>
      <w:pPr>
        <w:spacing w:before="199"/>
        <w:ind w:left="1542" w:right="830" w:hanging="720"/>
        <w:jc w:val="both"/>
        <w:rPr>
          <w:sz w:val="24"/>
        </w:rPr>
      </w:pPr>
      <w:r>
        <w:rPr>
          <w:sz w:val="24"/>
        </w:rPr>
        <w:t>Desai,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Dyck,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Zingales,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Theft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taxes.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84</w:t>
      </w:r>
      <w:r>
        <w:rPr>
          <w:sz w:val="24"/>
        </w:rPr>
        <w:t>(3), 591-623.</w:t>
      </w:r>
    </w:p>
    <w:p>
      <w:pPr>
        <w:pStyle w:val="BodyText"/>
        <w:spacing w:before="199"/>
        <w:jc w:val="left"/>
      </w:pPr>
      <w:r>
        <w:rPr/>
        <w:t>Desai,</w:t>
      </w:r>
      <w:r>
        <w:rPr>
          <w:spacing w:val="-7"/>
        </w:rPr>
        <w:t> </w:t>
      </w:r>
      <w:r>
        <w:rPr/>
        <w:t>M.A.,</w:t>
      </w:r>
      <w:r>
        <w:rPr>
          <w:spacing w:val="-7"/>
        </w:rPr>
        <w:t> </w:t>
      </w:r>
      <w:r>
        <w:rPr/>
        <w:t>Foley,</w:t>
      </w:r>
      <w:r>
        <w:rPr>
          <w:spacing w:val="-8"/>
        </w:rPr>
        <w:t> </w:t>
      </w:r>
      <w:r>
        <w:rPr/>
        <w:t>C.F.,</w:t>
      </w:r>
      <w:r>
        <w:rPr>
          <w:spacing w:val="-3"/>
        </w:rPr>
        <w:t> </w:t>
      </w:r>
      <w:r>
        <w:rPr/>
        <w:t>&amp;</w:t>
      </w:r>
      <w:r>
        <w:rPr>
          <w:spacing w:val="-7"/>
        </w:rPr>
        <w:t> </w:t>
      </w:r>
      <w:r>
        <w:rPr/>
        <w:t>Hines</w:t>
      </w:r>
      <w:r>
        <w:rPr>
          <w:spacing w:val="-6"/>
        </w:rPr>
        <w:t> </w:t>
      </w:r>
      <w:r>
        <w:rPr/>
        <w:t>Jr.,</w:t>
      </w:r>
      <w:r>
        <w:rPr>
          <w:spacing w:val="-8"/>
        </w:rPr>
        <w:t> </w:t>
      </w:r>
      <w:r>
        <w:rPr/>
        <w:t>J.R.,</w:t>
      </w:r>
      <w:r>
        <w:rPr>
          <w:spacing w:val="-6"/>
        </w:rPr>
        <w:t> </w:t>
      </w:r>
      <w:r>
        <w:rPr/>
        <w:t>(2006).</w:t>
      </w:r>
      <w:r>
        <w:rPr>
          <w:spacing w:val="-7"/>
        </w:rPr>
        <w:t> </w:t>
      </w:r>
      <w:r>
        <w:rPr/>
        <w:t>Repatriation</w:t>
      </w:r>
      <w:r>
        <w:rPr>
          <w:spacing w:val="-6"/>
        </w:rPr>
        <w:t> </w:t>
      </w:r>
      <w:r>
        <w:rPr/>
        <w:t>taxes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dividend</w:t>
      </w:r>
      <w:r>
        <w:rPr>
          <w:spacing w:val="-8"/>
        </w:rPr>
        <w:t> </w:t>
      </w:r>
      <w:r>
        <w:rPr/>
        <w:t>distortions.</w:t>
      </w:r>
    </w:p>
    <w:p>
      <w:pPr>
        <w:pStyle w:val="BodyText"/>
        <w:ind w:left="1542"/>
        <w:jc w:val="left"/>
      </w:pPr>
      <w:r>
        <w:rPr/>
        <w:t>National</w:t>
      </w:r>
      <w:r>
        <w:rPr>
          <w:spacing w:val="-2"/>
        </w:rPr>
        <w:t> </w:t>
      </w:r>
      <w:r>
        <w:rPr/>
        <w:t>Tax</w:t>
      </w:r>
      <w:r>
        <w:rPr>
          <w:spacing w:val="-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54 (4),</w:t>
      </w:r>
      <w:r>
        <w:rPr>
          <w:spacing w:val="-1"/>
        </w:rPr>
        <w:t> </w:t>
      </w:r>
      <w:r>
        <w:rPr/>
        <w:t>829-851.</w:t>
      </w:r>
    </w:p>
    <w:p>
      <w:pPr>
        <w:spacing w:after="0"/>
        <w:jc w:val="lef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1542" w:right="831" w:hanging="720"/>
      </w:pPr>
      <w:r>
        <w:rPr/>
        <w:t>Dhaliwal, D.S., Huang, S.X., Moser, W.J., &amp; Pereira, R. (2011). Corporate tax avoidance and</w:t>
      </w:r>
      <w:r>
        <w:rPr>
          <w:spacing w:val="1"/>
        </w:rPr>
        <w:t> </w:t>
      </w:r>
      <w:r>
        <w:rPr/>
        <w:t>the level and valuation of firm cash holdings. </w:t>
      </w:r>
      <w:r>
        <w:rPr>
          <w:i/>
        </w:rPr>
        <w:t>Contemporary Accounting Research</w:t>
      </w:r>
      <w:r>
        <w:rPr/>
        <w:t>, 21</w:t>
      </w:r>
      <w:r>
        <w:rPr>
          <w:spacing w:val="1"/>
        </w:rPr>
        <w:t> </w:t>
      </w:r>
      <w:r>
        <w:rPr/>
        <w:t>(2),</w:t>
      </w:r>
      <w:r>
        <w:rPr>
          <w:spacing w:val="-1"/>
        </w:rPr>
        <w:t> </w:t>
      </w:r>
      <w:r>
        <w:rPr/>
        <w:t>431–459.</w:t>
      </w:r>
    </w:p>
    <w:p>
      <w:pPr>
        <w:pStyle w:val="BodyText"/>
        <w:spacing w:before="202"/>
        <w:ind w:left="1542" w:right="829" w:hanging="720"/>
      </w:pPr>
      <w:r>
        <w:rPr/>
        <w:t>Dirk, K., &amp; Johannes, M. (2017). The relationship between corporate governance and tax</w:t>
      </w:r>
      <w:r>
        <w:rPr>
          <w:spacing w:val="1"/>
        </w:rPr>
        <w:t> </w:t>
      </w:r>
      <w:r>
        <w:rPr/>
        <w:t>avoidance: Evidence from Germany using a Regression Discontinuity Design. qus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218,</w:t>
      </w:r>
      <w:r>
        <w:rPr>
          <w:spacing w:val="1"/>
        </w:rPr>
        <w:t> </w:t>
      </w:r>
      <w:r>
        <w:rPr/>
        <w:t>Arbeitskreis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Steuerlehre</w:t>
      </w:r>
      <w:r>
        <w:rPr>
          <w:spacing w:val="1"/>
        </w:rPr>
        <w:t> </w:t>
      </w:r>
      <w:r>
        <w:rPr/>
        <w:t>(arqus),</w:t>
      </w:r>
      <w:r>
        <w:rPr>
          <w:spacing w:val="1"/>
        </w:rPr>
        <w:t> </w:t>
      </w:r>
      <w:r>
        <w:rPr/>
        <w:t>Berlin.</w:t>
      </w:r>
      <w:r>
        <w:rPr>
          <w:spacing w:val="1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from </w:t>
      </w:r>
      <w:hyperlink r:id="rId24">
        <w:r>
          <w:rPr/>
          <w:t>http://hdl.handle.net/10419/157955</w:t>
        </w:r>
      </w:hyperlink>
    </w:p>
    <w:p>
      <w:pPr>
        <w:spacing w:before="200"/>
        <w:ind w:left="1542" w:right="83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77952">
            <wp:simplePos x="0" y="0"/>
            <wp:positionH relativeFrom="page">
              <wp:posOffset>1261605</wp:posOffset>
            </wp:positionH>
            <wp:positionV relativeFrom="paragraph">
              <wp:posOffset>423584</wp:posOffset>
            </wp:positionV>
            <wp:extent cx="5133225" cy="5265293"/>
            <wp:effectExtent l="0" t="0" r="0" b="0"/>
            <wp:wrapNone/>
            <wp:docPr id="27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Dragomir, V.D. and Cristina, M. (2009). Corporate governance in the European Union: the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-11"/>
          <w:sz w:val="24"/>
        </w:rPr>
        <w:t> </w:t>
      </w:r>
      <w:r>
        <w:rPr>
          <w:sz w:val="24"/>
        </w:rPr>
        <w:t>for</w:t>
      </w:r>
      <w:r>
        <w:rPr>
          <w:spacing w:val="-12"/>
          <w:sz w:val="24"/>
        </w:rPr>
        <w:t> </w:t>
      </w:r>
      <w:r>
        <w:rPr>
          <w:sz w:val="24"/>
        </w:rPr>
        <w:t>financial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narrative</w:t>
      </w:r>
      <w:r>
        <w:rPr>
          <w:spacing w:val="-12"/>
          <w:sz w:val="24"/>
        </w:rPr>
        <w:t> </w:t>
      </w:r>
      <w:r>
        <w:rPr>
          <w:sz w:val="24"/>
        </w:rPr>
        <w:t>reporting,</w:t>
      </w:r>
      <w:r>
        <w:rPr>
          <w:spacing w:val="-1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9(1)</w:t>
      </w:r>
      <w:r>
        <w:rPr>
          <w:spacing w:val="-1"/>
          <w:sz w:val="24"/>
        </w:rPr>
        <w:t> </w:t>
      </w:r>
      <w:r>
        <w:rPr>
          <w:sz w:val="24"/>
        </w:rPr>
        <w:t>53–64.</w:t>
      </w:r>
    </w:p>
    <w:p>
      <w:pPr>
        <w:pStyle w:val="BodyText"/>
        <w:spacing w:before="199"/>
        <w:ind w:left="1542" w:right="837" w:hanging="720"/>
      </w:pPr>
      <w:r>
        <w:rPr/>
        <w:t>Dunbar,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Higgins,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Phillips,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Plesko,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-2"/>
        </w:rPr>
        <w:t> </w:t>
      </w:r>
      <w:r>
        <w:rPr/>
        <w:t>measure? National</w:t>
      </w:r>
      <w:r>
        <w:rPr>
          <w:spacing w:val="-1"/>
        </w:rPr>
        <w:t> </w:t>
      </w:r>
      <w:r>
        <w:rPr/>
        <w:t>Tax</w:t>
      </w:r>
      <w:r>
        <w:rPr>
          <w:spacing w:val="-2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Annual</w:t>
      </w:r>
      <w:r>
        <w:rPr>
          <w:spacing w:val="-1"/>
        </w:rPr>
        <w:t> </w:t>
      </w:r>
      <w:r>
        <w:rPr/>
        <w:t>Conference</w:t>
      </w:r>
      <w:r>
        <w:rPr>
          <w:spacing w:val="-3"/>
        </w:rPr>
        <w:t> </w:t>
      </w:r>
      <w:r>
        <w:rPr/>
        <w:t>Proceedings.</w:t>
      </w:r>
    </w:p>
    <w:p>
      <w:pPr>
        <w:pStyle w:val="BodyText"/>
        <w:spacing w:before="202"/>
        <w:ind w:left="1542" w:right="830" w:hanging="720"/>
      </w:pPr>
      <w:r>
        <w:rPr/>
        <w:t>Dyreng, S. D., Hanlon, M., &amp; Maydew, E. L. (2008). Long-run corporate tax avoidance.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Accounting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, </w:t>
      </w:r>
      <w:r>
        <w:rPr>
          <w:i/>
        </w:rPr>
        <w:t>83</w:t>
      </w:r>
      <w:r>
        <w:rPr/>
        <w:t>(1), 61-82.</w:t>
      </w:r>
    </w:p>
    <w:p>
      <w:pPr>
        <w:pStyle w:val="BodyText"/>
        <w:spacing w:before="199"/>
        <w:ind w:left="1542" w:right="831" w:hanging="720"/>
      </w:pPr>
      <w:r>
        <w:rPr/>
        <w:t>Dyreng, S., &amp; Lindsey, B. (2009). Using financial accounting data to examine the effect of</w:t>
      </w:r>
      <w:r>
        <w:rPr>
          <w:spacing w:val="1"/>
        </w:rPr>
        <w:t> </w:t>
      </w:r>
      <w:r>
        <w:rPr>
          <w:spacing w:val="-1"/>
        </w:rPr>
        <w:t>foreign</w:t>
      </w:r>
      <w:r>
        <w:rPr>
          <w:spacing w:val="-13"/>
        </w:rPr>
        <w:t> </w:t>
      </w:r>
      <w:r>
        <w:rPr>
          <w:spacing w:val="-1"/>
        </w:rPr>
        <w:t>operations</w:t>
      </w:r>
      <w:r>
        <w:rPr>
          <w:spacing w:val="-12"/>
        </w:rPr>
        <w:t> </w:t>
      </w:r>
      <w:r>
        <w:rPr/>
        <w:t>located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tax</w:t>
      </w:r>
      <w:r>
        <w:rPr>
          <w:spacing w:val="-14"/>
        </w:rPr>
        <w:t> </w:t>
      </w:r>
      <w:r>
        <w:rPr/>
        <w:t>havens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other</w:t>
      </w:r>
      <w:r>
        <w:rPr>
          <w:spacing w:val="-14"/>
        </w:rPr>
        <w:t> </w:t>
      </w:r>
      <w:r>
        <w:rPr/>
        <w:t>countries</w:t>
      </w:r>
      <w:r>
        <w:rPr>
          <w:spacing w:val="-13"/>
        </w:rPr>
        <w:t> </w:t>
      </w:r>
      <w:r>
        <w:rPr/>
        <w:t>on</w:t>
      </w:r>
      <w:r>
        <w:rPr>
          <w:spacing w:val="-12"/>
        </w:rPr>
        <w:t> </w:t>
      </w:r>
      <w:r>
        <w:rPr/>
        <w:t>U.S.</w:t>
      </w:r>
      <w:r>
        <w:rPr>
          <w:spacing w:val="-12"/>
        </w:rPr>
        <w:t> </w:t>
      </w:r>
      <w:r>
        <w:rPr/>
        <w:t>multinational</w:t>
      </w:r>
      <w:r>
        <w:rPr>
          <w:spacing w:val="-12"/>
        </w:rPr>
        <w:t> </w:t>
      </w:r>
      <w:r>
        <w:rPr/>
        <w:t>firms’</w:t>
      </w:r>
      <w:r>
        <w:rPr>
          <w:spacing w:val="-58"/>
        </w:rPr>
        <w:t> </w:t>
      </w:r>
      <w:r>
        <w:rPr/>
        <w:t>tax</w:t>
      </w:r>
      <w:r>
        <w:rPr>
          <w:spacing w:val="-1"/>
        </w:rPr>
        <w:t> </w:t>
      </w:r>
      <w:r>
        <w:rPr/>
        <w:t>rates.</w:t>
      </w:r>
      <w:r>
        <w:rPr>
          <w:spacing w:val="-1"/>
        </w:rPr>
        <w:t> </w:t>
      </w:r>
      <w:r>
        <w:rPr>
          <w:i/>
        </w:rPr>
        <w:t>Journal of Accounting Research, </w:t>
      </w:r>
      <w:r>
        <w:rPr/>
        <w:t>47(1),</w:t>
      </w:r>
      <w:r>
        <w:rPr>
          <w:spacing w:val="2"/>
        </w:rPr>
        <w:t> </w:t>
      </w:r>
      <w:r>
        <w:rPr/>
        <w:t>1283-1316.</w:t>
      </w:r>
    </w:p>
    <w:p>
      <w:pPr>
        <w:pStyle w:val="BodyText"/>
        <w:spacing w:before="200"/>
        <w:ind w:left="1542" w:right="837" w:hanging="720"/>
      </w:pPr>
      <w:r>
        <w:rPr/>
        <w:t>Dyreng, S., Hanlon, M., &amp; Maydew, E. (2010). The effects of executives on corporate tax</w:t>
      </w:r>
      <w:r>
        <w:rPr>
          <w:spacing w:val="1"/>
        </w:rPr>
        <w:t> </w:t>
      </w:r>
      <w:r>
        <w:rPr/>
        <w:t>avoidance.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Accounting Review,</w:t>
      </w:r>
      <w:r>
        <w:rPr>
          <w:i/>
          <w:spacing w:val="1"/>
        </w:rPr>
        <w:t> </w:t>
      </w:r>
      <w:r>
        <w:rPr>
          <w:i/>
        </w:rPr>
        <w:t>85</w:t>
      </w:r>
      <w:r>
        <w:rPr/>
        <w:t>(4), 1163-1189.</w:t>
      </w:r>
    </w:p>
    <w:p>
      <w:pPr>
        <w:pStyle w:val="BodyText"/>
        <w:spacing w:before="201"/>
        <w:ind w:left="1542" w:right="828" w:hanging="720"/>
      </w:pPr>
      <w:r>
        <w:rPr/>
        <w:t>Dyreng, S., Hanlon, M., &amp; Maydew, E. (2010). The Effects of Executives on Corporate Tax</w:t>
      </w:r>
      <w:r>
        <w:rPr>
          <w:spacing w:val="1"/>
        </w:rPr>
        <w:t> </w:t>
      </w:r>
      <w:r>
        <w:rPr/>
        <w:t>Avoidance.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Accounting Review,85(4), 1163-1189.</w:t>
      </w:r>
    </w:p>
    <w:p>
      <w:pPr>
        <w:pStyle w:val="BodyText"/>
        <w:spacing w:before="200"/>
        <w:ind w:left="1542" w:right="837" w:hanging="720"/>
      </w:pPr>
      <w:r>
        <w:rPr/>
        <w:t>Dyreng, S., Hanlon, M., &amp; Maydew, E. (2010). The effects of executives on corporate tax</w:t>
      </w:r>
      <w:r>
        <w:rPr>
          <w:spacing w:val="1"/>
        </w:rPr>
        <w:t> </w:t>
      </w:r>
      <w:r>
        <w:rPr/>
        <w:t>avoidance.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Accounting Review</w:t>
      </w:r>
      <w:r>
        <w:rPr/>
        <w:t>, 85(4), 1 163-1 189.</w:t>
      </w:r>
    </w:p>
    <w:p>
      <w:pPr>
        <w:pStyle w:val="BodyText"/>
        <w:spacing w:before="199"/>
        <w:ind w:left="1542" w:right="832" w:hanging="720"/>
      </w:pPr>
      <w:r>
        <w:rPr/>
        <w:t>Easley, C. &amp; Lenox, M.J. (2006). Firm responses to secondary stakeholder action. Strategic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Journal, 27, 765-781</w:t>
      </w:r>
    </w:p>
    <w:p>
      <w:pPr>
        <w:pStyle w:val="BodyText"/>
        <w:spacing w:before="202"/>
        <w:jc w:val="left"/>
      </w:pPr>
      <w:r>
        <w:rPr/>
        <w:t>Egger,</w:t>
      </w:r>
      <w:r>
        <w:rPr>
          <w:spacing w:val="22"/>
        </w:rPr>
        <w:t> </w:t>
      </w:r>
      <w:r>
        <w:rPr/>
        <w:t>P.,</w:t>
      </w:r>
      <w:r>
        <w:rPr>
          <w:spacing w:val="22"/>
        </w:rPr>
        <w:t> </w:t>
      </w:r>
      <w:r>
        <w:rPr/>
        <w:t>Eggert,</w:t>
      </w:r>
      <w:r>
        <w:rPr>
          <w:spacing w:val="23"/>
        </w:rPr>
        <w:t> </w:t>
      </w:r>
      <w:r>
        <w:rPr/>
        <w:t>W.,</w:t>
      </w:r>
      <w:r>
        <w:rPr>
          <w:spacing w:val="25"/>
        </w:rPr>
        <w:t> </w:t>
      </w:r>
      <w:r>
        <w:rPr/>
        <w:t>&amp;</w:t>
      </w:r>
      <w:r>
        <w:rPr>
          <w:spacing w:val="24"/>
        </w:rPr>
        <w:t> </w:t>
      </w:r>
      <w:r>
        <w:rPr/>
        <w:t>Winner,</w:t>
      </w:r>
      <w:r>
        <w:rPr>
          <w:spacing w:val="22"/>
        </w:rPr>
        <w:t> </w:t>
      </w:r>
      <w:r>
        <w:rPr/>
        <w:t>H.</w:t>
      </w:r>
      <w:r>
        <w:rPr>
          <w:spacing w:val="24"/>
        </w:rPr>
        <w:t> </w:t>
      </w:r>
      <w:r>
        <w:rPr/>
        <w:t>(2010).</w:t>
      </w:r>
      <w:r>
        <w:rPr>
          <w:spacing w:val="23"/>
        </w:rPr>
        <w:t> </w:t>
      </w:r>
      <w:r>
        <w:rPr/>
        <w:t>Saving</w:t>
      </w:r>
      <w:r>
        <w:rPr>
          <w:spacing w:val="23"/>
        </w:rPr>
        <w:t> </w:t>
      </w:r>
      <w:r>
        <w:rPr/>
        <w:t>taxes</w:t>
      </w:r>
      <w:r>
        <w:rPr>
          <w:spacing w:val="24"/>
        </w:rPr>
        <w:t> </w:t>
      </w:r>
      <w:r>
        <w:rPr/>
        <w:t>through</w:t>
      </w:r>
      <w:r>
        <w:rPr>
          <w:spacing w:val="24"/>
        </w:rPr>
        <w:t> </w:t>
      </w:r>
      <w:r>
        <w:rPr/>
        <w:t>foreign</w:t>
      </w:r>
      <w:r>
        <w:rPr>
          <w:spacing w:val="23"/>
        </w:rPr>
        <w:t> </w:t>
      </w:r>
      <w:r>
        <w:rPr/>
        <w:t>plant</w:t>
      </w:r>
      <w:r>
        <w:rPr>
          <w:spacing w:val="23"/>
        </w:rPr>
        <w:t> </w:t>
      </w:r>
      <w:r>
        <w:rPr/>
        <w:t>ownership.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International Economics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81</w:t>
      </w:r>
      <w:r>
        <w:rPr>
          <w:sz w:val="24"/>
        </w:rPr>
        <w:t>(1), 99-108.</w:t>
      </w:r>
    </w:p>
    <w:p>
      <w:pPr>
        <w:pStyle w:val="BodyText"/>
        <w:spacing w:before="199"/>
        <w:ind w:left="1542" w:right="831" w:hanging="720"/>
      </w:pPr>
      <w:r>
        <w:rPr/>
        <w:t>Elsayed,</w:t>
      </w:r>
      <w:r>
        <w:rPr>
          <w:spacing w:val="-11"/>
        </w:rPr>
        <w:t> </w:t>
      </w:r>
      <w:r>
        <w:rPr/>
        <w:t>M.O.</w:t>
      </w:r>
      <w:r>
        <w:rPr>
          <w:spacing w:val="-11"/>
        </w:rPr>
        <w:t> </w:t>
      </w:r>
      <w:r>
        <w:rPr/>
        <w:t>&amp;</w:t>
      </w:r>
      <w:r>
        <w:rPr>
          <w:spacing w:val="-11"/>
        </w:rPr>
        <w:t> </w:t>
      </w:r>
      <w:r>
        <w:rPr/>
        <w:t>Hoque,</w:t>
      </w:r>
      <w:r>
        <w:rPr>
          <w:spacing w:val="-9"/>
        </w:rPr>
        <w:t> </w:t>
      </w:r>
      <w:r>
        <w:rPr/>
        <w:t>Z.</w:t>
      </w:r>
      <w:r>
        <w:rPr>
          <w:spacing w:val="-11"/>
        </w:rPr>
        <w:t> </w:t>
      </w:r>
      <w:r>
        <w:rPr/>
        <w:t>(2010)</w:t>
      </w:r>
      <w:r>
        <w:rPr>
          <w:spacing w:val="-11"/>
        </w:rPr>
        <w:t> </w:t>
      </w:r>
      <w:r>
        <w:rPr/>
        <w:t>Perceived</w:t>
      </w:r>
      <w:r>
        <w:rPr>
          <w:spacing w:val="-9"/>
        </w:rPr>
        <w:t> </w:t>
      </w:r>
      <w:r>
        <w:rPr/>
        <w:t>international</w:t>
      </w:r>
      <w:r>
        <w:rPr>
          <w:spacing w:val="-11"/>
        </w:rPr>
        <w:t> </w:t>
      </w:r>
      <w:r>
        <w:rPr/>
        <w:t>environmental</w:t>
      </w:r>
      <w:r>
        <w:rPr>
          <w:spacing w:val="-9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voluntary</w:t>
      </w:r>
      <w:r>
        <w:rPr>
          <w:spacing w:val="-8"/>
        </w:rPr>
        <w:t> </w:t>
      </w:r>
      <w:r>
        <w:rPr/>
        <w:t>disclosure</w:t>
      </w:r>
      <w:r>
        <w:rPr>
          <w:spacing w:val="-7"/>
        </w:rPr>
        <w:t> </w:t>
      </w:r>
      <w:r>
        <w:rPr/>
        <w:t>practices: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empirical</w:t>
      </w:r>
      <w:r>
        <w:rPr>
          <w:spacing w:val="-6"/>
        </w:rPr>
        <w:t> </w:t>
      </w:r>
      <w:r>
        <w:rPr/>
        <w:t>study,</w:t>
      </w:r>
      <w:r>
        <w:rPr>
          <w:spacing w:val="-6"/>
        </w:rPr>
        <w:t> </w:t>
      </w:r>
      <w:r>
        <w:rPr>
          <w:i/>
        </w:rPr>
        <w:t>The</w:t>
      </w:r>
      <w:r>
        <w:rPr>
          <w:i/>
          <w:spacing w:val="-7"/>
        </w:rPr>
        <w:t> </w:t>
      </w:r>
      <w:r>
        <w:rPr>
          <w:i/>
        </w:rPr>
        <w:t>British</w:t>
      </w:r>
      <w:r>
        <w:rPr>
          <w:i/>
          <w:spacing w:val="-7"/>
        </w:rPr>
        <w:t> </w:t>
      </w:r>
      <w:r>
        <w:rPr>
          <w:i/>
        </w:rPr>
        <w:t>Accounting</w:t>
      </w:r>
      <w:r>
        <w:rPr>
          <w:i/>
          <w:spacing w:val="-6"/>
        </w:rPr>
        <w:t> </w:t>
      </w:r>
      <w:r>
        <w:rPr>
          <w:i/>
        </w:rPr>
        <w:t>Review</w:t>
      </w:r>
      <w:r>
        <w:rPr/>
        <w:t>,</w:t>
      </w:r>
      <w:r>
        <w:rPr>
          <w:spacing w:val="-6"/>
        </w:rPr>
        <w:t> </w:t>
      </w:r>
      <w:r>
        <w:rPr/>
        <w:t>Vol.</w:t>
      </w:r>
      <w:r>
        <w:rPr>
          <w:spacing w:val="-58"/>
        </w:rPr>
        <w:t> </w:t>
      </w:r>
      <w:r>
        <w:rPr/>
        <w:t>42 No. 1, pp.17–35.</w:t>
      </w:r>
    </w:p>
    <w:p>
      <w:pPr>
        <w:spacing w:before="200"/>
        <w:ind w:left="1542" w:right="832" w:hanging="720"/>
        <w:jc w:val="both"/>
        <w:rPr>
          <w:sz w:val="24"/>
        </w:rPr>
      </w:pPr>
      <w:r>
        <w:rPr>
          <w:sz w:val="24"/>
        </w:rPr>
        <w:t>Eng, L.L. &amp; Mak, Y.T (2003) Corporate governance and voluntary disclosure,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, Vol. 22, No. 4, pp.325–345.</w:t>
      </w:r>
    </w:p>
    <w:p>
      <w:pPr>
        <w:pStyle w:val="BodyText"/>
        <w:spacing w:before="199"/>
        <w:ind w:left="1542" w:right="834" w:hanging="720"/>
      </w:pPr>
      <w:r>
        <w:rPr/>
        <w:t>Fallan, L. (1999). Gender, exposure to tax knowledge, and attitudes towards taxation: An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approach.</w:t>
      </w:r>
      <w:r>
        <w:rPr>
          <w:spacing w:val="1"/>
        </w:rPr>
        <w:t> </w:t>
      </w:r>
      <w:r>
        <w:rPr>
          <w:i/>
        </w:rPr>
        <w:t>Journal of Business Ethics,</w:t>
      </w:r>
      <w:r>
        <w:rPr>
          <w:i/>
          <w:spacing w:val="1"/>
        </w:rPr>
        <w:t> </w:t>
      </w:r>
      <w:r>
        <w:rPr>
          <w:i/>
        </w:rPr>
        <w:t>18</w:t>
      </w:r>
      <w:r>
        <w:rPr/>
        <w:t>(2),</w:t>
      </w:r>
      <w:r>
        <w:rPr>
          <w:spacing w:val="-1"/>
        </w:rPr>
        <w:t> </w:t>
      </w:r>
      <w:r>
        <w:rPr/>
        <w:t>173-184.</w:t>
      </w:r>
    </w:p>
    <w:p>
      <w:pPr>
        <w:spacing w:before="202"/>
        <w:ind w:left="1542" w:right="827" w:hanging="720"/>
        <w:jc w:val="both"/>
        <w:rPr>
          <w:sz w:val="24"/>
        </w:rPr>
      </w:pPr>
      <w:r>
        <w:rPr>
          <w:sz w:val="24"/>
        </w:rPr>
        <w:t>Fama,</w:t>
      </w:r>
      <w:r>
        <w:rPr>
          <w:spacing w:val="-4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F.,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Jensen,</w:t>
      </w:r>
      <w:r>
        <w:rPr>
          <w:spacing w:val="-4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C.</w:t>
      </w:r>
      <w:r>
        <w:rPr>
          <w:spacing w:val="-3"/>
          <w:sz w:val="24"/>
        </w:rPr>
        <w:t> </w:t>
      </w:r>
      <w:r>
        <w:rPr>
          <w:sz w:val="24"/>
        </w:rPr>
        <w:t>(1983).</w:t>
      </w:r>
      <w:r>
        <w:rPr>
          <w:spacing w:val="-5"/>
          <w:sz w:val="24"/>
        </w:rPr>
        <w:t> </w:t>
      </w:r>
      <w:r>
        <w:rPr>
          <w:sz w:val="24"/>
        </w:rPr>
        <w:t>Separation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ownership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control.</w:t>
      </w:r>
      <w:r>
        <w:rPr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(2), 301-325.</w:t>
      </w:r>
    </w:p>
    <w:p>
      <w:pPr>
        <w:spacing w:before="199"/>
        <w:ind w:left="822" w:right="0" w:firstLine="0"/>
        <w:jc w:val="left"/>
        <w:rPr>
          <w:i/>
          <w:sz w:val="24"/>
        </w:rPr>
      </w:pPr>
      <w:r>
        <w:rPr>
          <w:sz w:val="24"/>
        </w:rPr>
        <w:t>Fama,</w:t>
      </w:r>
      <w:r>
        <w:rPr>
          <w:spacing w:val="-8"/>
          <w:sz w:val="24"/>
        </w:rPr>
        <w:t> </w:t>
      </w:r>
      <w:r>
        <w:rPr>
          <w:sz w:val="24"/>
        </w:rPr>
        <w:t>E.F.</w:t>
      </w:r>
      <w:r>
        <w:rPr>
          <w:spacing w:val="-6"/>
          <w:sz w:val="24"/>
        </w:rPr>
        <w:t> </w:t>
      </w:r>
      <w:r>
        <w:rPr>
          <w:sz w:val="24"/>
        </w:rPr>
        <w:t>(1980).</w:t>
      </w:r>
      <w:r>
        <w:rPr>
          <w:spacing w:val="-7"/>
          <w:sz w:val="24"/>
        </w:rPr>
        <w:t> </w:t>
      </w:r>
      <w:r>
        <w:rPr>
          <w:sz w:val="24"/>
        </w:rPr>
        <w:t>Agency</w:t>
      </w:r>
      <w:r>
        <w:rPr>
          <w:spacing w:val="-6"/>
          <w:sz w:val="24"/>
        </w:rPr>
        <w:t> </w:t>
      </w:r>
      <w:r>
        <w:rPr>
          <w:sz w:val="24"/>
        </w:rPr>
        <w:t>problems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theory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firm?</w:t>
      </w:r>
      <w:r>
        <w:rPr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Economy,</w:t>
      </w:r>
    </w:p>
    <w:p>
      <w:pPr>
        <w:pStyle w:val="BodyText"/>
        <w:ind w:left="1542"/>
        <w:jc w:val="left"/>
      </w:pPr>
      <w:r>
        <w:rPr/>
        <w:t>88(2),</w:t>
      </w:r>
      <w:r>
        <w:rPr>
          <w:spacing w:val="-2"/>
        </w:rPr>
        <w:t> </w:t>
      </w:r>
      <w:r>
        <w:rPr/>
        <w:t>288-307</w:t>
      </w:r>
    </w:p>
    <w:p>
      <w:pPr>
        <w:spacing w:after="0"/>
        <w:jc w:val="left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1542" w:right="830" w:hanging="720"/>
      </w:pPr>
      <w:r>
        <w:rPr/>
        <w:t>FASB (2001) Improving business reporting: insights into enhancing voluntary disclosure,</w:t>
      </w:r>
      <w:r>
        <w:rPr>
          <w:spacing w:val="1"/>
        </w:rPr>
        <w:t> </w:t>
      </w:r>
      <w:r>
        <w:rPr>
          <w:i/>
        </w:rPr>
        <w:t>Business</w:t>
      </w:r>
      <w:r>
        <w:rPr>
          <w:i/>
          <w:spacing w:val="1"/>
        </w:rPr>
        <w:t> </w:t>
      </w:r>
      <w:r>
        <w:rPr>
          <w:i/>
        </w:rPr>
        <w:t>Reporting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Project</w:t>
      </w:r>
      <w:r>
        <w:rPr/>
        <w:t>,</w:t>
      </w:r>
      <w:r>
        <w:rPr>
          <w:spacing w:val="1"/>
        </w:rPr>
        <w:t> </w:t>
      </w:r>
      <w:r>
        <w:rPr/>
        <w:t>Steering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Accounting</w:t>
      </w:r>
      <w:r>
        <w:rPr>
          <w:spacing w:val="-1"/>
        </w:rPr>
        <w:t> </w:t>
      </w:r>
      <w:r>
        <w:rPr/>
        <w:t>Standards Board, pp.1–90 [online]</w:t>
      </w:r>
      <w:r>
        <w:rPr>
          <w:spacing w:val="-1"/>
        </w:rPr>
        <w:t> </w:t>
      </w:r>
      <w:hyperlink r:id="rId25">
        <w:r>
          <w:rPr/>
          <w:t>http://www.fasb.org</w:t>
        </w:r>
      </w:hyperlink>
      <w:r>
        <w:rPr/>
        <w:t>.</w:t>
      </w:r>
    </w:p>
    <w:p>
      <w:pPr>
        <w:spacing w:before="202"/>
        <w:ind w:left="1542" w:right="831" w:hanging="720"/>
        <w:jc w:val="both"/>
        <w:rPr>
          <w:sz w:val="24"/>
        </w:rPr>
      </w:pPr>
      <w:r>
        <w:rPr>
          <w:sz w:val="24"/>
        </w:rPr>
        <w:t>Fatimoh,</w:t>
      </w:r>
      <w:r>
        <w:rPr>
          <w:spacing w:val="-8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(2012).</w:t>
      </w:r>
      <w:r>
        <w:rPr>
          <w:spacing w:val="-7"/>
          <w:sz w:val="24"/>
        </w:rPr>
        <w:t> </w:t>
      </w:r>
      <w:r>
        <w:rPr>
          <w:sz w:val="24"/>
        </w:rPr>
        <w:t>Impact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corporate</w:t>
      </w:r>
      <w:r>
        <w:rPr>
          <w:spacing w:val="-9"/>
          <w:sz w:val="24"/>
        </w:rPr>
        <w:t> </w:t>
      </w:r>
      <w:r>
        <w:rPr>
          <w:sz w:val="24"/>
        </w:rPr>
        <w:t>governance</w:t>
      </w:r>
      <w:r>
        <w:rPr>
          <w:spacing w:val="-10"/>
          <w:sz w:val="24"/>
        </w:rPr>
        <w:t> </w:t>
      </w:r>
      <w:r>
        <w:rPr>
          <w:sz w:val="24"/>
        </w:rPr>
        <w:t>on</w:t>
      </w:r>
      <w:r>
        <w:rPr>
          <w:spacing w:val="-9"/>
          <w:sz w:val="24"/>
        </w:rPr>
        <w:t> </w:t>
      </w:r>
      <w:r>
        <w:rPr>
          <w:sz w:val="24"/>
        </w:rPr>
        <w:t>banks</w:t>
      </w:r>
      <w:r>
        <w:rPr>
          <w:spacing w:val="-8"/>
          <w:sz w:val="24"/>
        </w:rPr>
        <w:t> </w:t>
      </w:r>
      <w:r>
        <w:rPr>
          <w:sz w:val="24"/>
        </w:rPr>
        <w:t>performance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8"/>
          <w:sz w:val="24"/>
        </w:rPr>
        <w:t> </w:t>
      </w:r>
      <w:r>
        <w:rPr>
          <w:sz w:val="24"/>
        </w:rPr>
        <w:t>Nigeria.</w:t>
      </w:r>
      <w:r>
        <w:rPr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(JETEMS).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(3),</w:t>
      </w:r>
      <w:r>
        <w:rPr>
          <w:spacing w:val="-14"/>
          <w:sz w:val="24"/>
        </w:rPr>
        <w:t> </w:t>
      </w:r>
      <w:r>
        <w:rPr>
          <w:sz w:val="24"/>
        </w:rPr>
        <w:t>257-260.</w:t>
      </w:r>
    </w:p>
    <w:p>
      <w:pPr>
        <w:pStyle w:val="BodyText"/>
        <w:spacing w:before="200"/>
        <w:ind w:left="1542" w:right="831" w:hanging="720"/>
      </w:pPr>
      <w:r>
        <w:rPr/>
        <w:t>Ferguson, M. J., Lam, K. C. K., &amp; Lee, G. M. (2002). Voluntary Disclosure by State-owned</w:t>
      </w:r>
      <w:r>
        <w:rPr>
          <w:spacing w:val="1"/>
        </w:rPr>
        <w:t> </w:t>
      </w:r>
      <w:r>
        <w:rPr/>
        <w:t>Enterprises Listed on the Stock Exchange of Hong Kong. Journal of International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&amp;</w:t>
      </w:r>
      <w:r>
        <w:rPr>
          <w:spacing w:val="1"/>
        </w:rPr>
        <w:t> </w:t>
      </w:r>
      <w:r>
        <w:rPr/>
        <w:t>Accounting, 13(2),</w:t>
      </w:r>
      <w:r>
        <w:rPr>
          <w:spacing w:val="-1"/>
        </w:rPr>
        <w:t> </w:t>
      </w:r>
      <w:r>
        <w:rPr/>
        <w:t>125-152.</w:t>
      </w:r>
      <w:r>
        <w:rPr>
          <w:spacing w:val="-1"/>
        </w:rPr>
        <w:t> </w:t>
      </w:r>
      <w:r>
        <w:rPr/>
        <w:t>doi:10.1111/1467-646X.00081</w:t>
      </w:r>
    </w:p>
    <w:p>
      <w:pPr>
        <w:spacing w:before="199"/>
        <w:ind w:left="1542" w:right="827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78464">
            <wp:simplePos x="0" y="0"/>
            <wp:positionH relativeFrom="page">
              <wp:posOffset>1261605</wp:posOffset>
            </wp:positionH>
            <wp:positionV relativeFrom="paragraph">
              <wp:posOffset>121197</wp:posOffset>
            </wp:positionV>
            <wp:extent cx="5133225" cy="5265293"/>
            <wp:effectExtent l="0" t="0" r="0" b="0"/>
            <wp:wrapNone/>
            <wp:docPr id="2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Firth, M., Fung, P. Y. P., &amp; Ruin, O. (2007). Ownership, two-tier board structure, and the</w:t>
      </w:r>
      <w:r>
        <w:rPr>
          <w:spacing w:val="1"/>
          <w:sz w:val="24"/>
        </w:rPr>
        <w:t> </w:t>
      </w:r>
      <w:r>
        <w:rPr>
          <w:sz w:val="24"/>
        </w:rPr>
        <w:t>informativeness of earnings: Evidence from China. </w:t>
      </w:r>
      <w:r>
        <w:rPr>
          <w:i/>
          <w:sz w:val="24"/>
        </w:rPr>
        <w:t>Journal of Accounting and 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26</w:t>
      </w:r>
      <w:r>
        <w:rPr>
          <w:sz w:val="24"/>
        </w:rPr>
        <w:t>(1), 463-469.</w:t>
      </w:r>
    </w:p>
    <w:p>
      <w:pPr>
        <w:pStyle w:val="BodyText"/>
        <w:spacing w:before="202"/>
        <w:ind w:left="1542" w:right="830" w:hanging="720"/>
      </w:pPr>
      <w:r>
        <w:rPr/>
        <w:t>Francis, I., Hasan, J., Park, C., &amp; Wu, Q. (2013). Gender differences in financial reporting</w:t>
      </w:r>
      <w:r>
        <w:rPr>
          <w:spacing w:val="1"/>
        </w:rPr>
        <w:t> </w:t>
      </w:r>
      <w:r>
        <w:rPr/>
        <w:t>decision-making: Evidence from accounting conservatism. </w:t>
      </w:r>
      <w:r>
        <w:rPr>
          <w:i/>
        </w:rPr>
        <w:t>Contemporary Accounting</w:t>
      </w:r>
      <w:r>
        <w:rPr>
          <w:i/>
          <w:spacing w:val="1"/>
        </w:rPr>
        <w:t> </w:t>
      </w:r>
      <w:r>
        <w:rPr>
          <w:i/>
        </w:rPr>
        <w:t>Research,</w:t>
      </w:r>
      <w:r>
        <w:rPr>
          <w:i/>
          <w:spacing w:val="-1"/>
        </w:rPr>
        <w:t> </w:t>
      </w:r>
      <w:r>
        <w:rPr>
          <w:i/>
        </w:rPr>
        <w:t>1</w:t>
      </w:r>
      <w:r>
        <w:rPr/>
        <w:t>(1).</w:t>
      </w:r>
    </w:p>
    <w:p>
      <w:pPr>
        <w:spacing w:before="199"/>
        <w:ind w:left="1542" w:right="831" w:hanging="720"/>
        <w:jc w:val="both"/>
        <w:rPr>
          <w:sz w:val="24"/>
        </w:rPr>
      </w:pPr>
      <w:r>
        <w:rPr>
          <w:sz w:val="24"/>
        </w:rPr>
        <w:t>Frank, M. M., &amp; Rego, S.O. (2006). Do managers use the valuation allowance account to</w:t>
      </w:r>
      <w:r>
        <w:rPr>
          <w:spacing w:val="1"/>
          <w:sz w:val="24"/>
        </w:rPr>
        <w:t> </w:t>
      </w:r>
      <w:r>
        <w:rPr>
          <w:sz w:val="24"/>
        </w:rPr>
        <w:t>manage earnings around certain earnings targets? </w:t>
      </w:r>
      <w:r>
        <w:rPr>
          <w:i/>
          <w:sz w:val="24"/>
        </w:rPr>
        <w:t>Journal of the American Taxation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 </w:t>
      </w:r>
      <w:r>
        <w:rPr>
          <w:sz w:val="24"/>
        </w:rPr>
        <w:t>28 (1): 43–65</w:t>
      </w:r>
    </w:p>
    <w:p>
      <w:pPr>
        <w:pStyle w:val="BodyText"/>
        <w:spacing w:before="200"/>
        <w:ind w:left="1542" w:right="839" w:hanging="720"/>
      </w:pPr>
      <w:r>
        <w:rPr/>
        <w:t>Frank, M., Lynch, L., &amp; Rego, S. (2009). Tax reporting aggressiveness and its relation to</w:t>
      </w:r>
      <w:r>
        <w:rPr>
          <w:spacing w:val="1"/>
        </w:rPr>
        <w:t> </w:t>
      </w:r>
      <w:r>
        <w:rPr/>
        <w:t>aggressive</w:t>
      </w:r>
      <w:r>
        <w:rPr>
          <w:spacing w:val="-2"/>
        </w:rPr>
        <w:t> </w:t>
      </w:r>
      <w:r>
        <w:rPr/>
        <w:t>financial reporting.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Accounting Review,</w:t>
      </w:r>
      <w:r>
        <w:rPr>
          <w:i/>
          <w:spacing w:val="1"/>
        </w:rPr>
        <w:t> </w:t>
      </w:r>
      <w:r>
        <w:rPr>
          <w:i/>
        </w:rPr>
        <w:t>84</w:t>
      </w:r>
      <w:r>
        <w:rPr/>
        <w:t>(2), 467-496.</w:t>
      </w:r>
    </w:p>
    <w:p>
      <w:pPr>
        <w:pStyle w:val="BodyText"/>
        <w:spacing w:before="201"/>
        <w:ind w:left="1542" w:right="831" w:hanging="720"/>
      </w:pPr>
      <w:r>
        <w:rPr/>
        <w:t>Frischmann, P. J., Shevlin, T., &amp; Wilson, R (2008). Economic consequences of increasing the</w:t>
      </w:r>
      <w:r>
        <w:rPr>
          <w:spacing w:val="1"/>
        </w:rPr>
        <w:t> </w:t>
      </w:r>
      <w:r>
        <w:rPr/>
        <w:t>conformity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uncertain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benefits.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Accounting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Economics</w:t>
      </w:r>
      <w:r>
        <w:rPr>
          <w:i/>
          <w:spacing w:val="-1"/>
        </w:rPr>
        <w:t> </w:t>
      </w:r>
      <w:r>
        <w:rPr>
          <w:i/>
        </w:rPr>
        <w:t>46</w:t>
      </w:r>
      <w:r>
        <w:rPr/>
        <w:t>(1), 261-278.</w:t>
      </w:r>
    </w:p>
    <w:p>
      <w:pPr>
        <w:pStyle w:val="BodyText"/>
        <w:spacing w:before="200"/>
        <w:ind w:left="1542" w:right="829" w:hanging="720"/>
      </w:pPr>
      <w:r>
        <w:rPr/>
        <w:t>Fuest, C &amp; Riedel, N. (2009). Tax evasion, tax avoidance and tax expenditures in developing</w:t>
      </w:r>
      <w:r>
        <w:rPr>
          <w:spacing w:val="1"/>
        </w:rPr>
        <w:t> </w:t>
      </w:r>
      <w:r>
        <w:rPr/>
        <w:t>countries: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review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literature.</w:t>
      </w:r>
      <w:r>
        <w:rPr>
          <w:spacing w:val="3"/>
        </w:rPr>
        <w:t> </w:t>
      </w:r>
      <w:r>
        <w:rPr/>
        <w:t>Available at</w:t>
      </w:r>
      <w:r>
        <w:rPr>
          <w:spacing w:val="2"/>
        </w:rPr>
        <w:t> </w:t>
      </w:r>
      <w:hyperlink r:id="rId27">
        <w:r>
          <w:rPr/>
          <w:t>https://ssrn.com</w:t>
        </w:r>
      </w:hyperlink>
      <w:r>
        <w:rPr/>
        <w:t>.</w:t>
      </w:r>
    </w:p>
    <w:p>
      <w:pPr>
        <w:pStyle w:val="BodyText"/>
        <w:spacing w:before="199"/>
        <w:ind w:left="1542" w:right="831" w:hanging="720"/>
      </w:pPr>
      <w:r>
        <w:rPr/>
        <w:t>Gaaya,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Lakhal,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Lakhal,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ownership</w:t>
      </w:r>
      <w:r>
        <w:rPr>
          <w:spacing w:val="1"/>
        </w:rPr>
        <w:t> </w:t>
      </w:r>
      <w:r>
        <w:rPr/>
        <w:t>reducecorporate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avoidance?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moderating</w:t>
      </w:r>
      <w:r>
        <w:rPr>
          <w:spacing w:val="-11"/>
        </w:rPr>
        <w:t> </w:t>
      </w:r>
      <w:r>
        <w:rPr/>
        <w:t>effect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audit</w:t>
      </w:r>
      <w:r>
        <w:rPr>
          <w:spacing w:val="-10"/>
        </w:rPr>
        <w:t> </w:t>
      </w:r>
      <w:r>
        <w:rPr/>
        <w:t>quality.</w:t>
      </w:r>
      <w:r>
        <w:rPr>
          <w:spacing w:val="-8"/>
        </w:rPr>
        <w:t> </w:t>
      </w:r>
      <w:r>
        <w:rPr>
          <w:i/>
        </w:rPr>
        <w:t>Managerial</w:t>
      </w:r>
      <w:r>
        <w:rPr>
          <w:i/>
          <w:spacing w:val="-10"/>
        </w:rPr>
        <w:t> </w:t>
      </w:r>
      <w:r>
        <w:rPr>
          <w:i/>
        </w:rPr>
        <w:t>Auditing</w:t>
      </w:r>
      <w:r>
        <w:rPr>
          <w:i/>
          <w:spacing w:val="-10"/>
        </w:rPr>
        <w:t> </w:t>
      </w:r>
      <w:r>
        <w:rPr>
          <w:i/>
        </w:rPr>
        <w:t>Journal</w:t>
      </w:r>
      <w:r>
        <w:rPr/>
        <w:t>,</w:t>
      </w:r>
      <w:r>
        <w:rPr>
          <w:spacing w:val="-11"/>
        </w:rPr>
        <w:t> </w:t>
      </w:r>
      <w:r>
        <w:rPr/>
        <w:t>32(7),</w:t>
      </w:r>
      <w:r>
        <w:rPr>
          <w:spacing w:val="-58"/>
        </w:rPr>
        <w:t> </w:t>
      </w:r>
      <w:r>
        <w:rPr/>
        <w:t>731-744.</w:t>
      </w:r>
    </w:p>
    <w:p>
      <w:pPr>
        <w:pStyle w:val="BodyText"/>
        <w:spacing w:before="199"/>
        <w:ind w:left="1542" w:right="831" w:hanging="720"/>
      </w:pPr>
      <w:r>
        <w:rPr/>
        <w:t>Gaertner, F., (2011). CEO after-tax compensation incentives and corporate tax avoidance.</w:t>
      </w:r>
      <w:r>
        <w:rPr>
          <w:spacing w:val="1"/>
        </w:rPr>
        <w:t> </w:t>
      </w:r>
      <w:r>
        <w:rPr/>
        <w:t>Dissertation Submitted to the Faculty of the Committee on Business Administration in</w:t>
      </w:r>
      <w:r>
        <w:rPr>
          <w:spacing w:val="-57"/>
        </w:rPr>
        <w:t> </w:t>
      </w:r>
      <w:r>
        <w:rPr/>
        <w:t>Partial</w:t>
      </w:r>
      <w:r>
        <w:rPr>
          <w:spacing w:val="-1"/>
        </w:rPr>
        <w:t> </w:t>
      </w:r>
      <w:r>
        <w:rPr/>
        <w:t>Fulfillment of</w:t>
      </w:r>
      <w:r>
        <w:rPr>
          <w:spacing w:val="-1"/>
        </w:rPr>
        <w:t> </w:t>
      </w:r>
      <w:r>
        <w:rPr/>
        <w:t>the Requirements for</w:t>
      </w:r>
      <w:r>
        <w:rPr>
          <w:spacing w:val="-2"/>
        </w:rPr>
        <w:t> </w:t>
      </w:r>
      <w:r>
        <w:rPr/>
        <w:t>the Degree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Doctor of</w:t>
      </w:r>
      <w:r>
        <w:rPr>
          <w:spacing w:val="-2"/>
        </w:rPr>
        <w:t> </w:t>
      </w:r>
      <w:r>
        <w:rPr/>
        <w:t>Philosophy.</w:t>
      </w:r>
    </w:p>
    <w:p>
      <w:pPr>
        <w:pStyle w:val="BodyText"/>
        <w:spacing w:before="203"/>
        <w:ind w:left="1542" w:right="832" w:hanging="720"/>
      </w:pPr>
      <w:r>
        <w:rPr/>
        <w:t>Ghazali, M.,</w:t>
      </w:r>
      <w:r>
        <w:rPr>
          <w:spacing w:val="1"/>
        </w:rPr>
        <w:t> </w:t>
      </w:r>
      <w:r>
        <w:rPr/>
        <w:t>Nazli, R., &amp; Weetman, P.. (2006). Perpetuating traditional influences: voluntary</w:t>
      </w:r>
      <w:r>
        <w:rPr>
          <w:spacing w:val="1"/>
        </w:rPr>
        <w:t> </w:t>
      </w:r>
      <w:r>
        <w:rPr/>
        <w:t>disclosure in Malaysia following the economic crisis. The International Journal of</w:t>
      </w:r>
      <w:r>
        <w:rPr>
          <w:spacing w:val="1"/>
        </w:rPr>
        <w:t> </w:t>
      </w:r>
      <w:r>
        <w:rPr/>
        <w:t>Accounting.</w:t>
      </w:r>
      <w:r>
        <w:rPr>
          <w:spacing w:val="-1"/>
        </w:rPr>
        <w:t> </w:t>
      </w:r>
      <w:r>
        <w:rPr/>
        <w:t>1. 226-248.</w:t>
      </w:r>
    </w:p>
    <w:p>
      <w:pPr>
        <w:pStyle w:val="BodyText"/>
        <w:spacing w:before="199"/>
        <w:ind w:left="1542" w:right="831" w:hanging="720"/>
      </w:pPr>
      <w:r>
        <w:rPr/>
        <w:t>Gibbins M, Richardson A, &amp; Waterhouse J (1990). The Management of Corporate Financial</w:t>
      </w:r>
      <w:r>
        <w:rPr>
          <w:spacing w:val="1"/>
        </w:rPr>
        <w:t> </w:t>
      </w:r>
      <w:r>
        <w:rPr/>
        <w:t>Disclosures: Opportunism, Ritualism, Policies, and Processes. Journal of Accounting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28: 121-143.</w:t>
      </w:r>
    </w:p>
    <w:p>
      <w:pPr>
        <w:pStyle w:val="BodyText"/>
        <w:spacing w:before="199"/>
        <w:ind w:left="1542" w:right="835" w:hanging="720"/>
      </w:pPr>
      <w:r>
        <w:rPr/>
        <w:t>Gonzalez, J. S., &amp; Garcia-Meca, E. (2013). Does corporate governance influence earnings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Latin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markets?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Business</w:t>
      </w:r>
      <w:r>
        <w:rPr>
          <w:i/>
          <w:spacing w:val="-1"/>
        </w:rPr>
        <w:t> </w:t>
      </w:r>
      <w:r>
        <w:rPr>
          <w:i/>
        </w:rPr>
        <w:t>Ethics,</w:t>
      </w:r>
      <w:r>
        <w:rPr>
          <w:i/>
          <w:spacing w:val="-1"/>
        </w:rPr>
        <w:t> </w:t>
      </w:r>
      <w:r>
        <w:rPr>
          <w:i/>
        </w:rPr>
        <w:t>121</w:t>
      </w:r>
      <w:r>
        <w:rPr/>
        <w:t>(3),</w:t>
      </w:r>
      <w:r>
        <w:rPr>
          <w:spacing w:val="-1"/>
        </w:rPr>
        <w:t> </w:t>
      </w:r>
      <w:r>
        <w:rPr/>
        <w:t>419-440.</w:t>
      </w:r>
    </w:p>
    <w:p>
      <w:pPr>
        <w:pStyle w:val="BodyText"/>
        <w:spacing w:before="202"/>
        <w:ind w:left="1542" w:right="828" w:hanging="720"/>
      </w:pPr>
      <w:hyperlink r:id="rId28">
        <w:r>
          <w:rPr/>
          <w:t>Graham,</w:t>
        </w:r>
      </w:hyperlink>
      <w:r>
        <w:rPr>
          <w:spacing w:val="-1"/>
        </w:rPr>
        <w:t> </w:t>
      </w:r>
      <w:r>
        <w:rPr/>
        <w:t>C.,</w:t>
      </w:r>
      <w:r>
        <w:rPr>
          <w:spacing w:val="58"/>
        </w:rPr>
        <w:t> </w:t>
      </w:r>
      <w:hyperlink r:id="rId29">
        <w:r>
          <w:rPr/>
          <w:t>Litan</w:t>
        </w:r>
      </w:hyperlink>
      <w:r>
        <w:rPr/>
        <w:t>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hyperlink r:id="rId30">
        <w:r>
          <w:rPr/>
          <w:t>Sukhtanka</w:t>
        </w:r>
      </w:hyperlink>
      <w:r>
        <w:rPr/>
        <w:t>,</w:t>
      </w:r>
      <w:r>
        <w:rPr>
          <w:spacing w:val="-1"/>
        </w:rPr>
        <w:t> </w:t>
      </w:r>
      <w:r>
        <w:rPr/>
        <w:t>S.</w:t>
      </w:r>
      <w:r>
        <w:rPr>
          <w:spacing w:val="-1"/>
        </w:rPr>
        <w:t> </w:t>
      </w:r>
      <w:r>
        <w:rPr/>
        <w:t>(2002)</w:t>
      </w:r>
      <w:r>
        <w:rPr>
          <w:spacing w:val="-2"/>
        </w:rPr>
        <w:t> </w:t>
      </w:r>
      <w:r>
        <w:rPr/>
        <w:t>Cooking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Books: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Cost 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  <w:r>
        <w:rPr>
          <w:spacing w:val="-58"/>
        </w:rPr>
        <w:t> </w:t>
      </w:r>
      <w:hyperlink r:id="rId31">
        <w:r>
          <w:rPr/>
          <w:t>www.brookings.edu</w:t>
        </w:r>
      </w:hyperlink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1542" w:right="839" w:hanging="720"/>
      </w:pPr>
      <w:r>
        <w:rPr/>
        <w:t>Graham, J, Hanlon, M., Shevlin, T., &amp; Shroff, N. (2013). Incentives for Tax Planning and</w:t>
      </w:r>
      <w:r>
        <w:rPr>
          <w:spacing w:val="1"/>
        </w:rPr>
        <w:t> </w:t>
      </w:r>
      <w:r>
        <w:rPr/>
        <w:t>Avoidance:</w:t>
      </w:r>
      <w:r>
        <w:rPr>
          <w:spacing w:val="-1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Field. Accounting Review.</w:t>
      </w:r>
      <w:r>
        <w:rPr>
          <w:spacing w:val="-1"/>
        </w:rPr>
        <w:t> </w:t>
      </w:r>
      <w:r>
        <w:rPr/>
        <w:t>89(10) 21-47.</w:t>
      </w:r>
    </w:p>
    <w:p>
      <w:pPr>
        <w:pStyle w:val="BodyText"/>
        <w:spacing w:before="202"/>
        <w:ind w:left="0" w:right="12"/>
        <w:jc w:val="center"/>
      </w:pPr>
      <w:r>
        <w:rPr/>
        <w:t>Graham,</w:t>
      </w:r>
      <w:r>
        <w:rPr>
          <w:spacing w:val="27"/>
        </w:rPr>
        <w:t> </w:t>
      </w:r>
      <w:r>
        <w:rPr/>
        <w:t>J.,</w:t>
      </w:r>
      <w:r>
        <w:rPr>
          <w:spacing w:val="27"/>
        </w:rPr>
        <w:t> </w:t>
      </w:r>
      <w:r>
        <w:rPr/>
        <w:t>Raedy,</w:t>
      </w:r>
      <w:r>
        <w:rPr>
          <w:spacing w:val="27"/>
        </w:rPr>
        <w:t> </w:t>
      </w:r>
      <w:r>
        <w:rPr/>
        <w:t>J.,</w:t>
      </w:r>
      <w:r>
        <w:rPr>
          <w:spacing w:val="26"/>
        </w:rPr>
        <w:t> </w:t>
      </w:r>
      <w:r>
        <w:rPr/>
        <w:t>&amp;</w:t>
      </w:r>
      <w:r>
        <w:rPr>
          <w:spacing w:val="28"/>
        </w:rPr>
        <w:t> </w:t>
      </w:r>
      <w:r>
        <w:rPr/>
        <w:t>Shackelford,</w:t>
      </w:r>
      <w:r>
        <w:rPr>
          <w:spacing w:val="27"/>
        </w:rPr>
        <w:t> </w:t>
      </w:r>
      <w:r>
        <w:rPr/>
        <w:t>D.</w:t>
      </w:r>
      <w:r>
        <w:rPr>
          <w:spacing w:val="26"/>
        </w:rPr>
        <w:t> </w:t>
      </w:r>
      <w:r>
        <w:rPr/>
        <w:t>(2012).</w:t>
      </w:r>
      <w:r>
        <w:rPr>
          <w:spacing w:val="26"/>
        </w:rPr>
        <w:t> </w:t>
      </w:r>
      <w:r>
        <w:rPr/>
        <w:t>Research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accounting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income</w:t>
      </w:r>
      <w:r>
        <w:rPr>
          <w:spacing w:val="25"/>
        </w:rPr>
        <w:t> </w:t>
      </w:r>
      <w:r>
        <w:rPr/>
        <w:t>taxes,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 </w:t>
      </w:r>
      <w:r>
        <w:rPr>
          <w:sz w:val="24"/>
        </w:rPr>
        <w:t>53</w:t>
      </w:r>
      <w:r>
        <w:rPr>
          <w:spacing w:val="-1"/>
          <w:sz w:val="24"/>
        </w:rPr>
        <w:t> </w:t>
      </w:r>
      <w:r>
        <w:rPr>
          <w:sz w:val="24"/>
        </w:rPr>
        <w:t>(1-2): 412-434.</w:t>
      </w:r>
    </w:p>
    <w:p>
      <w:pPr>
        <w:pStyle w:val="BodyText"/>
        <w:spacing w:before="200"/>
        <w:ind w:left="1542" w:right="834" w:hanging="720"/>
      </w:pPr>
      <w:r>
        <w:rPr>
          <w:spacing w:val="-1"/>
        </w:rPr>
        <w:t>Graham,</w:t>
      </w:r>
      <w:r>
        <w:rPr>
          <w:spacing w:val="-14"/>
        </w:rPr>
        <w:t> </w:t>
      </w:r>
      <w:r>
        <w:rPr>
          <w:spacing w:val="-1"/>
        </w:rPr>
        <w:t>J.R.,</w:t>
      </w:r>
      <w:r>
        <w:rPr>
          <w:spacing w:val="-15"/>
        </w:rPr>
        <w:t> </w:t>
      </w:r>
      <w:r>
        <w:rPr>
          <w:spacing w:val="-1"/>
        </w:rPr>
        <w:t>&amp;</w:t>
      </w:r>
      <w:r>
        <w:rPr>
          <w:spacing w:val="-14"/>
        </w:rPr>
        <w:t> </w:t>
      </w:r>
      <w:r>
        <w:rPr>
          <w:spacing w:val="-1"/>
        </w:rPr>
        <w:t>Tucker,</w:t>
      </w:r>
      <w:r>
        <w:rPr>
          <w:spacing w:val="-12"/>
        </w:rPr>
        <w:t> </w:t>
      </w:r>
      <w:r>
        <w:rPr/>
        <w:t>A.L.</w:t>
      </w:r>
      <w:r>
        <w:rPr>
          <w:spacing w:val="-15"/>
        </w:rPr>
        <w:t> </w:t>
      </w:r>
      <w:r>
        <w:rPr/>
        <w:t>(2006).</w:t>
      </w:r>
      <w:r>
        <w:rPr>
          <w:spacing w:val="-16"/>
        </w:rPr>
        <w:t> </w:t>
      </w:r>
      <w:r>
        <w:rPr/>
        <w:t>Tax</w:t>
      </w:r>
      <w:r>
        <w:rPr>
          <w:spacing w:val="-15"/>
        </w:rPr>
        <w:t> </w:t>
      </w:r>
      <w:r>
        <w:rPr/>
        <w:t>shelters</w:t>
      </w:r>
      <w:r>
        <w:rPr>
          <w:spacing w:val="-12"/>
        </w:rPr>
        <w:t> </w:t>
      </w:r>
      <w:r>
        <w:rPr/>
        <w:t>and</w:t>
      </w:r>
      <w:r>
        <w:rPr>
          <w:spacing w:val="-15"/>
        </w:rPr>
        <w:t> </w:t>
      </w:r>
      <w:r>
        <w:rPr/>
        <w:t>corporate</w:t>
      </w:r>
      <w:r>
        <w:rPr>
          <w:spacing w:val="-15"/>
        </w:rPr>
        <w:t> </w:t>
      </w:r>
      <w:r>
        <w:rPr/>
        <w:t>debt</w:t>
      </w:r>
      <w:r>
        <w:rPr>
          <w:spacing w:val="-14"/>
        </w:rPr>
        <w:t> </w:t>
      </w:r>
      <w:r>
        <w:rPr/>
        <w:t>policy.</w:t>
      </w:r>
      <w:r>
        <w:rPr>
          <w:spacing w:val="-14"/>
        </w:rPr>
        <w:t> </w:t>
      </w:r>
      <w:r>
        <w:rPr/>
        <w:t>Journal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Finance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Economics. 81(3):563-594.</w:t>
      </w:r>
    </w:p>
    <w:p>
      <w:pPr>
        <w:spacing w:before="199"/>
        <w:ind w:left="1542" w:right="830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78976">
            <wp:simplePos x="0" y="0"/>
            <wp:positionH relativeFrom="page">
              <wp:posOffset>1261605</wp:posOffset>
            </wp:positionH>
            <wp:positionV relativeFrom="paragraph">
              <wp:posOffset>471717</wp:posOffset>
            </wp:positionV>
            <wp:extent cx="5133225" cy="5265293"/>
            <wp:effectExtent l="0" t="0" r="0" b="0"/>
            <wp:wrapNone/>
            <wp:docPr id="28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Gupta,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Nair,</w:t>
      </w:r>
      <w:r>
        <w:rPr>
          <w:spacing w:val="1"/>
          <w:sz w:val="24"/>
        </w:rPr>
        <w:t> </w:t>
      </w:r>
      <w:r>
        <w:rPr>
          <w:sz w:val="24"/>
        </w:rPr>
        <w:t>A.P.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Gogula,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governance</w:t>
      </w:r>
      <w:r>
        <w:rPr>
          <w:spacing w:val="1"/>
          <w:sz w:val="24"/>
        </w:rPr>
        <w:t> </w:t>
      </w:r>
      <w:r>
        <w:rPr>
          <w:sz w:val="24"/>
        </w:rPr>
        <w:t>reporting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Indian</w:t>
      </w:r>
      <w:r>
        <w:rPr>
          <w:spacing w:val="1"/>
          <w:sz w:val="24"/>
        </w:rPr>
        <w:t> </w:t>
      </w:r>
      <w:r>
        <w:rPr>
          <w:sz w:val="24"/>
        </w:rPr>
        <w:t>companies: a content analysis study. </w:t>
      </w:r>
      <w:r>
        <w:rPr>
          <w:i/>
          <w:sz w:val="24"/>
        </w:rPr>
        <w:t>The ICFAI Journal of Corporate Governance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2(4,).7–18.</w:t>
      </w:r>
    </w:p>
    <w:p>
      <w:pPr>
        <w:pStyle w:val="BodyText"/>
        <w:spacing w:before="201"/>
        <w:ind w:left="1542" w:right="830" w:hanging="720"/>
      </w:pPr>
      <w:r>
        <w:rPr/>
        <w:t>Gupta,</w:t>
      </w:r>
      <w:r>
        <w:rPr>
          <w:spacing w:val="1"/>
        </w:rPr>
        <w:t> </w:t>
      </w:r>
      <w:r>
        <w:rPr/>
        <w:t>K.C.</w:t>
      </w:r>
      <w:r>
        <w:rPr>
          <w:spacing w:val="1"/>
        </w:rPr>
        <w:t> </w:t>
      </w:r>
      <w:r>
        <w:rPr/>
        <w:t>(2006).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companies of automobile industry in Haryana’, </w:t>
      </w:r>
      <w:r>
        <w:rPr>
          <w:i/>
        </w:rPr>
        <w:t>Punjab Journal of Business Studies</w:t>
      </w:r>
      <w:r>
        <w:rPr/>
        <w:t>,</w:t>
      </w:r>
      <w:r>
        <w:rPr>
          <w:spacing w:val="1"/>
        </w:rPr>
        <w:t> </w:t>
      </w:r>
      <w:r>
        <w:rPr/>
        <w:t>Vol. 1, No. 2, pp.58–71.</w:t>
      </w:r>
    </w:p>
    <w:p>
      <w:pPr>
        <w:spacing w:before="200"/>
        <w:ind w:left="1542" w:right="831" w:hanging="720"/>
        <w:jc w:val="both"/>
        <w:rPr>
          <w:sz w:val="24"/>
        </w:rPr>
      </w:pPr>
      <w:r>
        <w:rPr>
          <w:sz w:val="24"/>
        </w:rPr>
        <w:t>Gupta, S., &amp; Newberry, K. (1997). Determinants of the variability in corporate tax rates: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-7"/>
          <w:sz w:val="24"/>
        </w:rPr>
        <w:t> </w:t>
      </w:r>
      <w:r>
        <w:rPr>
          <w:sz w:val="24"/>
        </w:rPr>
        <w:t>from</w:t>
      </w:r>
      <w:r>
        <w:rPr>
          <w:spacing w:val="-7"/>
          <w:sz w:val="24"/>
        </w:rPr>
        <w:t> </w:t>
      </w:r>
      <w:r>
        <w:rPr>
          <w:sz w:val="24"/>
        </w:rPr>
        <w:t>longitudinal</w:t>
      </w:r>
      <w:r>
        <w:rPr>
          <w:spacing w:val="-6"/>
          <w:sz w:val="24"/>
        </w:rPr>
        <w:t> </w:t>
      </w:r>
      <w:r>
        <w:rPr>
          <w:sz w:val="24"/>
        </w:rPr>
        <w:t>data.</w:t>
      </w:r>
      <w:r>
        <w:rPr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Policy,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(1),</w:t>
      </w:r>
      <w:r>
        <w:rPr>
          <w:spacing w:val="-5"/>
          <w:sz w:val="24"/>
        </w:rPr>
        <w:t> </w:t>
      </w:r>
      <w:r>
        <w:rPr>
          <w:sz w:val="24"/>
        </w:rPr>
        <w:t>1-34.</w:t>
      </w:r>
    </w:p>
    <w:p>
      <w:pPr>
        <w:pStyle w:val="BodyText"/>
        <w:spacing w:before="200"/>
        <w:ind w:left="1542" w:right="831" w:hanging="720"/>
      </w:pPr>
      <w:r>
        <w:rPr/>
        <w:t>Hampel Committee (1998). </w:t>
      </w:r>
      <w:r>
        <w:rPr>
          <w:i/>
        </w:rPr>
        <w:t>The Hampel Committee: Final Report</w:t>
      </w:r>
      <w:r>
        <w:rPr/>
        <w:t>, published by the European</w:t>
      </w:r>
      <w:r>
        <w:rPr>
          <w:spacing w:val="-57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[online]</w:t>
      </w:r>
      <w:r>
        <w:rPr>
          <w:spacing w:val="1"/>
        </w:rPr>
        <w:t> </w:t>
      </w:r>
      <w:hyperlink r:id="rId32">
        <w:r>
          <w:rPr/>
          <w:t>http://www.ecgi.org/codes/documents/</w:t>
        </w:r>
      </w:hyperlink>
      <w:r>
        <w:rPr>
          <w:spacing w:val="-57"/>
        </w:rPr>
        <w:t> </w:t>
      </w:r>
      <w:hyperlink r:id="rId32">
        <w:r>
          <w:rPr/>
          <w:t>hampel</w:t>
        </w:r>
      </w:hyperlink>
      <w:r>
        <w:rPr/>
        <w:t>.</w:t>
      </w:r>
    </w:p>
    <w:p>
      <w:pPr>
        <w:pStyle w:val="BodyText"/>
        <w:spacing w:before="201"/>
        <w:ind w:left="1542" w:right="832" w:hanging="720"/>
      </w:pPr>
      <w:r>
        <w:rPr/>
        <w:t>Haniffa, R. &amp; Cooke, T.. (2002). Culture, Corporate Governance and Disclosure in Malaysian</w:t>
      </w:r>
      <w:r>
        <w:rPr>
          <w:spacing w:val="-57"/>
        </w:rPr>
        <w:t> </w:t>
      </w:r>
      <w:r>
        <w:rPr/>
        <w:t>Corporations.</w:t>
      </w:r>
      <w:r>
        <w:rPr>
          <w:spacing w:val="-1"/>
        </w:rPr>
        <w:t> </w:t>
      </w:r>
      <w:r>
        <w:rPr/>
        <w:t>Abacus. 38(2)</w:t>
      </w:r>
      <w:r>
        <w:rPr>
          <w:spacing w:val="-2"/>
        </w:rPr>
        <w:t> </w:t>
      </w:r>
      <w:r>
        <w:rPr/>
        <w:t>317-349.</w:t>
      </w:r>
    </w:p>
    <w:p>
      <w:pPr>
        <w:pStyle w:val="BodyText"/>
        <w:spacing w:before="199"/>
        <w:ind w:left="1542" w:right="838" w:hanging="720"/>
      </w:pPr>
      <w:r>
        <w:rPr/>
        <w:t>Haniffa, R. &amp; Cooke, T.E.. (2005). The impact of culture and governance on corporate social</w:t>
      </w:r>
      <w:r>
        <w:rPr>
          <w:spacing w:val="1"/>
        </w:rPr>
        <w:t> </w:t>
      </w:r>
      <w:r>
        <w:rPr/>
        <w:t>reporting.</w:t>
      </w:r>
      <w:r>
        <w:rPr>
          <w:spacing w:val="-1"/>
        </w:rPr>
        <w:t> </w:t>
      </w:r>
      <w:r>
        <w:rPr/>
        <w:t>Journal of</w:t>
      </w:r>
      <w:r>
        <w:rPr>
          <w:spacing w:val="1"/>
        </w:rPr>
        <w:t> </w:t>
      </w:r>
      <w:r>
        <w:rPr/>
        <w:t>Accounting</w:t>
      </w:r>
      <w:r>
        <w:rPr>
          <w:spacing w:val="-1"/>
        </w:rPr>
        <w:t> </w:t>
      </w:r>
      <w:r>
        <w:rPr/>
        <w:t>and Public</w:t>
      </w:r>
      <w:r>
        <w:rPr>
          <w:spacing w:val="-1"/>
        </w:rPr>
        <w:t> </w:t>
      </w:r>
      <w:r>
        <w:rPr/>
        <w:t>Policy. 24(3)</w:t>
      </w:r>
      <w:r>
        <w:rPr>
          <w:spacing w:val="-1"/>
        </w:rPr>
        <w:t> </w:t>
      </w:r>
      <w:r>
        <w:rPr/>
        <w:t>391-430.</w:t>
      </w:r>
    </w:p>
    <w:p>
      <w:pPr>
        <w:spacing w:before="200"/>
        <w:ind w:left="1542" w:right="833" w:hanging="720"/>
        <w:jc w:val="both"/>
        <w:rPr>
          <w:sz w:val="24"/>
        </w:rPr>
      </w:pPr>
      <w:r>
        <w:rPr>
          <w:sz w:val="24"/>
        </w:rPr>
        <w:t>Hanlon, M. &amp; Heitzman, S. (2010). A review of tax research. </w:t>
      </w:r>
      <w:r>
        <w:rPr>
          <w:i/>
          <w:sz w:val="24"/>
        </w:rPr>
        <w:t>Journal of Accounting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(1), 127-178.</w:t>
      </w:r>
    </w:p>
    <w:p>
      <w:pPr>
        <w:pStyle w:val="BodyText"/>
        <w:spacing w:before="202"/>
        <w:ind w:left="1542" w:right="839" w:hanging="720"/>
      </w:pPr>
      <w:r>
        <w:rPr/>
        <w:t>Hanlon, M. (2003). What can</w:t>
      </w:r>
      <w:r>
        <w:rPr>
          <w:spacing w:val="1"/>
        </w:rPr>
        <w:t> </w:t>
      </w:r>
      <w:r>
        <w:rPr/>
        <w:t>we infer about</w:t>
      </w:r>
      <w:r>
        <w:rPr>
          <w:spacing w:val="1"/>
        </w:rPr>
        <w:t> </w:t>
      </w:r>
      <w:r>
        <w:rPr/>
        <w:t>a firm's taxable income from its financial</w:t>
      </w:r>
      <w:r>
        <w:rPr>
          <w:spacing w:val="1"/>
        </w:rPr>
        <w:t> </w:t>
      </w:r>
      <w:r>
        <w:rPr/>
        <w:t>statements?</w:t>
      </w:r>
      <w:r>
        <w:rPr>
          <w:spacing w:val="-1"/>
        </w:rPr>
        <w:t> </w:t>
      </w:r>
      <w:r>
        <w:rPr>
          <w:i/>
        </w:rPr>
        <w:t>National Tax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>
          <w:i/>
        </w:rPr>
        <w:t>56</w:t>
      </w:r>
      <w:r>
        <w:rPr/>
        <w:t>(4), 831-864.</w:t>
      </w:r>
    </w:p>
    <w:p>
      <w:pPr>
        <w:pStyle w:val="BodyText"/>
        <w:spacing w:before="199"/>
        <w:ind w:right="834"/>
        <w:jc w:val="center"/>
      </w:pPr>
      <w:r>
        <w:rPr/>
        <w:t>Hanlon,</w:t>
      </w:r>
      <w:r>
        <w:rPr>
          <w:spacing w:val="25"/>
        </w:rPr>
        <w:t> </w:t>
      </w:r>
      <w:r>
        <w:rPr/>
        <w:t>M.</w:t>
      </w:r>
      <w:r>
        <w:rPr>
          <w:spacing w:val="25"/>
        </w:rPr>
        <w:t> </w:t>
      </w:r>
      <w:r>
        <w:rPr/>
        <w:t>(2005).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persistence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pricing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earnings,</w:t>
      </w:r>
      <w:r>
        <w:rPr>
          <w:spacing w:val="25"/>
        </w:rPr>
        <w:t> </w:t>
      </w:r>
      <w:r>
        <w:rPr/>
        <w:t>accruals,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cash</w:t>
      </w:r>
      <w:r>
        <w:rPr>
          <w:spacing w:val="25"/>
        </w:rPr>
        <w:t> </w:t>
      </w:r>
      <w:r>
        <w:rPr/>
        <w:t>flows</w:t>
      </w:r>
      <w:r>
        <w:rPr>
          <w:spacing w:val="25"/>
        </w:rPr>
        <w:t> </w:t>
      </w:r>
      <w:r>
        <w:rPr/>
        <w:t>when</w:t>
      </w:r>
      <w:r>
        <w:rPr>
          <w:spacing w:val="-57"/>
        </w:rPr>
        <w:t> </w:t>
      </w:r>
      <w:r>
        <w:rPr/>
        <w:t>firms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large</w:t>
      </w:r>
      <w:r>
        <w:rPr>
          <w:spacing w:val="-1"/>
        </w:rPr>
        <w:t> </w:t>
      </w:r>
      <w:r>
        <w:rPr/>
        <w:t>book-tax differences.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Accounting Review,</w:t>
      </w:r>
      <w:r>
        <w:rPr>
          <w:i/>
          <w:spacing w:val="1"/>
        </w:rPr>
        <w:t> </w:t>
      </w:r>
      <w:r>
        <w:rPr>
          <w:i/>
        </w:rPr>
        <w:t>80</w:t>
      </w:r>
      <w:r>
        <w:rPr/>
        <w:t>(1),</w:t>
      </w:r>
      <w:r>
        <w:rPr>
          <w:spacing w:val="-1"/>
        </w:rPr>
        <w:t> </w:t>
      </w:r>
      <w:r>
        <w:rPr/>
        <w:t>137-166.</w:t>
      </w:r>
    </w:p>
    <w:p>
      <w:pPr>
        <w:spacing w:before="199"/>
        <w:ind w:left="1542" w:right="829" w:hanging="720"/>
        <w:jc w:val="both"/>
        <w:rPr>
          <w:sz w:val="24"/>
        </w:rPr>
      </w:pPr>
      <w:r>
        <w:rPr>
          <w:sz w:val="24"/>
        </w:rPr>
        <w:t>Harrington, C., &amp; Smith, W. (2012). Tax avoidance and corporate capital structure. </w:t>
      </w:r>
      <w:r>
        <w:rPr>
          <w:i/>
          <w:sz w:val="24"/>
        </w:rPr>
        <w:t>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Finance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Accountancy</w:t>
      </w:r>
      <w:r>
        <w:rPr>
          <w:sz w:val="24"/>
        </w:rPr>
        <w:t>, 11(2), 1– 20.</w:t>
      </w:r>
    </w:p>
    <w:p>
      <w:pPr>
        <w:pStyle w:val="BodyText"/>
        <w:spacing w:before="200"/>
        <w:ind w:left="1542" w:right="832" w:hanging="720"/>
      </w:pPr>
      <w:r>
        <w:rPr/>
        <w:t>Hassan, I., Kim, T., Teng, H., &amp; Wu, O. (2013). Foreign institution investors, tax morale and</w:t>
      </w:r>
      <w:r>
        <w:rPr>
          <w:spacing w:val="1"/>
        </w:rPr>
        <w:t> </w:t>
      </w:r>
      <w:r>
        <w:rPr/>
        <w:t>corporate tax avoidance: International evidence. Working Paper, Gabelli School of</w:t>
      </w:r>
      <w:r>
        <w:rPr>
          <w:spacing w:val="1"/>
        </w:rPr>
        <w:t> </w:t>
      </w:r>
      <w:r>
        <w:rPr/>
        <w:t>Business,</w:t>
      </w:r>
      <w:r>
        <w:rPr>
          <w:spacing w:val="-1"/>
        </w:rPr>
        <w:t> </w:t>
      </w:r>
      <w:r>
        <w:rPr/>
        <w:t>Fordham University, New York.</w:t>
      </w:r>
    </w:p>
    <w:p>
      <w:pPr>
        <w:pStyle w:val="BodyText"/>
        <w:spacing w:before="202"/>
        <w:ind w:left="1542" w:right="831" w:hanging="720"/>
      </w:pPr>
      <w:r>
        <w:rPr/>
        <w:t>Haug, H., and Eggers, R., (1991). Morphometry of the human cortex cerebral and corpus</w:t>
      </w:r>
      <w:r>
        <w:rPr>
          <w:spacing w:val="1"/>
        </w:rPr>
        <w:t> </w:t>
      </w:r>
      <w:r>
        <w:rPr/>
        <w:t>striatum</w:t>
      </w:r>
      <w:r>
        <w:rPr>
          <w:spacing w:val="-1"/>
        </w:rPr>
        <w:t> </w:t>
      </w:r>
      <w:r>
        <w:rPr/>
        <w:t>during aging. Neurobiol Aging 12:336</w:t>
      </w:r>
      <w:r>
        <w:rPr>
          <w:spacing w:val="1"/>
        </w:rPr>
        <w:t> </w:t>
      </w:r>
      <w:r>
        <w:rPr/>
        <w:t>– 8; discussion 352–355.</w:t>
      </w:r>
    </w:p>
    <w:p>
      <w:pPr>
        <w:pStyle w:val="BodyText"/>
        <w:spacing w:before="199"/>
        <w:ind w:left="1542" w:right="831" w:hanging="720"/>
      </w:pPr>
      <w:r>
        <w:rPr/>
        <w:t>Healy,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Palepu,</w:t>
      </w:r>
      <w:r>
        <w:rPr>
          <w:spacing w:val="-1"/>
        </w:rPr>
        <w:t> </w:t>
      </w:r>
      <w:r>
        <w:rPr/>
        <w:t>K.</w:t>
      </w:r>
      <w:r>
        <w:rPr>
          <w:spacing w:val="-5"/>
        </w:rPr>
        <w:t> </w:t>
      </w:r>
      <w:r>
        <w:rPr/>
        <w:t>(2001)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asymmetry,</w:t>
      </w:r>
      <w:r>
        <w:rPr>
          <w:spacing w:val="-2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disclosure,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capital markets: a review of the empirical literature, </w:t>
      </w:r>
      <w:r>
        <w:rPr>
          <w:i/>
        </w:rPr>
        <w:t>Journal of Accounting and</w:t>
      </w:r>
      <w:r>
        <w:rPr>
          <w:i/>
          <w:spacing w:val="1"/>
        </w:rPr>
        <w:t> </w:t>
      </w:r>
      <w:r>
        <w:rPr>
          <w:i/>
        </w:rPr>
        <w:t>Economics</w:t>
      </w:r>
      <w:r>
        <w:rPr/>
        <w:t>,</w:t>
      </w:r>
      <w:r>
        <w:rPr>
          <w:spacing w:val="-1"/>
        </w:rPr>
        <w:t> </w:t>
      </w:r>
      <w:r>
        <w:rPr/>
        <w:t>September,</w:t>
      </w:r>
      <w:r>
        <w:rPr>
          <w:spacing w:val="1"/>
        </w:rPr>
        <w:t> </w:t>
      </w:r>
      <w:r>
        <w:rPr/>
        <w:t>Vol. 31, Nos. 1–3, pp.405–440.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1542" w:right="828" w:hanging="720"/>
      </w:pPr>
      <w:r>
        <w:rPr/>
        <w:t>Hegazy, M. A. and Hegazy, K., (2010). Corporate Governance in the U.K: Audit Committees</w:t>
      </w:r>
      <w:r>
        <w:rPr>
          <w:spacing w:val="1"/>
        </w:rPr>
        <w:t> </w:t>
      </w:r>
      <w:r>
        <w:rPr/>
        <w:t>and Disclosure Arrangements - A Web-Based Analysis. Journal of Business Studies</w:t>
      </w:r>
      <w:r>
        <w:rPr>
          <w:spacing w:val="1"/>
        </w:rPr>
        <w:t> </w:t>
      </w:r>
      <w:r>
        <w:rPr/>
        <w:t>Quarterly,</w:t>
      </w:r>
      <w:r>
        <w:rPr>
          <w:spacing w:val="-1"/>
        </w:rPr>
        <w:t> </w:t>
      </w:r>
      <w:r>
        <w:rPr/>
        <w:t>1 (2) 32-55.</w:t>
      </w:r>
    </w:p>
    <w:p>
      <w:pPr>
        <w:pStyle w:val="BodyText"/>
        <w:spacing w:before="202"/>
        <w:jc w:val="left"/>
      </w:pPr>
      <w:r>
        <w:rPr>
          <w:spacing w:val="-1"/>
        </w:rPr>
        <w:t>Hermalin,</w:t>
      </w:r>
      <w:r>
        <w:rPr>
          <w:spacing w:val="-15"/>
        </w:rPr>
        <w:t> </w:t>
      </w:r>
      <w:r>
        <w:rPr>
          <w:spacing w:val="-1"/>
        </w:rPr>
        <w:t>Benjamin</w:t>
      </w:r>
      <w:r>
        <w:rPr>
          <w:spacing w:val="-13"/>
        </w:rPr>
        <w:t> </w:t>
      </w:r>
      <w:r>
        <w:rPr/>
        <w:t>E.</w:t>
      </w:r>
      <w:r>
        <w:rPr>
          <w:spacing w:val="-14"/>
        </w:rPr>
        <w:t> </w:t>
      </w:r>
      <w:r>
        <w:rPr/>
        <w:t>&amp;</w:t>
      </w:r>
      <w:r>
        <w:rPr>
          <w:spacing w:val="-13"/>
        </w:rPr>
        <w:t> </w:t>
      </w:r>
      <w:r>
        <w:rPr/>
        <w:t>Michael</w:t>
      </w:r>
      <w:r>
        <w:rPr>
          <w:spacing w:val="-14"/>
        </w:rPr>
        <w:t> </w:t>
      </w:r>
      <w:r>
        <w:rPr/>
        <w:t>S.</w:t>
      </w:r>
      <w:r>
        <w:rPr>
          <w:spacing w:val="-14"/>
        </w:rPr>
        <w:t> </w:t>
      </w:r>
      <w:r>
        <w:rPr/>
        <w:t>Weisbach,</w:t>
      </w:r>
      <w:r>
        <w:rPr>
          <w:spacing w:val="-14"/>
        </w:rPr>
        <w:t> </w:t>
      </w:r>
      <w:r>
        <w:rPr/>
        <w:t>(1988)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determinants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board</w:t>
      </w:r>
      <w:r>
        <w:rPr>
          <w:spacing w:val="-15"/>
        </w:rPr>
        <w:t> </w:t>
      </w:r>
      <w:r>
        <w:rPr/>
        <w:t>composition.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Rand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 19(2)</w:t>
      </w:r>
      <w:r>
        <w:rPr>
          <w:spacing w:val="-3"/>
          <w:sz w:val="24"/>
        </w:rPr>
        <w:t> </w:t>
      </w:r>
      <w:r>
        <w:rPr>
          <w:sz w:val="24"/>
        </w:rPr>
        <w:t>589-606.</w:t>
      </w:r>
    </w:p>
    <w:p>
      <w:pPr>
        <w:pStyle w:val="BodyText"/>
        <w:spacing w:before="200"/>
        <w:jc w:val="left"/>
      </w:pPr>
      <w:r>
        <w:rPr/>
        <w:t>Hirshleifer,</w:t>
      </w:r>
      <w:r>
        <w:rPr>
          <w:spacing w:val="37"/>
        </w:rPr>
        <w:t> </w:t>
      </w:r>
      <w:r>
        <w:rPr/>
        <w:t>D.</w:t>
      </w:r>
      <w:r>
        <w:rPr>
          <w:spacing w:val="39"/>
        </w:rPr>
        <w:t> </w:t>
      </w:r>
      <w:r>
        <w:rPr/>
        <w:t>&amp;</w:t>
      </w:r>
      <w:r>
        <w:rPr>
          <w:spacing w:val="39"/>
        </w:rPr>
        <w:t> </w:t>
      </w:r>
      <w:r>
        <w:rPr/>
        <w:t>Thakor,</w:t>
      </w:r>
      <w:r>
        <w:rPr>
          <w:spacing w:val="38"/>
        </w:rPr>
        <w:t> </w:t>
      </w:r>
      <w:r>
        <w:rPr/>
        <w:t>A.</w:t>
      </w:r>
      <w:r>
        <w:rPr>
          <w:spacing w:val="39"/>
        </w:rPr>
        <w:t> </w:t>
      </w:r>
      <w:r>
        <w:rPr/>
        <w:t>(1992).</w:t>
      </w:r>
      <w:r>
        <w:rPr>
          <w:spacing w:val="37"/>
        </w:rPr>
        <w:t> </w:t>
      </w:r>
      <w:r>
        <w:rPr/>
        <w:t>Managerial</w:t>
      </w:r>
      <w:r>
        <w:rPr>
          <w:spacing w:val="40"/>
        </w:rPr>
        <w:t> </w:t>
      </w:r>
      <w:r>
        <w:rPr/>
        <w:t>Conservatism,</w:t>
      </w:r>
      <w:r>
        <w:rPr>
          <w:spacing w:val="39"/>
        </w:rPr>
        <w:t> </w:t>
      </w:r>
      <w:r>
        <w:rPr/>
        <w:t>Project</w:t>
      </w:r>
      <w:r>
        <w:rPr>
          <w:spacing w:val="37"/>
        </w:rPr>
        <w:t> </w:t>
      </w:r>
      <w:r>
        <w:rPr/>
        <w:t>Choice,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Debt.</w:t>
      </w:r>
    </w:p>
    <w:p>
      <w:pPr>
        <w:pStyle w:val="BodyText"/>
        <w:ind w:left="1542"/>
        <w:jc w:val="left"/>
      </w:pPr>
      <w:r>
        <w:rPr/>
        <w:t>Review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Studies.</w:t>
      </w:r>
      <w:r>
        <w:rPr>
          <w:spacing w:val="-1"/>
        </w:rPr>
        <w:t> </w:t>
      </w:r>
      <w:r>
        <w:rPr/>
        <w:t>5.</w:t>
      </w:r>
      <w:r>
        <w:rPr>
          <w:spacing w:val="-1"/>
        </w:rPr>
        <w:t> </w:t>
      </w:r>
      <w:r>
        <w:rPr/>
        <w:t>437-70.</w:t>
      </w:r>
    </w:p>
    <w:p>
      <w:pPr>
        <w:pStyle w:val="BodyText"/>
        <w:spacing w:before="199"/>
        <w:ind w:left="1542" w:right="837" w:hanging="720"/>
      </w:pPr>
      <w:r>
        <w:rPr/>
        <w:drawing>
          <wp:anchor distT="0" distB="0" distL="0" distR="0" allowOverlap="1" layoutInCell="1" locked="0" behindDoc="1" simplePos="0" relativeHeight="454079488">
            <wp:simplePos x="0" y="0"/>
            <wp:positionH relativeFrom="page">
              <wp:posOffset>1261605</wp:posOffset>
            </wp:positionH>
            <wp:positionV relativeFrom="paragraph">
              <wp:posOffset>296457</wp:posOffset>
            </wp:positionV>
            <wp:extent cx="5133225" cy="5265293"/>
            <wp:effectExtent l="0" t="0" r="0" b="0"/>
            <wp:wrapNone/>
            <wp:docPr id="28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Ho,</w:t>
      </w:r>
      <w:r>
        <w:rPr>
          <w:spacing w:val="1"/>
        </w:rPr>
        <w:t> </w:t>
      </w:r>
      <w:r>
        <w:rPr/>
        <w:t>P.L.,</w:t>
      </w:r>
      <w:r>
        <w:rPr>
          <w:spacing w:val="1"/>
        </w:rPr>
        <w:t> </w:t>
      </w:r>
      <w:r>
        <w:rPr/>
        <w:t>Tower,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Barako,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communication,</w:t>
      </w:r>
      <w:r>
        <w:rPr>
          <w:spacing w:val="-1"/>
        </w:rPr>
        <w:t> </w:t>
      </w:r>
      <w:r>
        <w:rPr>
          <w:i/>
        </w:rPr>
        <w:t>Corporate</w:t>
      </w:r>
      <w:r>
        <w:rPr>
          <w:i/>
          <w:spacing w:val="-1"/>
        </w:rPr>
        <w:t> </w:t>
      </w:r>
      <w:r>
        <w:rPr>
          <w:i/>
        </w:rPr>
        <w:t>Ownership and</w:t>
      </w:r>
      <w:r>
        <w:rPr>
          <w:i/>
          <w:spacing w:val="-1"/>
        </w:rPr>
        <w:t> </w:t>
      </w:r>
      <w:r>
        <w:rPr>
          <w:i/>
        </w:rPr>
        <w:t>Control</w:t>
      </w:r>
      <w:r>
        <w:rPr/>
        <w:t>, Summer, Vol.</w:t>
      </w:r>
      <w:r>
        <w:rPr>
          <w:spacing w:val="-1"/>
        </w:rPr>
        <w:t> </w:t>
      </w:r>
      <w:r>
        <w:rPr/>
        <w:t>5, No. 4,</w:t>
      </w:r>
      <w:r>
        <w:rPr>
          <w:spacing w:val="-1"/>
        </w:rPr>
        <w:t> </w:t>
      </w:r>
      <w:r>
        <w:rPr/>
        <w:t>pp.26–33.</w:t>
      </w:r>
    </w:p>
    <w:p>
      <w:pPr>
        <w:pStyle w:val="BodyText"/>
        <w:spacing w:before="201"/>
        <w:ind w:left="1542" w:right="831" w:hanging="720"/>
      </w:pPr>
      <w:r>
        <w:rPr/>
        <w:t>Ho, S. &amp; Wong, K. (2001). A Study of the Relationship Between Corporate Governance</w:t>
      </w:r>
      <w:r>
        <w:rPr>
          <w:spacing w:val="1"/>
        </w:rPr>
        <w:t> </w:t>
      </w:r>
      <w:r>
        <w:rPr/>
        <w:t>Structures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Extent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Voluntary</w:t>
      </w:r>
      <w:r>
        <w:rPr>
          <w:spacing w:val="-7"/>
        </w:rPr>
        <w:t> </w:t>
      </w:r>
      <w:r>
        <w:rPr/>
        <w:t>Disclosure.</w:t>
      </w:r>
      <w:r>
        <w:rPr>
          <w:spacing w:val="-7"/>
        </w:rPr>
        <w:t> </w:t>
      </w:r>
      <w:r>
        <w:rPr/>
        <w:t>Journal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International</w:t>
      </w:r>
      <w:r>
        <w:rPr>
          <w:spacing w:val="-7"/>
        </w:rPr>
        <w:t> </w:t>
      </w:r>
      <w:r>
        <w:rPr/>
        <w:t>Accounting,</w:t>
      </w:r>
      <w:r>
        <w:rPr>
          <w:spacing w:val="-58"/>
        </w:rPr>
        <w:t> </w:t>
      </w:r>
      <w:r>
        <w:rPr/>
        <w:t>Auditing</w:t>
      </w:r>
      <w:r>
        <w:rPr>
          <w:spacing w:val="-1"/>
        </w:rPr>
        <w:t> </w:t>
      </w:r>
      <w:r>
        <w:rPr/>
        <w:t>and Taxation. 10(3) 139-156.</w:t>
      </w:r>
    </w:p>
    <w:p>
      <w:pPr>
        <w:spacing w:before="200"/>
        <w:ind w:left="1542" w:right="828" w:hanging="720"/>
        <w:jc w:val="both"/>
        <w:rPr>
          <w:sz w:val="24"/>
        </w:rPr>
      </w:pPr>
      <w:r>
        <w:rPr>
          <w:sz w:val="24"/>
        </w:rPr>
        <w:t>Hoffman, R. L. (1958). Checklist of the millipedes of North America. </w:t>
      </w:r>
      <w:r>
        <w:rPr>
          <w:i/>
          <w:sz w:val="24"/>
        </w:rPr>
        <w:t>Bulletin of the 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States’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National Museum.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</w:t>
      </w:r>
      <w:r>
        <w:rPr>
          <w:sz w:val="24"/>
        </w:rPr>
        <w:t>(1), 50-53.</w:t>
      </w:r>
    </w:p>
    <w:p>
      <w:pPr>
        <w:pStyle w:val="BodyText"/>
        <w:spacing w:before="200"/>
        <w:ind w:left="1542" w:right="832" w:hanging="720"/>
      </w:pPr>
      <w:r>
        <w:rPr/>
        <w:t>Holmström, B. R. (1999). Managerial incentive problems: A dynamic perspective. NBER</w:t>
      </w:r>
      <w:r>
        <w:rPr>
          <w:spacing w:val="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No.</w:t>
      </w:r>
      <w:r>
        <w:rPr>
          <w:spacing w:val="1"/>
        </w:rPr>
        <w:t> </w:t>
      </w:r>
      <w:r>
        <w:rPr/>
        <w:t>w6875.</w:t>
      </w:r>
      <w:r>
        <w:rPr>
          <w:spacing w:val="-1"/>
        </w:rPr>
        <w:t> </w:t>
      </w:r>
      <w:r>
        <w:rPr/>
        <w:t>Available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SSRN:</w:t>
      </w:r>
      <w:r>
        <w:rPr>
          <w:spacing w:val="2"/>
        </w:rPr>
        <w:t> </w:t>
      </w:r>
      <w:hyperlink r:id="rId33">
        <w:r>
          <w:rPr/>
          <w:t>https://ssrn.com/abstract=227626</w:t>
        </w:r>
      </w:hyperlink>
      <w:r>
        <w:rPr/>
        <w:t>.</w:t>
      </w:r>
    </w:p>
    <w:p>
      <w:pPr>
        <w:pStyle w:val="BodyText"/>
        <w:spacing w:before="201"/>
        <w:ind w:left="1542" w:right="829" w:hanging="720"/>
      </w:pPr>
      <w:r>
        <w:rPr>
          <w:spacing w:val="-1"/>
        </w:rPr>
        <w:t>Hopt,</w:t>
      </w:r>
      <w:r>
        <w:rPr>
          <w:spacing w:val="-15"/>
        </w:rPr>
        <w:t> </w:t>
      </w:r>
      <w:r>
        <w:rPr>
          <w:spacing w:val="-1"/>
        </w:rPr>
        <w:t>D.</w:t>
      </w:r>
      <w:r>
        <w:rPr>
          <w:spacing w:val="-15"/>
        </w:rPr>
        <w:t> </w:t>
      </w:r>
      <w:r>
        <w:rPr>
          <w:spacing w:val="-1"/>
        </w:rPr>
        <w:t>T.</w:t>
      </w:r>
      <w:r>
        <w:rPr>
          <w:spacing w:val="-15"/>
        </w:rPr>
        <w:t> </w:t>
      </w:r>
      <w:r>
        <w:rPr>
          <w:spacing w:val="-1"/>
        </w:rPr>
        <w:t>(2011).</w:t>
      </w:r>
      <w:r>
        <w:rPr>
          <w:spacing w:val="-16"/>
        </w:rPr>
        <w:t> </w:t>
      </w:r>
      <w:r>
        <w:rPr>
          <w:spacing w:val="-1"/>
        </w:rPr>
        <w:t>CEO</w:t>
      </w:r>
      <w:r>
        <w:rPr>
          <w:spacing w:val="-12"/>
        </w:rPr>
        <w:t> </w:t>
      </w:r>
      <w:r>
        <w:rPr/>
        <w:t>Incentives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earnings</w:t>
      </w:r>
      <w:r>
        <w:rPr>
          <w:spacing w:val="-12"/>
        </w:rPr>
        <w:t> </w:t>
      </w:r>
      <w:r>
        <w:rPr/>
        <w:t>management.</w:t>
      </w:r>
      <w:r>
        <w:rPr>
          <w:spacing w:val="-13"/>
        </w:rPr>
        <w:t> </w:t>
      </w:r>
      <w:r>
        <w:rPr>
          <w:i/>
        </w:rPr>
        <w:t>Journal</w:t>
      </w:r>
      <w:r>
        <w:rPr>
          <w:i/>
          <w:spacing w:val="-14"/>
        </w:rPr>
        <w:t> </w:t>
      </w:r>
      <w:r>
        <w:rPr>
          <w:i/>
        </w:rPr>
        <w:t>of</w:t>
      </w:r>
      <w:r>
        <w:rPr>
          <w:i/>
          <w:spacing w:val="-12"/>
        </w:rPr>
        <w:t> </w:t>
      </w:r>
      <w:r>
        <w:rPr>
          <w:i/>
        </w:rPr>
        <w:t>Financial</w:t>
      </w:r>
      <w:r>
        <w:rPr>
          <w:i/>
          <w:spacing w:val="-13"/>
        </w:rPr>
        <w:t> </w:t>
      </w:r>
      <w:r>
        <w:rPr/>
        <w:t>Economics</w:t>
      </w:r>
      <w:r>
        <w:rPr>
          <w:spacing w:val="-57"/>
        </w:rPr>
        <w:t> </w:t>
      </w:r>
      <w:r>
        <w:rPr/>
        <w:t>80, 511-529. IASB (2008): Exposure Draft on an improved Conceptual Framework for</w:t>
      </w:r>
      <w:r>
        <w:rPr>
          <w:spacing w:val="-57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Reporting: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 Decision-useful</w:t>
      </w:r>
      <w:r>
        <w:rPr>
          <w:spacing w:val="-1"/>
        </w:rPr>
        <w:t> </w:t>
      </w:r>
      <w:r>
        <w:rPr/>
        <w:t>Financial Reporting</w:t>
      </w:r>
      <w:r>
        <w:rPr>
          <w:spacing w:val="-1"/>
        </w:rPr>
        <w:t> </w:t>
      </w:r>
      <w:r>
        <w:rPr/>
        <w:t>Information. London.</w:t>
      </w:r>
    </w:p>
    <w:p>
      <w:pPr>
        <w:spacing w:before="200"/>
        <w:ind w:left="1542" w:right="836" w:hanging="720"/>
        <w:jc w:val="both"/>
        <w:rPr>
          <w:sz w:val="24"/>
        </w:rPr>
      </w:pPr>
      <w:r>
        <w:rPr>
          <w:sz w:val="24"/>
        </w:rPr>
        <w:t>Hossain, M. &amp;</w:t>
      </w:r>
      <w:r>
        <w:rPr>
          <w:spacing w:val="1"/>
          <w:sz w:val="24"/>
        </w:rPr>
        <w:t> </w:t>
      </w:r>
      <w:r>
        <w:rPr>
          <w:sz w:val="24"/>
        </w:rPr>
        <w:t>Reaz, M. (2007). The determinants and characteristics of voluntary disclosure</w:t>
      </w:r>
      <w:r>
        <w:rPr>
          <w:spacing w:val="1"/>
          <w:sz w:val="24"/>
        </w:rPr>
        <w:t> </w:t>
      </w:r>
      <w:r>
        <w:rPr>
          <w:sz w:val="24"/>
        </w:rPr>
        <w:t>by Indian banking companies’, </w:t>
      </w:r>
      <w:r>
        <w:rPr>
          <w:i/>
          <w:sz w:val="24"/>
        </w:rPr>
        <w:t>Corporate Social Responsibility and Environmental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December,</w:t>
      </w:r>
      <w:r>
        <w:rPr>
          <w:spacing w:val="2"/>
          <w:sz w:val="24"/>
        </w:rPr>
        <w:t> </w:t>
      </w:r>
      <w:r>
        <w:rPr>
          <w:sz w:val="24"/>
        </w:rPr>
        <w:t>Vol. 14, No. 5, pp.274–288.</w:t>
      </w:r>
    </w:p>
    <w:p>
      <w:pPr>
        <w:spacing w:before="199"/>
        <w:ind w:left="1542" w:right="832" w:hanging="720"/>
        <w:jc w:val="both"/>
        <w:rPr>
          <w:sz w:val="24"/>
        </w:rPr>
      </w:pPr>
      <w:r>
        <w:rPr>
          <w:sz w:val="24"/>
        </w:rPr>
        <w:t>Hossain,</w:t>
      </w:r>
      <w:r>
        <w:rPr>
          <w:spacing w:val="-11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Hammami,</w:t>
      </w:r>
      <w:r>
        <w:rPr>
          <w:spacing w:val="-11"/>
          <w:sz w:val="24"/>
        </w:rPr>
        <w:t> </w:t>
      </w:r>
      <w:r>
        <w:rPr>
          <w:sz w:val="24"/>
        </w:rPr>
        <w:t>H.</w:t>
      </w:r>
      <w:r>
        <w:rPr>
          <w:spacing w:val="-11"/>
          <w:sz w:val="24"/>
        </w:rPr>
        <w:t> </w:t>
      </w:r>
      <w:r>
        <w:rPr>
          <w:sz w:val="24"/>
        </w:rPr>
        <w:t>(2009).</w:t>
      </w:r>
      <w:r>
        <w:rPr>
          <w:spacing w:val="-12"/>
          <w:sz w:val="24"/>
        </w:rPr>
        <w:t> </w:t>
      </w:r>
      <w:r>
        <w:rPr>
          <w:sz w:val="24"/>
        </w:rPr>
        <w:t>Voluntary</w:t>
      </w:r>
      <w:r>
        <w:rPr>
          <w:spacing w:val="-10"/>
          <w:sz w:val="24"/>
        </w:rPr>
        <w:t> </w:t>
      </w:r>
      <w:r>
        <w:rPr>
          <w:sz w:val="24"/>
        </w:rPr>
        <w:t>disclosure</w:t>
      </w:r>
      <w:r>
        <w:rPr>
          <w:spacing w:val="-12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annual</w:t>
      </w:r>
      <w:r>
        <w:rPr>
          <w:spacing w:val="-10"/>
          <w:sz w:val="24"/>
        </w:rPr>
        <w:t> </w:t>
      </w:r>
      <w:r>
        <w:rPr>
          <w:sz w:val="24"/>
        </w:rPr>
        <w:t>reports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an</w:t>
      </w:r>
      <w:r>
        <w:rPr>
          <w:spacing w:val="-11"/>
          <w:sz w:val="24"/>
        </w:rPr>
        <w:t> </w:t>
      </w:r>
      <w:r>
        <w:rPr>
          <w:sz w:val="24"/>
        </w:rPr>
        <w:t>emerging</w:t>
      </w:r>
      <w:r>
        <w:rPr>
          <w:spacing w:val="-57"/>
          <w:sz w:val="24"/>
        </w:rPr>
        <w:t> </w:t>
      </w:r>
      <w:r>
        <w:rPr>
          <w:sz w:val="24"/>
        </w:rPr>
        <w:t>country: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Qatar’,</w:t>
      </w:r>
      <w:r>
        <w:rPr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Incorporating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Advances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Accounting</w:t>
      </w:r>
      <w:r>
        <w:rPr>
          <w:sz w:val="24"/>
        </w:rPr>
        <w:t>, 25 (2) 255–265.</w:t>
      </w:r>
    </w:p>
    <w:p>
      <w:pPr>
        <w:pStyle w:val="BodyText"/>
        <w:spacing w:before="202"/>
        <w:ind w:left="1542" w:right="832" w:hanging="720"/>
      </w:pPr>
      <w:r>
        <w:rPr/>
        <w:t>Hsieh, T.,</w:t>
      </w:r>
      <w:r>
        <w:rPr>
          <w:spacing w:val="1"/>
        </w:rPr>
        <w:t> </w:t>
      </w:r>
      <w:r>
        <w:rPr/>
        <w:t>Wang, Z., &amp; Demirkan, S. (2016). Overconfidence and tax avoidance: the role of</w:t>
      </w:r>
      <w:r>
        <w:rPr>
          <w:spacing w:val="1"/>
        </w:rPr>
        <w:t> </w:t>
      </w:r>
      <w:r>
        <w:rPr/>
        <w:t>CEO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CFO</w:t>
      </w:r>
      <w:r>
        <w:rPr>
          <w:spacing w:val="57"/>
        </w:rPr>
        <w:t> </w:t>
      </w:r>
      <w:r>
        <w:rPr/>
        <w:t>interaction.</w:t>
      </w:r>
      <w:r>
        <w:rPr>
          <w:spacing w:val="57"/>
        </w:rPr>
        <w:t> </w:t>
      </w:r>
      <w:r>
        <w:rPr/>
        <w:t>SSRN</w:t>
      </w:r>
      <w:r>
        <w:rPr>
          <w:spacing w:val="57"/>
        </w:rPr>
        <w:t> </w:t>
      </w:r>
      <w:r>
        <w:rPr/>
        <w:t>Working</w:t>
      </w:r>
      <w:r>
        <w:rPr>
          <w:spacing w:val="57"/>
        </w:rPr>
        <w:t> </w:t>
      </w:r>
      <w:r>
        <w:rPr/>
        <w:t>Paper</w:t>
      </w:r>
      <w:r>
        <w:rPr>
          <w:spacing w:val="57"/>
        </w:rPr>
        <w:t> </w:t>
      </w:r>
      <w:r>
        <w:rPr/>
        <w:t>Series.</w:t>
      </w:r>
      <w:r>
        <w:rPr>
          <w:spacing w:val="58"/>
        </w:rPr>
        <w:t> </w:t>
      </w:r>
      <w:r>
        <w:rPr/>
        <w:t>Available</w:t>
      </w:r>
      <w:r>
        <w:rPr>
          <w:spacing w:val="57"/>
        </w:rPr>
        <w:t> </w:t>
      </w:r>
      <w:r>
        <w:rPr/>
        <w:t>at:</w:t>
      </w:r>
      <w:r>
        <w:rPr>
          <w:spacing w:val="-58"/>
        </w:rPr>
        <w:t> </w:t>
      </w:r>
      <w:r>
        <w:rPr/>
        <w:t>https://ssrn.com/abstract=2843355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hyperlink r:id="rId34">
        <w:r>
          <w:rPr/>
          <w:t>http://dx.doi.org/10.2139/ssrn.2843355.</w:t>
        </w:r>
      </w:hyperlink>
    </w:p>
    <w:p>
      <w:pPr>
        <w:pStyle w:val="BodyText"/>
        <w:spacing w:before="199"/>
        <w:ind w:left="1542" w:right="830" w:hanging="720"/>
      </w:pPr>
      <w:r>
        <w:rPr/>
        <w:t>Ibrahim, N., Howard, D., &amp; Angelidis, J. (2003). Board members in the service industry: 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orientation</w:t>
      </w:r>
      <w:r>
        <w:rPr>
          <w:spacing w:val="-1"/>
        </w:rPr>
        <w:t> </w:t>
      </w:r>
      <w:r>
        <w:rPr/>
        <w:t>and director type. </w:t>
      </w:r>
      <w:r>
        <w:rPr>
          <w:i/>
        </w:rPr>
        <w:t>Journal of Business</w:t>
      </w:r>
      <w:r>
        <w:rPr>
          <w:i/>
          <w:spacing w:val="-1"/>
        </w:rPr>
        <w:t> </w:t>
      </w:r>
      <w:r>
        <w:rPr>
          <w:i/>
        </w:rPr>
        <w:t>Ethics,</w:t>
      </w:r>
      <w:r>
        <w:rPr>
          <w:i/>
          <w:spacing w:val="1"/>
        </w:rPr>
        <w:t> </w:t>
      </w:r>
      <w:r>
        <w:rPr>
          <w:i/>
        </w:rPr>
        <w:t>47</w:t>
      </w:r>
      <w:r>
        <w:rPr/>
        <w:t>(4), 393-401.</w:t>
      </w:r>
    </w:p>
    <w:p>
      <w:pPr>
        <w:spacing w:before="200"/>
        <w:ind w:left="1542" w:right="829" w:hanging="720"/>
        <w:jc w:val="both"/>
        <w:rPr>
          <w:sz w:val="24"/>
        </w:rPr>
      </w:pPr>
      <w:r>
        <w:rPr>
          <w:sz w:val="24"/>
        </w:rPr>
        <w:t>Islam,</w:t>
      </w:r>
      <w:r>
        <w:rPr>
          <w:spacing w:val="1"/>
          <w:sz w:val="24"/>
        </w:rPr>
        <w:t> </w:t>
      </w:r>
      <w:r>
        <w:rPr>
          <w:sz w:val="24"/>
        </w:rPr>
        <w:t>M.S.</w:t>
      </w:r>
      <w:r>
        <w:rPr>
          <w:spacing w:val="1"/>
          <w:sz w:val="24"/>
        </w:rPr>
        <w:t> </w:t>
      </w:r>
      <w:r>
        <w:rPr>
          <w:sz w:val="24"/>
        </w:rPr>
        <w:t>(2010) CG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voluntary information</w:t>
      </w:r>
      <w:r>
        <w:rPr>
          <w:spacing w:val="1"/>
          <w:sz w:val="24"/>
        </w:rPr>
        <w:t> </w:t>
      </w:r>
      <w:r>
        <w:rPr>
          <w:sz w:val="24"/>
        </w:rPr>
        <w:t>disclosure:</w:t>
      </w:r>
      <w:r>
        <w:rPr>
          <w:spacing w:val="1"/>
          <w:sz w:val="24"/>
        </w:rPr>
        <w:t> </w:t>
      </w:r>
      <w:r>
        <w:rPr>
          <w:sz w:val="24"/>
        </w:rPr>
        <w:t>a study</w:t>
      </w:r>
      <w:r>
        <w:rPr>
          <w:spacing w:val="1"/>
          <w:sz w:val="24"/>
        </w:rPr>
        <w:t> </w:t>
      </w:r>
      <w:r>
        <w:rPr>
          <w:sz w:val="24"/>
        </w:rPr>
        <w:t>of listed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companies in Bangladesh, </w:t>
      </w:r>
      <w:r>
        <w:rPr>
          <w:i/>
          <w:sz w:val="24"/>
        </w:rPr>
        <w:t>AIUB Journal of Business and Economics</w:t>
      </w:r>
      <w:r>
        <w:rPr>
          <w:sz w:val="24"/>
        </w:rPr>
        <w:t>, January, Vol. 9,</w:t>
      </w:r>
      <w:r>
        <w:rPr>
          <w:spacing w:val="1"/>
          <w:sz w:val="24"/>
        </w:rPr>
        <w:t> </w:t>
      </w:r>
      <w:r>
        <w:rPr>
          <w:sz w:val="24"/>
        </w:rPr>
        <w:t>No. 1, pp.81–96.</w:t>
      </w:r>
    </w:p>
    <w:p>
      <w:pPr>
        <w:spacing w:before="199"/>
        <w:ind w:left="1542" w:right="839" w:hanging="720"/>
        <w:jc w:val="both"/>
        <w:rPr>
          <w:sz w:val="24"/>
        </w:rPr>
      </w:pPr>
      <w:r>
        <w:rPr>
          <w:sz w:val="24"/>
        </w:rPr>
        <w:t>Jensen, M. (1993). The modern industrial revolution, exit and the failure of internal control</w:t>
      </w:r>
      <w:r>
        <w:rPr>
          <w:spacing w:val="1"/>
          <w:sz w:val="24"/>
        </w:rPr>
        <w:t> </w:t>
      </w:r>
      <w:r>
        <w:rPr>
          <w:sz w:val="24"/>
        </w:rPr>
        <w:t>systems.</w:t>
      </w:r>
      <w:r>
        <w:rPr>
          <w:spacing w:val="-1"/>
          <w:sz w:val="24"/>
        </w:rPr>
        <w:t> </w:t>
      </w:r>
      <w:r>
        <w:rPr>
          <w:i/>
          <w:sz w:val="24"/>
        </w:rPr>
        <w:t>Journal of Accounting and Economics, 3</w:t>
      </w:r>
      <w:r>
        <w:rPr>
          <w:sz w:val="24"/>
        </w:rPr>
        <w:t>(2), 113-127.</w:t>
      </w:r>
    </w:p>
    <w:p>
      <w:pPr>
        <w:spacing w:before="202"/>
        <w:ind w:left="1542" w:right="835" w:hanging="720"/>
        <w:jc w:val="both"/>
        <w:rPr>
          <w:sz w:val="24"/>
        </w:rPr>
      </w:pPr>
      <w:r>
        <w:rPr>
          <w:sz w:val="24"/>
        </w:rPr>
        <w:t>Jensen,</w:t>
      </w:r>
      <w:r>
        <w:rPr>
          <w:spacing w:val="-9"/>
          <w:sz w:val="24"/>
        </w:rPr>
        <w:t> </w:t>
      </w:r>
      <w:r>
        <w:rPr>
          <w:sz w:val="24"/>
        </w:rPr>
        <w:t>M.,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Meckling,</w:t>
      </w:r>
      <w:r>
        <w:rPr>
          <w:spacing w:val="-6"/>
          <w:sz w:val="24"/>
        </w:rPr>
        <w:t> </w:t>
      </w:r>
      <w:r>
        <w:rPr>
          <w:sz w:val="24"/>
        </w:rPr>
        <w:t>W.</w:t>
      </w:r>
      <w:r>
        <w:rPr>
          <w:spacing w:val="-9"/>
          <w:sz w:val="24"/>
        </w:rPr>
        <w:t> </w:t>
      </w:r>
      <w:r>
        <w:rPr>
          <w:sz w:val="24"/>
        </w:rPr>
        <w:t>(1976).</w:t>
      </w:r>
      <w:r>
        <w:rPr>
          <w:spacing w:val="-6"/>
          <w:sz w:val="24"/>
        </w:rPr>
        <w:t> </w:t>
      </w:r>
      <w:r>
        <w:rPr>
          <w:sz w:val="24"/>
        </w:rPr>
        <w:t>Theory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firm,</w:t>
      </w:r>
      <w:r>
        <w:rPr>
          <w:spacing w:val="-8"/>
          <w:sz w:val="24"/>
        </w:rPr>
        <w:t> </w:t>
      </w:r>
      <w:r>
        <w:rPr>
          <w:sz w:val="24"/>
        </w:rPr>
        <w:t>managerial</w:t>
      </w:r>
      <w:r>
        <w:rPr>
          <w:spacing w:val="-8"/>
          <w:sz w:val="24"/>
        </w:rPr>
        <w:t> </w:t>
      </w:r>
      <w:r>
        <w:rPr>
          <w:sz w:val="24"/>
        </w:rPr>
        <w:t>behavior,</w:t>
      </w:r>
      <w:r>
        <w:rPr>
          <w:spacing w:val="-8"/>
          <w:sz w:val="24"/>
        </w:rPr>
        <w:t> </w:t>
      </w:r>
      <w:r>
        <w:rPr>
          <w:sz w:val="24"/>
        </w:rPr>
        <w:t>agency</w:t>
      </w:r>
      <w:r>
        <w:rPr>
          <w:spacing w:val="-6"/>
          <w:sz w:val="24"/>
        </w:rPr>
        <w:t> </w:t>
      </w:r>
      <w:r>
        <w:rPr>
          <w:sz w:val="24"/>
        </w:rPr>
        <w:t>costs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ownership</w:t>
      </w:r>
      <w:r>
        <w:rPr>
          <w:spacing w:val="-1"/>
          <w:sz w:val="24"/>
        </w:rPr>
        <w:t> </w:t>
      </w:r>
      <w:r>
        <w:rPr>
          <w:sz w:val="24"/>
        </w:rPr>
        <w:t>structure.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Financial Economics,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(4), 305-360.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1542" w:right="831" w:hanging="720"/>
      </w:pPr>
      <w:r>
        <w:rPr/>
        <w:t>Jenter,</w:t>
      </w:r>
      <w:r>
        <w:rPr>
          <w:spacing w:val="1"/>
        </w:rPr>
        <w:t> </w:t>
      </w:r>
      <w:r>
        <w:rPr/>
        <w:t>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Kanaan,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/>
        <w:t>CEO</w:t>
      </w:r>
      <w:r>
        <w:rPr>
          <w:spacing w:val="1"/>
        </w:rPr>
        <w:t> </w:t>
      </w:r>
      <w:r>
        <w:rPr/>
        <w:t>Turnover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hyperlink r:id="rId35">
        <w:r>
          <w:rPr/>
          <w:t>https://doi.org/10.1111/jofi.12282</w:t>
        </w:r>
      </w:hyperlink>
      <w:r>
        <w:rPr/>
        <w:t>.</w:t>
      </w:r>
    </w:p>
    <w:p>
      <w:pPr>
        <w:pStyle w:val="BodyText"/>
        <w:spacing w:before="202"/>
        <w:ind w:left="1542" w:right="830" w:hanging="720"/>
      </w:pPr>
      <w:r>
        <w:rPr/>
        <w:t>Jianakoplos, N. A., &amp; Bernasek, A. (1998). Are women more risk averse? </w:t>
      </w:r>
      <w:r>
        <w:rPr>
          <w:i/>
        </w:rPr>
        <w:t>Economic Inquiry</w:t>
      </w:r>
      <w:r>
        <w:rPr>
          <w:i/>
          <w:spacing w:val="1"/>
        </w:rPr>
        <w:t> </w:t>
      </w:r>
      <w:r>
        <w:rPr>
          <w:i/>
        </w:rPr>
        <w:t>36</w:t>
      </w:r>
      <w:r>
        <w:rPr/>
        <w:t>(4),</w:t>
      </w:r>
      <w:r>
        <w:rPr>
          <w:spacing w:val="-1"/>
        </w:rPr>
        <w:t> </w:t>
      </w:r>
      <w:r>
        <w:rPr/>
        <w:t>620-630.</w:t>
      </w:r>
    </w:p>
    <w:p>
      <w:pPr>
        <w:spacing w:before="200"/>
        <w:ind w:left="822" w:right="0" w:firstLine="0"/>
        <w:jc w:val="left"/>
        <w:rPr>
          <w:sz w:val="24"/>
        </w:rPr>
      </w:pPr>
      <w:r>
        <w:rPr>
          <w:sz w:val="24"/>
        </w:rPr>
        <w:t>KAM,</w:t>
      </w:r>
      <w:r>
        <w:rPr>
          <w:spacing w:val="-1"/>
          <w:sz w:val="24"/>
        </w:rPr>
        <w:t> </w:t>
      </w:r>
      <w:r>
        <w:rPr>
          <w:sz w:val="24"/>
        </w:rPr>
        <w:t>V.</w:t>
      </w:r>
      <w:r>
        <w:rPr>
          <w:spacing w:val="-2"/>
          <w:sz w:val="24"/>
        </w:rPr>
        <w:t> </w:t>
      </w:r>
      <w:r>
        <w:rPr>
          <w:sz w:val="24"/>
        </w:rPr>
        <w:t>(1986)</w:t>
      </w:r>
      <w:r>
        <w:rPr>
          <w:spacing w:val="-2"/>
          <w:sz w:val="24"/>
        </w:rPr>
        <w:t> </w:t>
      </w:r>
      <w:r>
        <w:rPr>
          <w:i/>
          <w:sz w:val="24"/>
        </w:rPr>
        <w:t>Accounting Theory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z w:val="24"/>
          <w:vertAlign w:val="baseline"/>
        </w:rPr>
        <w:t> ed. Wiley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pStyle w:val="BodyText"/>
        <w:spacing w:before="199"/>
        <w:ind w:left="1542" w:right="829" w:hanging="720"/>
      </w:pPr>
      <w:r>
        <w:rPr/>
        <w:drawing>
          <wp:anchor distT="0" distB="0" distL="0" distR="0" allowOverlap="1" layoutInCell="1" locked="0" behindDoc="1" simplePos="0" relativeHeight="454080000">
            <wp:simplePos x="0" y="0"/>
            <wp:positionH relativeFrom="page">
              <wp:posOffset>1261605</wp:posOffset>
            </wp:positionH>
            <wp:positionV relativeFrom="paragraph">
              <wp:posOffset>646977</wp:posOffset>
            </wp:positionV>
            <wp:extent cx="5133225" cy="5265293"/>
            <wp:effectExtent l="0" t="0" r="0" b="0"/>
            <wp:wrapNone/>
            <wp:docPr id="28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Kastlunger, B., Dressler, S., Kirchler, E., Mittone, L., &amp; Voracek, M. (2010). Sex differences</w:t>
      </w:r>
      <w:r>
        <w:rPr>
          <w:spacing w:val="1"/>
        </w:rPr>
        <w:t> </w:t>
      </w:r>
      <w:r>
        <w:rPr/>
        <w:t>in tax compliance: Differentiating between demographic sex, gender-role orientation,</w:t>
      </w:r>
      <w:r>
        <w:rPr>
          <w:spacing w:val="1"/>
        </w:rPr>
        <w:t> </w:t>
      </w:r>
      <w:r>
        <w:rPr/>
        <w:t>and prenatal masculinization. </w:t>
      </w:r>
      <w:r>
        <w:rPr>
          <w:i/>
        </w:rPr>
        <w:t>Journal of Economic Psychology, 31</w:t>
      </w:r>
      <w:r>
        <w:rPr/>
        <w:t>(4), Elsevier, 542-</w:t>
      </w:r>
      <w:r>
        <w:rPr>
          <w:spacing w:val="1"/>
        </w:rPr>
        <w:t> </w:t>
      </w:r>
      <w:r>
        <w:rPr/>
        <w:t>552.</w:t>
      </w:r>
    </w:p>
    <w:p>
      <w:pPr>
        <w:spacing w:before="201"/>
        <w:ind w:left="1542" w:right="839" w:hanging="720"/>
        <w:jc w:val="both"/>
        <w:rPr>
          <w:sz w:val="24"/>
        </w:rPr>
      </w:pPr>
      <w:r>
        <w:rPr>
          <w:sz w:val="24"/>
        </w:rPr>
        <w:t>Kern, B. B. &amp; Morris, M. (1992). Taxes and firm size: The effect of tax legislation during the</w:t>
      </w:r>
      <w:r>
        <w:rPr>
          <w:spacing w:val="1"/>
          <w:sz w:val="24"/>
        </w:rPr>
        <w:t> </w:t>
      </w:r>
      <w:r>
        <w:rPr>
          <w:sz w:val="24"/>
        </w:rPr>
        <w:t>1980s.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Taxation Association</w:t>
      </w:r>
      <w:r>
        <w:rPr>
          <w:sz w:val="24"/>
        </w:rPr>
        <w:t>, 14(1): 80-96.</w:t>
      </w:r>
    </w:p>
    <w:p>
      <w:pPr>
        <w:pStyle w:val="BodyText"/>
        <w:spacing w:before="200"/>
        <w:ind w:left="1542" w:right="831" w:hanging="720"/>
      </w:pPr>
      <w:r>
        <w:rPr/>
        <w:t>Khan, A &amp; Hossain, D. (2006). Disclosure on Corporate Governance Issues in Bangladesh: A</w:t>
      </w:r>
      <w:r>
        <w:rPr>
          <w:spacing w:val="1"/>
        </w:rPr>
        <w:t> </w:t>
      </w:r>
      <w:r>
        <w:rPr/>
        <w:t>Survey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Annual Reports.</w:t>
      </w:r>
    </w:p>
    <w:p>
      <w:pPr>
        <w:pStyle w:val="BodyText"/>
        <w:spacing w:before="200"/>
        <w:ind w:left="1542" w:right="834" w:hanging="720"/>
      </w:pPr>
      <w:r>
        <w:rPr/>
        <w:t>Khurana, I &amp; Moser, W. (2012). Institutional Shareholders’ Investment Horizons and Tax</w:t>
      </w:r>
      <w:r>
        <w:rPr>
          <w:spacing w:val="1"/>
        </w:rPr>
        <w:t> </w:t>
      </w:r>
      <w:r>
        <w:rPr/>
        <w:t>Avoidance.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Journal</w:t>
      </w:r>
      <w:r>
        <w:rPr>
          <w:spacing w:val="2"/>
        </w:rPr>
        <w:t> </w:t>
      </w:r>
      <w:r>
        <w:rPr/>
        <w:t>of the</w:t>
      </w:r>
      <w:r>
        <w:rPr>
          <w:spacing w:val="-2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Taxation Association. 35(10)</w:t>
      </w:r>
      <w:r>
        <w:rPr>
          <w:spacing w:val="-1"/>
        </w:rPr>
        <w:t> </w:t>
      </w:r>
      <w:r>
        <w:rPr/>
        <w:t>.21-39</w:t>
      </w:r>
    </w:p>
    <w:p>
      <w:pPr>
        <w:spacing w:before="201"/>
        <w:ind w:left="1542" w:right="831" w:hanging="720"/>
        <w:jc w:val="both"/>
        <w:rPr>
          <w:sz w:val="24"/>
        </w:rPr>
      </w:pPr>
      <w:r>
        <w:rPr>
          <w:sz w:val="24"/>
        </w:rPr>
        <w:t>Khurana, I. K., &amp; William, J. M. (2012). Institutional Shareholders' investment horizons and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-2"/>
          <w:sz w:val="24"/>
        </w:rPr>
        <w:t> </w:t>
      </w:r>
      <w:r>
        <w:rPr>
          <w:sz w:val="24"/>
        </w:rPr>
        <w:t>tax</w:t>
      </w:r>
      <w:r>
        <w:rPr>
          <w:spacing w:val="-1"/>
          <w:sz w:val="24"/>
        </w:rPr>
        <w:t> </w:t>
      </w:r>
      <w:r>
        <w:rPr>
          <w:sz w:val="24"/>
        </w:rPr>
        <w:t>avoidance.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Taxation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In-Press.</w:t>
      </w:r>
    </w:p>
    <w:p>
      <w:pPr>
        <w:pStyle w:val="BodyText"/>
        <w:spacing w:before="199"/>
        <w:jc w:val="left"/>
      </w:pPr>
      <w:r>
        <w:rPr/>
        <w:t>Khurana,</w:t>
      </w:r>
      <w:r>
        <w:rPr>
          <w:spacing w:val="9"/>
        </w:rPr>
        <w:t> </w:t>
      </w:r>
      <w:r>
        <w:rPr/>
        <w:t>I.,</w:t>
      </w:r>
      <w:r>
        <w:rPr>
          <w:spacing w:val="8"/>
        </w:rPr>
        <w:t> </w:t>
      </w:r>
      <w:r>
        <w:rPr/>
        <w:t>&amp;</w:t>
      </w:r>
      <w:r>
        <w:rPr>
          <w:spacing w:val="6"/>
        </w:rPr>
        <w:t> </w:t>
      </w:r>
      <w:r>
        <w:rPr/>
        <w:t>Moser,</w:t>
      </w:r>
      <w:r>
        <w:rPr>
          <w:spacing w:val="8"/>
        </w:rPr>
        <w:t> </w:t>
      </w:r>
      <w:r>
        <w:rPr/>
        <w:t>W.</w:t>
      </w:r>
      <w:r>
        <w:rPr>
          <w:spacing w:val="5"/>
        </w:rPr>
        <w:t> </w:t>
      </w:r>
      <w:r>
        <w:rPr/>
        <w:t>J.</w:t>
      </w:r>
      <w:r>
        <w:rPr>
          <w:spacing w:val="5"/>
        </w:rPr>
        <w:t> </w:t>
      </w:r>
      <w:r>
        <w:rPr/>
        <w:t>(2009).</w:t>
      </w:r>
      <w:r>
        <w:rPr>
          <w:spacing w:val="7"/>
        </w:rPr>
        <w:t> </w:t>
      </w:r>
      <w:r>
        <w:rPr/>
        <w:t>Shareholder</w:t>
      </w:r>
      <w:r>
        <w:rPr>
          <w:spacing w:val="6"/>
        </w:rPr>
        <w:t> </w:t>
      </w:r>
      <w:r>
        <w:rPr/>
        <w:t>investment</w:t>
      </w:r>
      <w:r>
        <w:rPr>
          <w:spacing w:val="6"/>
        </w:rPr>
        <w:t> </w:t>
      </w:r>
      <w:r>
        <w:rPr/>
        <w:t>horizons</w:t>
      </w:r>
      <w:r>
        <w:rPr>
          <w:spacing w:val="8"/>
        </w:rPr>
        <w:t> </w:t>
      </w:r>
      <w:r>
        <w:rPr/>
        <w:t>and</w:t>
      </w:r>
      <w:r>
        <w:rPr>
          <w:spacing w:val="5"/>
        </w:rPr>
        <w:t> </w:t>
      </w:r>
      <w:r>
        <w:rPr/>
        <w:t>tax</w:t>
      </w:r>
      <w:r>
        <w:rPr>
          <w:spacing w:val="4"/>
        </w:rPr>
        <w:t> </w:t>
      </w:r>
      <w:r>
        <w:rPr/>
        <w:t>aggressiveness.</w:t>
      </w:r>
    </w:p>
    <w:p>
      <w:pPr>
        <w:pStyle w:val="BodyText"/>
        <w:ind w:left="1542"/>
        <w:jc w:val="left"/>
      </w:pPr>
      <w:r>
        <w:rPr/>
        <w:t>Working</w:t>
      </w:r>
      <w:r>
        <w:rPr>
          <w:spacing w:val="-1"/>
        </w:rPr>
        <w:t> </w:t>
      </w:r>
      <w:r>
        <w:rPr/>
        <w:t>Paper,</w:t>
      </w:r>
      <w:r>
        <w:rPr>
          <w:spacing w:val="-1"/>
        </w:rPr>
        <w:t> </w:t>
      </w:r>
      <w:r>
        <w:rPr/>
        <w:t>University of</w:t>
      </w:r>
      <w:r>
        <w:rPr>
          <w:spacing w:val="-1"/>
        </w:rPr>
        <w:t> </w:t>
      </w:r>
      <w:r>
        <w:rPr/>
        <w:t>Missouri, Columbia.</w:t>
      </w:r>
    </w:p>
    <w:p>
      <w:pPr>
        <w:spacing w:before="200"/>
        <w:ind w:left="1542" w:right="837" w:hanging="720"/>
        <w:jc w:val="both"/>
        <w:rPr>
          <w:sz w:val="24"/>
        </w:rPr>
      </w:pPr>
      <w:r>
        <w:rPr>
          <w:sz w:val="24"/>
        </w:rPr>
        <w:t>Kim, J. B., Li, B., &amp; Zhang, L., (2011). Corporate tax avoidance and stock price crash risk:</w:t>
      </w:r>
      <w:r>
        <w:rPr>
          <w:spacing w:val="1"/>
          <w:sz w:val="24"/>
        </w:rPr>
        <w:t> </w:t>
      </w:r>
      <w:r>
        <w:rPr>
          <w:sz w:val="24"/>
        </w:rPr>
        <w:t>Firm-level</w:t>
      </w:r>
      <w:r>
        <w:rPr>
          <w:spacing w:val="1"/>
          <w:sz w:val="24"/>
        </w:rPr>
        <w:t> </w:t>
      </w:r>
      <w:r>
        <w:rPr>
          <w:sz w:val="24"/>
        </w:rPr>
        <w:t>analysis.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Financial Economics,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100</w:t>
      </w:r>
      <w:r>
        <w:rPr>
          <w:sz w:val="24"/>
        </w:rPr>
        <w:t>(1), 639-662.</w:t>
      </w:r>
    </w:p>
    <w:p>
      <w:pPr>
        <w:pStyle w:val="BodyText"/>
        <w:spacing w:before="202"/>
        <w:ind w:left="1542" w:right="829" w:hanging="720"/>
      </w:pPr>
      <w:r>
        <w:rPr>
          <w:spacing w:val="-1"/>
        </w:rPr>
        <w:t>Kinney,</w:t>
      </w:r>
      <w:r>
        <w:rPr>
          <w:spacing w:val="-15"/>
        </w:rPr>
        <w:t> </w:t>
      </w:r>
      <w:r>
        <w:rPr>
          <w:spacing w:val="-1"/>
        </w:rPr>
        <w:t>M.</w:t>
      </w:r>
      <w:r>
        <w:rPr>
          <w:spacing w:val="-15"/>
        </w:rPr>
        <w:t> </w:t>
      </w:r>
      <w:r>
        <w:rPr>
          <w:spacing w:val="-1"/>
        </w:rPr>
        <w:t>&amp;</w:t>
      </w:r>
      <w:r>
        <w:rPr>
          <w:spacing w:val="-14"/>
        </w:rPr>
        <w:t> </w:t>
      </w:r>
      <w:r>
        <w:rPr/>
        <w:t>Lawrence,</w:t>
      </w:r>
      <w:r>
        <w:rPr>
          <w:spacing w:val="-12"/>
        </w:rPr>
        <w:t> </w:t>
      </w:r>
      <w:r>
        <w:rPr/>
        <w:t>J.</w:t>
      </w:r>
      <w:r>
        <w:rPr>
          <w:spacing w:val="-15"/>
        </w:rPr>
        <w:t> </w:t>
      </w:r>
      <w:r>
        <w:rPr/>
        <w:t>(2000).</w:t>
      </w:r>
      <w:r>
        <w:rPr>
          <w:spacing w:val="-16"/>
        </w:rPr>
        <w:t> </w:t>
      </w:r>
      <w:r>
        <w:rPr/>
        <w:t>An</w:t>
      </w:r>
      <w:r>
        <w:rPr>
          <w:spacing w:val="-15"/>
        </w:rPr>
        <w:t> </w:t>
      </w:r>
      <w:r>
        <w:rPr/>
        <w:t>analysis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relative</w:t>
      </w:r>
      <w:r>
        <w:rPr>
          <w:spacing w:val="-13"/>
        </w:rPr>
        <w:t> </w:t>
      </w:r>
      <w:r>
        <w:rPr/>
        <w:t>US</w:t>
      </w:r>
      <w:r>
        <w:rPr>
          <w:spacing w:val="-14"/>
        </w:rPr>
        <w:t> </w:t>
      </w:r>
      <w:r>
        <w:rPr/>
        <w:t>tax</w:t>
      </w:r>
      <w:r>
        <w:rPr>
          <w:spacing w:val="-15"/>
        </w:rPr>
        <w:t> </w:t>
      </w:r>
      <w:r>
        <w:rPr/>
        <w:t>burden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US</w:t>
      </w:r>
      <w:r>
        <w:rPr>
          <w:spacing w:val="-11"/>
        </w:rPr>
        <w:t> </w:t>
      </w:r>
      <w:r>
        <w:rPr/>
        <w:t>corporations</w:t>
      </w:r>
      <w:r>
        <w:rPr>
          <w:spacing w:val="-58"/>
        </w:rPr>
        <w:t> </w:t>
      </w:r>
      <w:r>
        <w:rPr/>
        <w:t>having</w:t>
      </w:r>
      <w:r>
        <w:rPr>
          <w:spacing w:val="-1"/>
        </w:rPr>
        <w:t> </w:t>
      </w:r>
      <w:r>
        <w:rPr/>
        <w:t>substantial foreign ownership.</w:t>
      </w:r>
      <w:r>
        <w:rPr>
          <w:spacing w:val="1"/>
        </w:rPr>
        <w:t> </w:t>
      </w:r>
      <w:r>
        <w:rPr>
          <w:i/>
        </w:rPr>
        <w:t>National Tax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</w:t>
      </w:r>
      <w:r>
        <w:rPr>
          <w:spacing w:val="-1"/>
        </w:rPr>
        <w:t> </w:t>
      </w:r>
      <w:r>
        <w:rPr>
          <w:i/>
        </w:rPr>
        <w:t>53</w:t>
      </w:r>
      <w:r>
        <w:rPr/>
        <w:t>(1), 9-22.</w:t>
      </w:r>
    </w:p>
    <w:p>
      <w:pPr>
        <w:spacing w:before="199"/>
        <w:ind w:left="1542" w:right="827" w:hanging="720"/>
        <w:jc w:val="both"/>
        <w:rPr>
          <w:sz w:val="24"/>
        </w:rPr>
      </w:pPr>
      <w:r>
        <w:rPr>
          <w:sz w:val="24"/>
        </w:rPr>
        <w:t>Kraft,</w:t>
      </w:r>
      <w:r>
        <w:rPr>
          <w:spacing w:val="-5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(2014).</w:t>
      </w:r>
      <w:r>
        <w:rPr>
          <w:spacing w:val="-5"/>
          <w:sz w:val="24"/>
        </w:rPr>
        <w:t> </w:t>
      </w:r>
      <w:r>
        <w:rPr>
          <w:sz w:val="24"/>
        </w:rPr>
        <w:t>What</w:t>
      </w:r>
      <w:r>
        <w:rPr>
          <w:spacing w:val="-3"/>
          <w:sz w:val="24"/>
        </w:rPr>
        <w:t> </w:t>
      </w:r>
      <w:r>
        <w:rPr>
          <w:sz w:val="24"/>
        </w:rPr>
        <w:t>really</w:t>
      </w:r>
      <w:r>
        <w:rPr>
          <w:spacing w:val="-4"/>
          <w:sz w:val="24"/>
        </w:rPr>
        <w:t> </w:t>
      </w:r>
      <w:r>
        <w:rPr>
          <w:sz w:val="24"/>
        </w:rPr>
        <w:t>affects</w:t>
      </w:r>
      <w:r>
        <w:rPr>
          <w:spacing w:val="-3"/>
          <w:sz w:val="24"/>
        </w:rPr>
        <w:t> </w:t>
      </w:r>
      <w:r>
        <w:rPr>
          <w:sz w:val="24"/>
        </w:rPr>
        <w:t>German</w:t>
      </w:r>
      <w:r>
        <w:rPr>
          <w:spacing w:val="-4"/>
          <w:sz w:val="24"/>
        </w:rPr>
        <w:t> </w:t>
      </w:r>
      <w:r>
        <w:rPr>
          <w:sz w:val="24"/>
        </w:rPr>
        <w:t>firms'</w:t>
      </w:r>
      <w:r>
        <w:rPr>
          <w:spacing w:val="-4"/>
          <w:sz w:val="24"/>
        </w:rPr>
        <w:t> </w:t>
      </w:r>
      <w:r>
        <w:rPr>
          <w:sz w:val="24"/>
        </w:rPr>
        <w:t>effective</w:t>
      </w:r>
      <w:r>
        <w:rPr>
          <w:spacing w:val="-5"/>
          <w:sz w:val="24"/>
        </w:rPr>
        <w:t> </w:t>
      </w:r>
      <w:r>
        <w:rPr>
          <w:sz w:val="24"/>
        </w:rPr>
        <w:t>tax</w:t>
      </w:r>
      <w:r>
        <w:rPr>
          <w:spacing w:val="-4"/>
          <w:sz w:val="24"/>
        </w:rPr>
        <w:t> </w:t>
      </w:r>
      <w:r>
        <w:rPr>
          <w:sz w:val="24"/>
        </w:rPr>
        <w:t>rate?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5(3), 12-45</w:t>
      </w:r>
    </w:p>
    <w:p>
      <w:pPr>
        <w:pStyle w:val="BodyText"/>
        <w:spacing w:before="199"/>
        <w:jc w:val="left"/>
      </w:pPr>
      <w:r>
        <w:rPr/>
        <w:t>Krull,</w:t>
      </w:r>
      <w:r>
        <w:rPr>
          <w:spacing w:val="-7"/>
        </w:rPr>
        <w:t> </w:t>
      </w:r>
      <w:r>
        <w:rPr/>
        <w:t>L.</w:t>
      </w:r>
      <w:r>
        <w:rPr>
          <w:spacing w:val="-6"/>
        </w:rPr>
        <w:t> </w:t>
      </w:r>
      <w:r>
        <w:rPr/>
        <w:t>K.</w:t>
      </w:r>
      <w:r>
        <w:rPr>
          <w:spacing w:val="-7"/>
        </w:rPr>
        <w:t> </w:t>
      </w:r>
      <w:r>
        <w:rPr/>
        <w:t>(2004).</w:t>
      </w:r>
      <w:r>
        <w:rPr>
          <w:spacing w:val="-7"/>
        </w:rPr>
        <w:t> </w:t>
      </w:r>
      <w:r>
        <w:rPr/>
        <w:t>Permanently</w:t>
      </w:r>
      <w:r>
        <w:rPr>
          <w:spacing w:val="-6"/>
        </w:rPr>
        <w:t> </w:t>
      </w:r>
      <w:r>
        <w:rPr/>
        <w:t>reinvested</w:t>
      </w:r>
      <w:r>
        <w:rPr>
          <w:spacing w:val="-7"/>
        </w:rPr>
        <w:t> </w:t>
      </w:r>
      <w:r>
        <w:rPr/>
        <w:t>foreign</w:t>
      </w:r>
      <w:r>
        <w:rPr>
          <w:spacing w:val="-6"/>
        </w:rPr>
        <w:t> </w:t>
      </w:r>
      <w:r>
        <w:rPr/>
        <w:t>earnings,</w:t>
      </w:r>
      <w:r>
        <w:rPr>
          <w:spacing w:val="-7"/>
        </w:rPr>
        <w:t> </w:t>
      </w:r>
      <w:r>
        <w:rPr/>
        <w:t>taxes,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earnings</w:t>
      </w:r>
      <w:r>
        <w:rPr>
          <w:spacing w:val="-6"/>
        </w:rPr>
        <w:t> </w:t>
      </w:r>
      <w:r>
        <w:rPr/>
        <w:t>management.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sz w:val="24"/>
        </w:rPr>
        <w:t>79</w:t>
      </w:r>
      <w:r>
        <w:rPr>
          <w:spacing w:val="-1"/>
          <w:sz w:val="24"/>
        </w:rPr>
        <w:t> 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745–767.</w:t>
      </w:r>
    </w:p>
    <w:p>
      <w:pPr>
        <w:pStyle w:val="BodyText"/>
        <w:spacing w:before="199"/>
        <w:ind w:left="1542" w:right="833" w:hanging="720"/>
      </w:pPr>
      <w:r>
        <w:rPr/>
        <w:t>La Porta, R., Lopez-de-Silanes, F., Shleifer, A., Vishny, R., (2000). Agency problems and</w:t>
      </w:r>
      <w:r>
        <w:rPr>
          <w:spacing w:val="1"/>
        </w:rPr>
        <w:t> </w:t>
      </w:r>
      <w:r>
        <w:rPr/>
        <w:t>dividend</w:t>
      </w:r>
      <w:r>
        <w:rPr>
          <w:spacing w:val="-1"/>
        </w:rPr>
        <w:t> </w:t>
      </w:r>
      <w:r>
        <w:rPr/>
        <w:t>policies around</w:t>
      </w:r>
      <w:r>
        <w:rPr>
          <w:spacing w:val="1"/>
        </w:rPr>
        <w:t> </w:t>
      </w:r>
      <w:r>
        <w:rPr/>
        <w:t>the world.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Finance</w:t>
      </w:r>
      <w:r>
        <w:rPr>
          <w:i/>
          <w:spacing w:val="-1"/>
        </w:rPr>
        <w:t> </w:t>
      </w:r>
      <w:r>
        <w:rPr>
          <w:i/>
        </w:rPr>
        <w:t>55(1) </w:t>
      </w:r>
      <w:r>
        <w:rPr/>
        <w:t>33-45</w:t>
      </w:r>
    </w:p>
    <w:p>
      <w:pPr>
        <w:spacing w:before="203"/>
        <w:ind w:left="1542" w:right="833" w:hanging="720"/>
        <w:jc w:val="both"/>
        <w:rPr>
          <w:sz w:val="24"/>
        </w:rPr>
      </w:pPr>
      <w:r>
        <w:rPr>
          <w:sz w:val="24"/>
        </w:rPr>
        <w:t>Labelle</w:t>
      </w:r>
      <w:r>
        <w:rPr>
          <w:spacing w:val="-12"/>
          <w:sz w:val="24"/>
        </w:rPr>
        <w:t> </w:t>
      </w:r>
      <w:r>
        <w:rPr>
          <w:sz w:val="24"/>
        </w:rPr>
        <w:t>(2002)</w:t>
      </w:r>
      <w:r>
        <w:rPr>
          <w:spacing w:val="-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Statement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Practices: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Voluntary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Disclosure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Governance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Perspective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HEC Montreal Working</w:t>
      </w:r>
      <w:r>
        <w:rPr>
          <w:spacing w:val="-1"/>
          <w:sz w:val="24"/>
        </w:rPr>
        <w:t> </w:t>
      </w:r>
      <w:r>
        <w:rPr>
          <w:sz w:val="24"/>
        </w:rPr>
        <w:t>Paper, pp.1–50.</w:t>
      </w:r>
    </w:p>
    <w:p>
      <w:pPr>
        <w:pStyle w:val="BodyText"/>
        <w:spacing w:before="199"/>
        <w:ind w:left="1542" w:right="836" w:hanging="720"/>
      </w:pPr>
      <w:r>
        <w:rPr/>
        <w:t>Laksmana, I. (2007). Corporate Board Governance and Voluntary Disclosure of Executive</w:t>
      </w:r>
      <w:r>
        <w:rPr>
          <w:spacing w:val="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Contemporary Accounting</w:t>
      </w:r>
      <w:r>
        <w:rPr>
          <w:spacing w:val="-1"/>
        </w:rPr>
        <w:t> </w:t>
      </w:r>
      <w:r>
        <w:rPr/>
        <w:t>Research. 25(2)</w:t>
      </w:r>
      <w:r>
        <w:rPr>
          <w:spacing w:val="-2"/>
        </w:rPr>
        <w:t> </w:t>
      </w:r>
      <w:r>
        <w:rPr/>
        <w:t>1147-1182.</w:t>
      </w:r>
    </w:p>
    <w:p>
      <w:pPr>
        <w:pStyle w:val="BodyText"/>
        <w:spacing w:before="199"/>
        <w:ind w:left="1542" w:right="837" w:hanging="720"/>
      </w:pPr>
      <w:r>
        <w:rPr/>
        <w:t>Lanis,</w:t>
      </w:r>
      <w:r>
        <w:rPr>
          <w:spacing w:val="-8"/>
        </w:rPr>
        <w:t> </w:t>
      </w:r>
      <w:r>
        <w:rPr/>
        <w:t>R</w:t>
      </w:r>
      <w:r>
        <w:rPr>
          <w:spacing w:val="-8"/>
        </w:rPr>
        <w:t> </w:t>
      </w:r>
      <w:r>
        <w:rPr/>
        <w:t>&amp;</w:t>
      </w:r>
      <w:r>
        <w:rPr>
          <w:spacing w:val="-7"/>
        </w:rPr>
        <w:t> </w:t>
      </w:r>
      <w:r>
        <w:rPr/>
        <w:t>Richardson,</w:t>
      </w:r>
      <w:r>
        <w:rPr>
          <w:spacing w:val="-7"/>
        </w:rPr>
        <w:t> </w:t>
      </w:r>
      <w:r>
        <w:rPr/>
        <w:t>G.</w:t>
      </w:r>
      <w:r>
        <w:rPr>
          <w:spacing w:val="-8"/>
        </w:rPr>
        <w:t> </w:t>
      </w:r>
      <w:r>
        <w:rPr/>
        <w:t>(2012).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board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director</w:t>
      </w:r>
      <w:r>
        <w:rPr>
          <w:spacing w:val="-6"/>
        </w:rPr>
        <w:t> </w:t>
      </w:r>
      <w:r>
        <w:rPr/>
        <w:t>composition</w:t>
      </w:r>
      <w:r>
        <w:rPr>
          <w:spacing w:val="-7"/>
        </w:rPr>
        <w:t> </w:t>
      </w:r>
      <w:r>
        <w:rPr/>
        <w:t>on</w:t>
      </w:r>
      <w:r>
        <w:rPr>
          <w:spacing w:val="-9"/>
        </w:rPr>
        <w:t> </w:t>
      </w:r>
      <w:r>
        <w:rPr/>
        <w:t>corporate</w:t>
      </w:r>
      <w:r>
        <w:rPr>
          <w:spacing w:val="-6"/>
        </w:rPr>
        <w:t> </w:t>
      </w:r>
      <w:r>
        <w:rPr/>
        <w:t>tax</w:t>
      </w:r>
      <w:r>
        <w:rPr>
          <w:spacing w:val="-58"/>
        </w:rPr>
        <w:t> </w:t>
      </w:r>
      <w:r>
        <w:rPr/>
        <w:t>aggressiveness.</w:t>
      </w:r>
      <w:r>
        <w:rPr>
          <w:spacing w:val="-1"/>
        </w:rPr>
        <w:t> </w:t>
      </w:r>
      <w:r>
        <w:rPr/>
        <w:t>Journal of Accounting and Public</w:t>
      </w:r>
      <w:r>
        <w:rPr>
          <w:spacing w:val="1"/>
        </w:rPr>
        <w:t> </w:t>
      </w:r>
      <w:r>
        <w:rPr/>
        <w:t>Policy,</w:t>
      </w:r>
      <w:r>
        <w:rPr>
          <w:spacing w:val="-1"/>
        </w:rPr>
        <w:t> </w:t>
      </w:r>
      <w:r>
        <w:rPr/>
        <w:t>30, 50-70.</w:t>
      </w:r>
    </w:p>
    <w:p>
      <w:pPr>
        <w:pStyle w:val="BodyText"/>
        <w:spacing w:before="202"/>
        <w:ind w:left="1542" w:right="835" w:hanging="720"/>
      </w:pPr>
      <w:r>
        <w:rPr/>
        <w:t>Lanis, R. &amp; Richardson, G. (2015). Is corporate social responsibility performance associated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tax avoidance? </w:t>
      </w:r>
      <w:r>
        <w:rPr>
          <w:i/>
        </w:rPr>
        <w:t>Journal of Business Ethics</w:t>
      </w:r>
      <w:r>
        <w:rPr/>
        <w:t>, 127(2), 439-457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1542" w:right="835" w:hanging="720"/>
      </w:pPr>
      <w:r>
        <w:rPr/>
        <w:t>Lanis, R.,</w:t>
      </w:r>
      <w:r>
        <w:rPr>
          <w:spacing w:val="1"/>
        </w:rPr>
        <w:t> </w:t>
      </w:r>
      <w:r>
        <w:rPr/>
        <w:t>Richardson, G.,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Taylor, G.</w:t>
      </w:r>
      <w:r>
        <w:rPr>
          <w:spacing w:val="1"/>
        </w:rPr>
        <w:t> </w:t>
      </w:r>
      <w:r>
        <w:rPr/>
        <w:t>(2015). Board of director gender and corporate tax</w:t>
      </w:r>
      <w:r>
        <w:rPr>
          <w:spacing w:val="-58"/>
        </w:rPr>
        <w:t> </w:t>
      </w:r>
      <w:r>
        <w:rPr/>
        <w:t>aggressiveness:</w:t>
      </w:r>
      <w:r>
        <w:rPr>
          <w:spacing w:val="-1"/>
        </w:rPr>
        <w:t> </w:t>
      </w:r>
      <w:r>
        <w:rPr/>
        <w:t>An empirical</w:t>
      </w:r>
      <w:r>
        <w:rPr>
          <w:spacing w:val="1"/>
        </w:rPr>
        <w:t> </w:t>
      </w:r>
      <w:r>
        <w:rPr/>
        <w:t>analysis. Journal</w:t>
      </w:r>
      <w:r>
        <w:rPr>
          <w:spacing w:val="-1"/>
        </w:rPr>
        <w:t> </w:t>
      </w:r>
      <w:r>
        <w:rPr/>
        <w:t>of Business</w:t>
      </w:r>
      <w:r>
        <w:rPr>
          <w:spacing w:val="-1"/>
        </w:rPr>
        <w:t> </w:t>
      </w:r>
      <w:r>
        <w:rPr/>
        <w:t>Ethics, 6(3),</w:t>
      </w:r>
      <w:r>
        <w:rPr>
          <w:spacing w:val="-1"/>
        </w:rPr>
        <w:t> </w:t>
      </w:r>
      <w:r>
        <w:rPr/>
        <w:t>115-132.</w:t>
      </w:r>
    </w:p>
    <w:p>
      <w:pPr>
        <w:spacing w:before="202"/>
        <w:ind w:left="1542" w:right="838" w:hanging="720"/>
        <w:jc w:val="both"/>
        <w:rPr>
          <w:sz w:val="24"/>
        </w:rPr>
      </w:pPr>
      <w:r>
        <w:rPr>
          <w:sz w:val="24"/>
        </w:rPr>
        <w:t>Lanis, R., &amp; Richardson, G. (2011). The effect of board of director composition on corporate</w:t>
      </w:r>
      <w:r>
        <w:rPr>
          <w:spacing w:val="1"/>
          <w:sz w:val="24"/>
        </w:rPr>
        <w:t> </w:t>
      </w:r>
      <w:r>
        <w:rPr>
          <w:sz w:val="24"/>
        </w:rPr>
        <w:t>tax</w:t>
      </w:r>
      <w:r>
        <w:rPr>
          <w:spacing w:val="-1"/>
          <w:sz w:val="24"/>
        </w:rPr>
        <w:t> </w:t>
      </w:r>
      <w:r>
        <w:rPr>
          <w:sz w:val="24"/>
        </w:rPr>
        <w:t>aggressiveness.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Accounting and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Policy, 30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50-70.</w:t>
      </w:r>
    </w:p>
    <w:p>
      <w:pPr>
        <w:spacing w:before="200"/>
        <w:ind w:left="1542" w:right="832" w:hanging="720"/>
        <w:jc w:val="both"/>
        <w:rPr>
          <w:sz w:val="24"/>
        </w:rPr>
      </w:pPr>
      <w:r>
        <w:rPr>
          <w:sz w:val="24"/>
        </w:rPr>
        <w:t>Lanno, K. (1999). A European perspective on corporate governance. </w:t>
      </w:r>
      <w:r>
        <w:rPr>
          <w:i/>
          <w:sz w:val="24"/>
        </w:rPr>
        <w:t>Journal of Common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Studies, 37</w:t>
      </w:r>
      <w:r>
        <w:rPr>
          <w:sz w:val="24"/>
        </w:rPr>
        <w:t>(2), 269–295.</w:t>
      </w:r>
    </w:p>
    <w:p>
      <w:pPr>
        <w:pStyle w:val="BodyText"/>
        <w:spacing w:before="199"/>
        <w:ind w:left="1542" w:right="835" w:hanging="720"/>
      </w:pPr>
      <w:r>
        <w:rPr/>
        <w:drawing>
          <wp:anchor distT="0" distB="0" distL="0" distR="0" allowOverlap="1" layoutInCell="1" locked="0" behindDoc="1" simplePos="0" relativeHeight="454080512">
            <wp:simplePos x="0" y="0"/>
            <wp:positionH relativeFrom="page">
              <wp:posOffset>1261605</wp:posOffset>
            </wp:positionH>
            <wp:positionV relativeFrom="paragraph">
              <wp:posOffset>471717</wp:posOffset>
            </wp:positionV>
            <wp:extent cx="5133225" cy="5265293"/>
            <wp:effectExtent l="0" t="0" r="0" b="0"/>
            <wp:wrapNone/>
            <wp:docPr id="28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Lannoo, K. (1999). A European perspective on corporate governance. Journal of Common</w:t>
      </w:r>
      <w:r>
        <w:rPr>
          <w:spacing w:val="1"/>
        </w:rPr>
        <w:t> </w:t>
      </w:r>
      <w:r>
        <w:rPr/>
        <w:t>Market</w:t>
      </w:r>
      <w:r>
        <w:rPr>
          <w:spacing w:val="-1"/>
        </w:rPr>
        <w:t> </w:t>
      </w:r>
      <w:r>
        <w:rPr/>
        <w:t>Studies, 37(2), pp. 269-294.</w:t>
      </w:r>
    </w:p>
    <w:p>
      <w:pPr>
        <w:pStyle w:val="BodyText"/>
        <w:spacing w:before="201"/>
        <w:ind w:left="1542" w:right="830" w:hanging="720"/>
      </w:pPr>
      <w:r>
        <w:rPr/>
        <w:t>Leventis, S. &amp; Weetman, P.. (2012). Timeliness of Financial Reporting: Applicability of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Market.</w:t>
      </w:r>
      <w:r>
        <w:rPr>
          <w:spacing w:val="1"/>
        </w:rPr>
        <w:t> </w:t>
      </w:r>
      <w:r>
        <w:rPr/>
        <w:t>Accounting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Research.</w:t>
      </w:r>
      <w:r>
        <w:rPr>
          <w:spacing w:val="-1"/>
        </w:rPr>
        <w:t> </w:t>
      </w:r>
      <w:r>
        <w:rPr/>
        <w:t>34(2)</w:t>
      </w:r>
      <w:r>
        <w:rPr>
          <w:spacing w:val="-2"/>
        </w:rPr>
        <w:t> </w:t>
      </w:r>
      <w:r>
        <w:rPr/>
        <w:t>43-56.</w:t>
      </w:r>
    </w:p>
    <w:p>
      <w:pPr>
        <w:pStyle w:val="BodyText"/>
        <w:spacing w:before="200"/>
        <w:ind w:left="1542" w:right="835" w:hanging="720"/>
      </w:pPr>
      <w:r>
        <w:rPr/>
        <w:t>Li,</w:t>
      </w:r>
      <w:r>
        <w:rPr>
          <w:spacing w:val="-4"/>
        </w:rPr>
        <w:t> </w:t>
      </w:r>
      <w:r>
        <w:rPr/>
        <w:t>C.;</w:t>
      </w:r>
      <w:r>
        <w:rPr>
          <w:spacing w:val="-3"/>
        </w:rPr>
        <w:t> </w:t>
      </w:r>
      <w:r>
        <w:rPr/>
        <w:t>Zheng,</w:t>
      </w:r>
      <w:r>
        <w:rPr>
          <w:spacing w:val="-4"/>
        </w:rPr>
        <w:t> </w:t>
      </w:r>
      <w:r>
        <w:rPr/>
        <w:t>W.;</w:t>
      </w:r>
      <w:r>
        <w:rPr>
          <w:spacing w:val="-3"/>
        </w:rPr>
        <w:t> </w:t>
      </w:r>
      <w:r>
        <w:rPr/>
        <w:t>Chang,</w:t>
      </w:r>
      <w:r>
        <w:rPr>
          <w:spacing w:val="-4"/>
        </w:rPr>
        <w:t> </w:t>
      </w:r>
      <w:r>
        <w:rPr/>
        <w:t>P.;</w:t>
      </w:r>
      <w:r>
        <w:rPr>
          <w:spacing w:val="-3"/>
        </w:rPr>
        <w:t> </w:t>
      </w:r>
      <w:r>
        <w:rPr/>
        <w:t>Li,</w:t>
      </w:r>
      <w:r>
        <w:rPr>
          <w:spacing w:val="-6"/>
        </w:rPr>
        <w:t> </w:t>
      </w:r>
      <w:r>
        <w:rPr/>
        <w:t>S.</w:t>
      </w:r>
      <w:r>
        <w:rPr>
          <w:spacing w:val="-4"/>
        </w:rPr>
        <w:t> </w:t>
      </w:r>
      <w:r>
        <w:rPr/>
        <w:t>(2017).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correlation</w:t>
      </w:r>
      <w:r>
        <w:rPr>
          <w:spacing w:val="-3"/>
        </w:rPr>
        <w:t> </w:t>
      </w:r>
      <w:r>
        <w:rPr/>
        <w:t>between</w:t>
      </w:r>
      <w:r>
        <w:rPr>
          <w:spacing w:val="-4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market</w:t>
      </w:r>
      <w:r>
        <w:rPr>
          <w:spacing w:val="-1"/>
        </w:rPr>
        <w:t> </w:t>
      </w:r>
      <w:r>
        <w:rPr/>
        <w:t>valuation:</w:t>
      </w:r>
      <w:r>
        <w:rPr>
          <w:spacing w:val="-1"/>
        </w:rPr>
        <w:t> </w:t>
      </w:r>
      <w:r>
        <w:rPr/>
        <w:t>“Regime or</w:t>
      </w:r>
      <w:r>
        <w:rPr>
          <w:spacing w:val="-2"/>
        </w:rPr>
        <w:t> </w:t>
      </w:r>
      <w:r>
        <w:rPr/>
        <w:t>signal?”. China Financ. Rev.</w:t>
      </w:r>
      <w:r>
        <w:rPr>
          <w:spacing w:val="1"/>
        </w:rPr>
        <w:t> </w:t>
      </w:r>
      <w:r>
        <w:rPr/>
        <w:t>Int.</w:t>
      </w:r>
      <w:r>
        <w:rPr>
          <w:spacing w:val="-1"/>
        </w:rPr>
        <w:t> </w:t>
      </w:r>
      <w:r>
        <w:rPr/>
        <w:t>5(2) 19–33.</w:t>
      </w:r>
    </w:p>
    <w:p>
      <w:pPr>
        <w:pStyle w:val="BodyText"/>
        <w:spacing w:before="200"/>
        <w:ind w:left="1542" w:right="827" w:hanging="720"/>
      </w:pPr>
      <w:r>
        <w:rPr/>
        <w:t>Li,</w:t>
      </w:r>
      <w:r>
        <w:rPr>
          <w:spacing w:val="-4"/>
        </w:rPr>
        <w:t> </w:t>
      </w:r>
      <w:r>
        <w:rPr/>
        <w:t>L.,</w:t>
      </w:r>
      <w:r>
        <w:rPr>
          <w:spacing w:val="-4"/>
        </w:rPr>
        <w:t> </w:t>
      </w:r>
      <w:r>
        <w:rPr/>
        <w:t>&amp;</w:t>
      </w:r>
      <w:r>
        <w:rPr>
          <w:spacing w:val="-3"/>
        </w:rPr>
        <w:t> </w:t>
      </w:r>
      <w:r>
        <w:rPr/>
        <w:t>Song,</w:t>
      </w:r>
      <w:r>
        <w:rPr>
          <w:spacing w:val="-4"/>
        </w:rPr>
        <w:t> </w:t>
      </w:r>
      <w:r>
        <w:rPr/>
        <w:t>F.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(2013).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bank</w:t>
      </w:r>
      <w:r>
        <w:rPr>
          <w:spacing w:val="-4"/>
        </w:rPr>
        <w:t> </w:t>
      </w:r>
      <w:r>
        <w:rPr/>
        <w:t>regulations</w:t>
      </w:r>
      <w:r>
        <w:rPr>
          <w:spacing w:val="-1"/>
        </w:rPr>
        <w:t> </w:t>
      </w:r>
      <w:r>
        <w:rPr/>
        <w:t>affect</w:t>
      </w:r>
      <w:r>
        <w:rPr>
          <w:spacing w:val="-3"/>
        </w:rPr>
        <w:t> </w:t>
      </w:r>
      <w:r>
        <w:rPr/>
        <w:t>board</w:t>
      </w:r>
      <w:r>
        <w:rPr>
          <w:spacing w:val="-5"/>
        </w:rPr>
        <w:t> </w:t>
      </w:r>
      <w:r>
        <w:rPr/>
        <w:t>independence?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cross-country</w:t>
      </w:r>
      <w:r>
        <w:rPr>
          <w:spacing w:val="-58"/>
        </w:rPr>
        <w:t> </w:t>
      </w:r>
      <w:r>
        <w:rPr/>
        <w:t>analysis.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Finance,</w:t>
      </w:r>
      <w:r>
        <w:rPr>
          <w:spacing w:val="1"/>
        </w:rPr>
        <w:t> </w:t>
      </w:r>
      <w:r>
        <w:rPr/>
        <w:t>37(8),</w:t>
      </w:r>
      <w:r>
        <w:rPr>
          <w:spacing w:val="1"/>
        </w:rPr>
        <w:t> </w:t>
      </w:r>
      <w:r>
        <w:rPr/>
        <w:t>2714–2732.</w:t>
      </w:r>
      <w:r>
        <w:rPr>
          <w:spacing w:val="1"/>
        </w:rPr>
        <w:t> </w:t>
      </w:r>
      <w:hyperlink r:id="rId36">
        <w:r>
          <w:rPr/>
          <w:t>http://doi.org/</w:t>
        </w:r>
      </w:hyperlink>
      <w:r>
        <w:rPr>
          <w:spacing w:val="1"/>
        </w:rPr>
        <w:t> </w:t>
      </w:r>
      <w:hyperlink r:id="rId36">
        <w:r>
          <w:rPr/>
          <w:t>10.1016/j.jbankfin.2013.0</w:t>
        </w:r>
        <w:r>
          <w:rPr>
            <w:spacing w:val="-1"/>
          </w:rPr>
          <w:t> </w:t>
        </w:r>
        <w:r>
          <w:rPr/>
          <w:t>3.026</w:t>
        </w:r>
      </w:hyperlink>
      <w:r>
        <w:rPr/>
        <w:t>.</w:t>
      </w:r>
    </w:p>
    <w:p>
      <w:pPr>
        <w:pStyle w:val="BodyText"/>
        <w:spacing w:before="201"/>
        <w:ind w:left="1542" w:right="835" w:hanging="720"/>
      </w:pPr>
      <w:r>
        <w:rPr/>
        <w:t>Lisowsky,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shelter:</w:t>
      </w:r>
      <w:r>
        <w:rPr>
          <w:spacing w:val="1"/>
        </w:rPr>
        <w:t> </w:t>
      </w:r>
      <w:r>
        <w:rPr/>
        <w:t>empirically</w:t>
      </w:r>
      <w:r>
        <w:rPr>
          <w:spacing w:val="1"/>
        </w:rPr>
        <w:t> </w:t>
      </w:r>
      <w:r>
        <w:rPr/>
        <w:t>modeling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shelters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statement</w:t>
      </w:r>
      <w:r>
        <w:rPr>
          <w:spacing w:val="-1"/>
        </w:rPr>
        <w:t> </w:t>
      </w:r>
      <w:r>
        <w:rPr/>
        <w:t>data.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Accounting review, 85</w:t>
      </w:r>
      <w:r>
        <w:rPr/>
        <w:t>(5), 1693-1720.</w:t>
      </w:r>
    </w:p>
    <w:p>
      <w:pPr>
        <w:pStyle w:val="BodyText"/>
        <w:spacing w:before="199"/>
        <w:ind w:left="1542" w:right="833" w:hanging="720"/>
      </w:pPr>
      <w:r>
        <w:rPr/>
        <w:pict>
          <v:rect style="position:absolute;margin-left:85.103996pt;margin-top:9.993117pt;width:453.7pt;height:13.8pt;mso-position-horizontal-relative:page;mso-position-vertical-relative:paragraph;z-index:-49235456" filled="true" fillcolor="#ffffff" stroked="false">
            <v:fill type="solid"/>
            <w10:wrap type="none"/>
          </v:rect>
        </w:pict>
      </w:r>
      <w:r>
        <w:rPr/>
        <w:t>Loretz,</w:t>
      </w:r>
      <w:r>
        <w:rPr>
          <w:spacing w:val="-7"/>
        </w:rPr>
        <w:t> </w:t>
      </w:r>
      <w:r>
        <w:rPr/>
        <w:t>S.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Moore,</w:t>
      </w:r>
      <w:r>
        <w:rPr>
          <w:spacing w:val="-6"/>
        </w:rPr>
        <w:t> </w:t>
      </w:r>
      <w:r>
        <w:rPr/>
        <w:t>P.</w:t>
      </w:r>
      <w:r>
        <w:rPr>
          <w:spacing w:val="-6"/>
        </w:rPr>
        <w:t> </w:t>
      </w:r>
      <w:r>
        <w:rPr/>
        <w:t>(2009).</w:t>
      </w:r>
      <w:r>
        <w:rPr>
          <w:spacing w:val="-7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tax</w:t>
      </w:r>
      <w:r>
        <w:rPr>
          <w:spacing w:val="-7"/>
        </w:rPr>
        <w:t> </w:t>
      </w:r>
      <w:r>
        <w:rPr/>
        <w:t>competition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firms.</w:t>
      </w:r>
      <w:r>
        <w:rPr>
          <w:spacing w:val="-6"/>
        </w:rPr>
        <w:t> </w:t>
      </w:r>
      <w:r>
        <w:rPr/>
        <w:t>Documents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treball</w:t>
      </w:r>
      <w:r>
        <w:rPr>
          <w:spacing w:val="-58"/>
        </w:rPr>
        <w:t> </w:t>
      </w:r>
      <w:r>
        <w:rPr>
          <w:shd w:fill="FFFFFF" w:color="auto" w:val="clear"/>
        </w:rPr>
        <w:t>IEB,</w:t>
      </w:r>
      <w:r>
        <w:rPr>
          <w:spacing w:val="-1"/>
          <w:shd w:fill="FFFFFF" w:color="auto" w:val="clear"/>
        </w:rPr>
        <w:t> </w:t>
      </w:r>
      <w:r>
        <w:rPr>
          <w:shd w:fill="FFFFFF" w:color="auto" w:val="clear"/>
        </w:rPr>
        <w:t>Nº. 19, 2009. 20. 10.1007/s10797-012-9248-6.</w:t>
      </w:r>
    </w:p>
    <w:p>
      <w:pPr>
        <w:pStyle w:val="BodyText"/>
        <w:spacing w:before="200"/>
        <w:ind w:left="1542" w:right="837" w:hanging="720"/>
      </w:pPr>
      <w:r>
        <w:rPr/>
        <w:t>Lynch; L. &amp; Rego. S. (2009).</w:t>
      </w:r>
      <w:r>
        <w:rPr>
          <w:spacing w:val="1"/>
        </w:rPr>
        <w:t> </w:t>
      </w:r>
      <w:r>
        <w:rPr/>
        <w:t>Tax reporting aggressiveness and its relation to aggressive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reporting.The</w:t>
      </w:r>
      <w:r>
        <w:rPr>
          <w:spacing w:val="-1"/>
        </w:rPr>
        <w:t> </w:t>
      </w:r>
      <w:r>
        <w:rPr/>
        <w:t>Accounting Review</w:t>
      </w:r>
      <w:r>
        <w:rPr>
          <w:spacing w:val="-1"/>
        </w:rPr>
        <w:t> </w:t>
      </w:r>
      <w:r>
        <w:rPr/>
        <w:t>84 (2):</w:t>
      </w:r>
      <w:r>
        <w:rPr>
          <w:spacing w:val="1"/>
        </w:rPr>
        <w:t> </w:t>
      </w:r>
      <w:r>
        <w:rPr/>
        <w:t>467–96.</w:t>
      </w:r>
    </w:p>
    <w:p>
      <w:pPr>
        <w:pStyle w:val="BodyText"/>
        <w:spacing w:before="202"/>
        <w:ind w:left="1542" w:right="836" w:hanging="720"/>
      </w:pPr>
      <w:r>
        <w:rPr>
          <w:rFonts w:ascii="Calibri"/>
          <w:sz w:val="22"/>
        </w:rPr>
        <w:t>Macey,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J.</w:t>
      </w:r>
      <w:r>
        <w:rPr/>
        <w:t>R.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Governance:</w:t>
      </w:r>
      <w:r>
        <w:rPr>
          <w:spacing w:val="1"/>
        </w:rPr>
        <w:t> </w:t>
      </w:r>
      <w:r>
        <w:rPr/>
        <w:t>Promises</w:t>
      </w:r>
      <w:r>
        <w:rPr>
          <w:spacing w:val="1"/>
        </w:rPr>
        <w:t> </w:t>
      </w:r>
      <w:r>
        <w:rPr/>
        <w:t>Kept,</w:t>
      </w:r>
      <w:r>
        <w:rPr>
          <w:spacing w:val="1"/>
        </w:rPr>
        <w:t> </w:t>
      </w:r>
      <w:r>
        <w:rPr/>
        <w:t>Promises</w:t>
      </w:r>
      <w:r>
        <w:rPr>
          <w:spacing w:val="1"/>
        </w:rPr>
        <w:t> </w:t>
      </w:r>
      <w:r>
        <w:rPr/>
        <w:t>Broken,</w:t>
      </w:r>
      <w:r>
        <w:rPr>
          <w:spacing w:val="1"/>
        </w:rPr>
        <w:t> </w:t>
      </w:r>
      <w:r>
        <w:rPr/>
        <w:t>Princeton</w:t>
      </w:r>
      <w:r>
        <w:rPr>
          <w:spacing w:val="1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Press, Princeton, New Jersey.</w:t>
      </w:r>
    </w:p>
    <w:p>
      <w:pPr>
        <w:pStyle w:val="BodyText"/>
        <w:spacing w:before="199"/>
        <w:ind w:left="1542" w:right="830" w:hanging="720"/>
      </w:pPr>
      <w:r>
        <w:rPr/>
        <w:t>Maingot,</w:t>
      </w:r>
      <w:r>
        <w:rPr>
          <w:spacing w:val="-4"/>
        </w:rPr>
        <w:t> </w:t>
      </w:r>
      <w:r>
        <w:rPr/>
        <w:t>M.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Zeghal,</w:t>
      </w:r>
      <w:r>
        <w:rPr>
          <w:spacing w:val="-1"/>
        </w:rPr>
        <w:t> </w:t>
      </w:r>
      <w:r>
        <w:rPr/>
        <w:t>D.</w:t>
      </w:r>
      <w:r>
        <w:rPr>
          <w:spacing w:val="-4"/>
        </w:rPr>
        <w:t> </w:t>
      </w:r>
      <w:r>
        <w:rPr/>
        <w:t>(2008).</w:t>
      </w:r>
      <w:r>
        <w:rPr>
          <w:spacing w:val="-4"/>
        </w:rPr>
        <w:t> </w:t>
      </w:r>
      <w:r>
        <w:rPr/>
        <w:t>An</w:t>
      </w:r>
      <w:r>
        <w:rPr>
          <w:spacing w:val="-1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corporate</w:t>
      </w:r>
      <w:r>
        <w:rPr>
          <w:spacing w:val="-5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disclosure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Canadian banks. </w:t>
      </w:r>
      <w:r>
        <w:rPr>
          <w:i/>
        </w:rPr>
        <w:t>Corporate</w:t>
      </w:r>
      <w:r>
        <w:rPr>
          <w:i/>
          <w:spacing w:val="-1"/>
        </w:rPr>
        <w:t> </w:t>
      </w:r>
      <w:r>
        <w:rPr>
          <w:i/>
        </w:rPr>
        <w:t>Ownership &amp;</w:t>
      </w:r>
      <w:r>
        <w:rPr>
          <w:i/>
          <w:spacing w:val="-1"/>
        </w:rPr>
        <w:t> </w:t>
      </w:r>
      <w:r>
        <w:rPr>
          <w:i/>
        </w:rPr>
        <w:t>Control</w:t>
      </w:r>
      <w:r>
        <w:rPr/>
        <w:t>, winter. 5(2),.225.</w:t>
      </w:r>
    </w:p>
    <w:p>
      <w:pPr>
        <w:spacing w:before="199"/>
        <w:ind w:left="1542" w:right="832" w:hanging="720"/>
        <w:jc w:val="both"/>
        <w:rPr>
          <w:sz w:val="24"/>
        </w:rPr>
      </w:pPr>
      <w:r>
        <w:rPr>
          <w:sz w:val="24"/>
        </w:rPr>
        <w:t>Mangena, M., &amp; Pike, R. (2005).</w:t>
      </w:r>
      <w:r>
        <w:rPr>
          <w:spacing w:val="1"/>
          <w:sz w:val="24"/>
        </w:rPr>
        <w:t> </w:t>
      </w:r>
      <w:r>
        <w:rPr>
          <w:sz w:val="24"/>
        </w:rPr>
        <w:t>The effect of audit committee shareholding, financial</w:t>
      </w:r>
      <w:r>
        <w:rPr>
          <w:spacing w:val="1"/>
          <w:sz w:val="24"/>
        </w:rPr>
        <w:t> </w:t>
      </w:r>
      <w:r>
        <w:rPr>
          <w:sz w:val="24"/>
        </w:rPr>
        <w:t>expertise and size on interim financial disclosures. </w:t>
      </w:r>
      <w:r>
        <w:rPr>
          <w:i/>
          <w:sz w:val="24"/>
        </w:rPr>
        <w:t>Accounting &amp; Business 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35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(4):</w:t>
      </w:r>
      <w:r>
        <w:rPr>
          <w:i/>
          <w:spacing w:val="-2"/>
          <w:sz w:val="24"/>
        </w:rPr>
        <w:t> </w:t>
      </w:r>
      <w:r>
        <w:rPr>
          <w:sz w:val="24"/>
        </w:rPr>
        <w:t>327-49.</w:t>
      </w:r>
    </w:p>
    <w:p>
      <w:pPr>
        <w:pStyle w:val="BodyText"/>
        <w:spacing w:before="200"/>
        <w:jc w:val="left"/>
      </w:pPr>
      <w:r>
        <w:rPr/>
        <w:t>Mankiw,</w:t>
      </w:r>
      <w:r>
        <w:rPr>
          <w:spacing w:val="19"/>
        </w:rPr>
        <w:t> </w:t>
      </w:r>
      <w:r>
        <w:rPr/>
        <w:t>G.,</w:t>
      </w:r>
      <w:r>
        <w:rPr>
          <w:spacing w:val="20"/>
        </w:rPr>
        <w:t> </w:t>
      </w:r>
      <w:r>
        <w:rPr/>
        <w:t>Weinzierl,</w:t>
      </w:r>
      <w:r>
        <w:rPr>
          <w:spacing w:val="22"/>
        </w:rPr>
        <w:t> </w:t>
      </w:r>
      <w:r>
        <w:rPr/>
        <w:t>M.</w:t>
      </w:r>
      <w:r>
        <w:rPr>
          <w:spacing w:val="20"/>
        </w:rPr>
        <w:t> </w:t>
      </w:r>
      <w:r>
        <w:rPr/>
        <w:t>&amp;</w:t>
      </w:r>
      <w:r>
        <w:rPr>
          <w:spacing w:val="41"/>
        </w:rPr>
        <w:t> </w:t>
      </w:r>
      <w:r>
        <w:rPr/>
        <w:t>Yagan,</w:t>
      </w:r>
      <w:r>
        <w:rPr>
          <w:spacing w:val="20"/>
        </w:rPr>
        <w:t> </w:t>
      </w:r>
      <w:r>
        <w:rPr/>
        <w:t>D.</w:t>
      </w:r>
      <w:r>
        <w:rPr>
          <w:spacing w:val="19"/>
        </w:rPr>
        <w:t> </w:t>
      </w:r>
      <w:r>
        <w:rPr/>
        <w:t>(2017).</w:t>
      </w:r>
      <w:r>
        <w:rPr>
          <w:spacing w:val="18"/>
        </w:rPr>
        <w:t> </w:t>
      </w:r>
      <w:r>
        <w:rPr/>
        <w:t>Optimal</w:t>
      </w:r>
      <w:r>
        <w:rPr>
          <w:spacing w:val="20"/>
        </w:rPr>
        <w:t> </w:t>
      </w:r>
      <w:r>
        <w:rPr/>
        <w:t>Taxation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Theory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Practice.</w:t>
      </w:r>
    </w:p>
    <w:p>
      <w:pPr>
        <w:pStyle w:val="BodyText"/>
        <w:ind w:left="1542"/>
        <w:jc w:val="left"/>
      </w:pPr>
      <w:r>
        <w:rPr/>
        <w:t>Harvard</w:t>
      </w:r>
      <w:r>
        <w:rPr>
          <w:spacing w:val="-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BGIE Unit</w:t>
      </w:r>
      <w:r>
        <w:rPr>
          <w:spacing w:val="-1"/>
        </w:rPr>
        <w:t> </w:t>
      </w:r>
      <w:r>
        <w:rPr/>
        <w:t>Working</w:t>
      </w:r>
      <w:r>
        <w:rPr>
          <w:spacing w:val="-1"/>
        </w:rPr>
        <w:t> </w:t>
      </w:r>
      <w:r>
        <w:rPr/>
        <w:t>Paper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09-140</w:t>
      </w:r>
    </w:p>
    <w:p>
      <w:pPr>
        <w:pStyle w:val="BodyText"/>
        <w:spacing w:before="202"/>
        <w:jc w:val="left"/>
      </w:pPr>
      <w:r>
        <w:rPr/>
        <w:t>Mankiw,</w:t>
      </w:r>
      <w:r>
        <w:rPr>
          <w:spacing w:val="24"/>
        </w:rPr>
        <w:t> </w:t>
      </w:r>
      <w:r>
        <w:rPr/>
        <w:t>N.</w:t>
      </w:r>
      <w:r>
        <w:rPr>
          <w:spacing w:val="24"/>
        </w:rPr>
        <w:t> </w:t>
      </w:r>
      <w:r>
        <w:rPr/>
        <w:t>G.</w:t>
      </w:r>
      <w:r>
        <w:rPr>
          <w:spacing w:val="24"/>
        </w:rPr>
        <w:t> </w:t>
      </w:r>
      <w:r>
        <w:rPr/>
        <w:t>Weinzieri,</w:t>
      </w:r>
      <w:r>
        <w:rPr>
          <w:spacing w:val="24"/>
        </w:rPr>
        <w:t> </w:t>
      </w:r>
      <w:r>
        <w:rPr/>
        <w:t>M.,</w:t>
      </w:r>
      <w:r>
        <w:rPr>
          <w:spacing w:val="24"/>
        </w:rPr>
        <w:t> </w:t>
      </w:r>
      <w:r>
        <w:rPr/>
        <w:t>&amp;</w:t>
      </w:r>
      <w:r>
        <w:rPr>
          <w:spacing w:val="23"/>
        </w:rPr>
        <w:t> </w:t>
      </w:r>
      <w:r>
        <w:rPr/>
        <w:t>Yaga,</w:t>
      </w:r>
      <w:r>
        <w:rPr>
          <w:spacing w:val="25"/>
        </w:rPr>
        <w:t> </w:t>
      </w:r>
      <w:r>
        <w:rPr/>
        <w:t>D.</w:t>
      </w:r>
      <w:r>
        <w:rPr>
          <w:spacing w:val="24"/>
        </w:rPr>
        <w:t> </w:t>
      </w:r>
      <w:r>
        <w:rPr/>
        <w:t>(2009).</w:t>
      </w:r>
      <w:r>
        <w:rPr>
          <w:spacing w:val="23"/>
        </w:rPr>
        <w:t> </w:t>
      </w:r>
      <w:r>
        <w:rPr/>
        <w:t>Optimal</w:t>
      </w:r>
      <w:r>
        <w:rPr>
          <w:spacing w:val="25"/>
        </w:rPr>
        <w:t> </w:t>
      </w:r>
      <w:r>
        <w:rPr/>
        <w:t>taxation</w:t>
      </w:r>
      <w:r>
        <w:rPr>
          <w:spacing w:val="25"/>
        </w:rPr>
        <w:t> </w:t>
      </w:r>
      <w:r>
        <w:rPr/>
        <w:t>in</w:t>
      </w:r>
      <w:r>
        <w:rPr>
          <w:spacing w:val="23"/>
        </w:rPr>
        <w:t> </w:t>
      </w:r>
      <w:r>
        <w:rPr/>
        <w:t>theory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practice.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Bureau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23(4),</w:t>
      </w:r>
      <w:r>
        <w:rPr>
          <w:i/>
          <w:spacing w:val="3"/>
          <w:sz w:val="24"/>
        </w:rPr>
        <w:t> </w:t>
      </w:r>
      <w:r>
        <w:rPr>
          <w:sz w:val="24"/>
        </w:rPr>
        <w:t>147-174.</w:t>
      </w:r>
    </w:p>
    <w:p>
      <w:pPr>
        <w:pStyle w:val="BodyText"/>
        <w:spacing w:before="199"/>
        <w:ind w:left="1542" w:right="836" w:hanging="720"/>
      </w:pPr>
      <w:r>
        <w:rPr/>
        <w:t>Manzon Jr., G. B., &amp; Plesko, G. A. (2002). The relation between financial and tax reporting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of income. </w:t>
      </w:r>
      <w:r>
        <w:rPr>
          <w:i/>
        </w:rPr>
        <w:t>Tax</w:t>
      </w:r>
      <w:r>
        <w:rPr>
          <w:i/>
          <w:spacing w:val="1"/>
        </w:rPr>
        <w:t> </w:t>
      </w:r>
      <w:r>
        <w:rPr>
          <w:i/>
        </w:rPr>
        <w:t>Law Review, 55</w:t>
      </w:r>
      <w:r>
        <w:rPr/>
        <w:t>(1), 175–214.</w:t>
      </w:r>
    </w:p>
    <w:p>
      <w:pPr>
        <w:pStyle w:val="BodyText"/>
        <w:spacing w:before="199"/>
        <w:ind w:left="1542" w:right="829" w:hanging="720"/>
      </w:pPr>
      <w:r>
        <w:rPr/>
        <w:t>Manzon,</w:t>
      </w:r>
      <w:r>
        <w:rPr>
          <w:spacing w:val="-9"/>
        </w:rPr>
        <w:t> </w:t>
      </w:r>
      <w:r>
        <w:rPr/>
        <w:t>G.</w:t>
      </w:r>
      <w:r>
        <w:rPr>
          <w:spacing w:val="-8"/>
        </w:rPr>
        <w:t> </w:t>
      </w:r>
      <w:r>
        <w:rPr/>
        <w:t>B.</w:t>
      </w:r>
      <w:r>
        <w:rPr>
          <w:spacing w:val="-9"/>
        </w:rPr>
        <w:t> </w:t>
      </w:r>
      <w:r>
        <w:rPr/>
        <w:t>Jr.,</w:t>
      </w:r>
      <w:r>
        <w:rPr>
          <w:spacing w:val="-8"/>
        </w:rPr>
        <w:t> </w:t>
      </w:r>
      <w:r>
        <w:rPr/>
        <w:t>&amp;</w:t>
      </w:r>
      <w:r>
        <w:rPr>
          <w:spacing w:val="-8"/>
        </w:rPr>
        <w:t> </w:t>
      </w:r>
      <w:r>
        <w:rPr/>
        <w:t>Smith,</w:t>
      </w:r>
      <w:r>
        <w:rPr>
          <w:spacing w:val="-7"/>
        </w:rPr>
        <w:t> </w:t>
      </w:r>
      <w:r>
        <w:rPr/>
        <w:t>W.</w:t>
      </w:r>
      <w:r>
        <w:rPr>
          <w:spacing w:val="-9"/>
        </w:rPr>
        <w:t> </w:t>
      </w:r>
      <w:r>
        <w:rPr/>
        <w:t>R.</w:t>
      </w:r>
      <w:r>
        <w:rPr>
          <w:spacing w:val="-8"/>
        </w:rPr>
        <w:t> </w:t>
      </w:r>
      <w:r>
        <w:rPr/>
        <w:t>(1994).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effect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economic</w:t>
      </w:r>
      <w:r>
        <w:rPr>
          <w:spacing w:val="-9"/>
        </w:rPr>
        <w:t> </w:t>
      </w:r>
      <w:r>
        <w:rPr/>
        <w:t>recovery</w:t>
      </w:r>
      <w:r>
        <w:rPr>
          <w:spacing w:val="-9"/>
        </w:rPr>
        <w:t> </w:t>
      </w:r>
      <w:r>
        <w:rPr/>
        <w:t>tax</w:t>
      </w:r>
      <w:r>
        <w:rPr>
          <w:spacing w:val="-8"/>
        </w:rPr>
        <w:t> </w:t>
      </w:r>
      <w:r>
        <w:rPr/>
        <w:t>Act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1981</w:t>
      </w:r>
      <w:r>
        <w:rPr>
          <w:spacing w:val="-58"/>
        </w:rPr>
        <w:t> </w:t>
      </w:r>
      <w:r>
        <w:rPr/>
        <w:t>and the Tax Reform Act of 1986 on the distribution of effective tax rates.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Accounting</w:t>
      </w:r>
      <w:r>
        <w:rPr>
          <w:i/>
          <w:spacing w:val="-1"/>
        </w:rPr>
        <w:t> </w:t>
      </w:r>
      <w:r>
        <w:rPr>
          <w:i/>
        </w:rPr>
        <w:t>and Public</w:t>
      </w:r>
      <w:r>
        <w:rPr>
          <w:i/>
          <w:spacing w:val="-1"/>
        </w:rPr>
        <w:t> </w:t>
      </w:r>
      <w:r>
        <w:rPr>
          <w:i/>
        </w:rPr>
        <w:t>Policy, 13</w:t>
      </w:r>
      <w:r>
        <w:rPr/>
        <w:t>(4), 349-362.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31" w:hanging="720"/>
        <w:jc w:val="both"/>
        <w:rPr>
          <w:sz w:val="24"/>
        </w:rPr>
      </w:pPr>
      <w:r>
        <w:rPr>
          <w:sz w:val="24"/>
        </w:rPr>
        <w:t>Mappadang, A., Widyastuti, T., &amp; Wijaya, A. M. (2018). The effect of corporate governance</w:t>
      </w:r>
      <w:r>
        <w:rPr>
          <w:spacing w:val="1"/>
          <w:sz w:val="24"/>
        </w:rPr>
        <w:t> </w:t>
      </w:r>
      <w:r>
        <w:rPr>
          <w:sz w:val="24"/>
        </w:rPr>
        <w:t>mechanism on tax avoidance: Evidence from manufacturing industries listed in the</w:t>
      </w:r>
      <w:r>
        <w:rPr>
          <w:spacing w:val="1"/>
          <w:sz w:val="24"/>
        </w:rPr>
        <w:t> </w:t>
      </w:r>
      <w:r>
        <w:rPr>
          <w:sz w:val="24"/>
        </w:rPr>
        <w:t>Indonesian</w:t>
      </w:r>
      <w:r>
        <w:rPr>
          <w:spacing w:val="1"/>
          <w:sz w:val="24"/>
        </w:rPr>
        <w:t> </w:t>
      </w:r>
      <w:r>
        <w:rPr>
          <w:sz w:val="24"/>
        </w:rPr>
        <w:t>Stock</w:t>
      </w:r>
      <w:r>
        <w:rPr>
          <w:spacing w:val="1"/>
          <w:sz w:val="24"/>
        </w:rPr>
        <w:t> </w:t>
      </w:r>
      <w:r>
        <w:rPr>
          <w:sz w:val="24"/>
        </w:rPr>
        <w:t>Exchange.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Invention, 5</w:t>
      </w:r>
      <w:r>
        <w:rPr>
          <w:sz w:val="24"/>
        </w:rPr>
        <w:t>(10), 5003-5007.</w:t>
      </w:r>
    </w:p>
    <w:p>
      <w:pPr>
        <w:pStyle w:val="BodyText"/>
        <w:spacing w:before="202"/>
        <w:ind w:left="1542" w:right="837" w:hanging="720"/>
      </w:pPr>
      <w:r>
        <w:rPr/>
        <w:t>Marston, C. L., &amp; Shrives, P.J. (1991). The use of disclosure indices in accounting research: a</w:t>
      </w:r>
      <w:r>
        <w:rPr>
          <w:spacing w:val="-57"/>
        </w:rPr>
        <w:t> </w:t>
      </w:r>
      <w:r>
        <w:rPr/>
        <w:t>review</w:t>
      </w:r>
      <w:r>
        <w:rPr>
          <w:spacing w:val="-2"/>
        </w:rPr>
        <w:t> </w:t>
      </w:r>
      <w:r>
        <w:rPr/>
        <w:t>article. British Accounting</w:t>
      </w:r>
      <w:r>
        <w:rPr>
          <w:spacing w:val="2"/>
        </w:rPr>
        <w:t> </w:t>
      </w:r>
      <w:r>
        <w:rPr/>
        <w:t>Review, 23 (3),</w:t>
      </w:r>
      <w:r>
        <w:rPr>
          <w:spacing w:val="1"/>
        </w:rPr>
        <w:t> </w:t>
      </w:r>
      <w:r>
        <w:rPr/>
        <w:t>195-210.</w:t>
      </w:r>
    </w:p>
    <w:p>
      <w:pPr>
        <w:spacing w:before="200"/>
        <w:ind w:left="1542" w:right="837" w:hanging="720"/>
        <w:jc w:val="both"/>
        <w:rPr>
          <w:sz w:val="24"/>
        </w:rPr>
      </w:pPr>
      <w:r>
        <w:rPr>
          <w:sz w:val="24"/>
        </w:rPr>
        <w:t>Martinez, A. L., &amp; Ramalho, G. C. (2014). Foreign and family ownership firms and tax</w:t>
      </w:r>
      <w:r>
        <w:rPr>
          <w:spacing w:val="1"/>
          <w:sz w:val="24"/>
        </w:rPr>
        <w:t> </w:t>
      </w:r>
      <w:r>
        <w:rPr>
          <w:sz w:val="24"/>
        </w:rPr>
        <w:t>aggressiveness</w:t>
      </w:r>
      <w:r>
        <w:rPr>
          <w:spacing w:val="-1"/>
          <w:sz w:val="24"/>
        </w:rPr>
        <w:t> </w:t>
      </w:r>
      <w:r>
        <w:rPr>
          <w:sz w:val="24"/>
        </w:rPr>
        <w:t>in Brazil.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7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129-136.</w:t>
      </w:r>
    </w:p>
    <w:p>
      <w:pPr>
        <w:pStyle w:val="BodyText"/>
        <w:spacing w:before="199"/>
        <w:ind w:left="1542" w:right="829" w:hanging="720"/>
      </w:pPr>
      <w:r>
        <w:rPr/>
        <w:drawing>
          <wp:anchor distT="0" distB="0" distL="0" distR="0" allowOverlap="1" layoutInCell="1" locked="0" behindDoc="1" simplePos="0" relativeHeight="454081536">
            <wp:simplePos x="0" y="0"/>
            <wp:positionH relativeFrom="page">
              <wp:posOffset>1261605</wp:posOffset>
            </wp:positionH>
            <wp:positionV relativeFrom="paragraph">
              <wp:posOffset>121197</wp:posOffset>
            </wp:positionV>
            <wp:extent cx="5133225" cy="5265293"/>
            <wp:effectExtent l="0" t="0" r="0" b="0"/>
            <wp:wrapNone/>
            <wp:docPr id="29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McChlery, S., Kouhy, R.,</w:t>
      </w:r>
      <w:r>
        <w:rPr>
          <w:spacing w:val="1"/>
        </w:rPr>
        <w:t> </w:t>
      </w:r>
      <w:r>
        <w:rPr/>
        <w:t>Paisey, C., &amp; Hussainey, K. (2011). An empirical study of the</w:t>
      </w:r>
      <w:r>
        <w:rPr>
          <w:spacing w:val="1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UK</w:t>
      </w:r>
      <w:r>
        <w:rPr>
          <w:spacing w:val="-2"/>
        </w:rPr>
        <w:t> </w:t>
      </w:r>
      <w:r>
        <w:rPr/>
        <w:t>oil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gas</w:t>
      </w:r>
      <w:r>
        <w:rPr>
          <w:spacing w:val="-1"/>
        </w:rPr>
        <w:t> </w:t>
      </w:r>
      <w:r>
        <w:rPr/>
        <w:t>voluntary</w:t>
      </w:r>
      <w:r>
        <w:rPr>
          <w:spacing w:val="-1"/>
        </w:rPr>
        <w:t> </w:t>
      </w:r>
      <w:r>
        <w:rPr/>
        <w:t>disclosures.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Economics.</w:t>
      </w:r>
      <w:r>
        <w:rPr>
          <w:i/>
          <w:spacing w:val="-1"/>
        </w:rPr>
        <w:t> </w:t>
      </w:r>
      <w:r>
        <w:rPr>
          <w:i/>
        </w:rPr>
        <w:t>47</w:t>
      </w:r>
      <w:r>
        <w:rPr/>
        <w:t>(3)1-15.</w:t>
      </w:r>
    </w:p>
    <w:p>
      <w:pPr>
        <w:pStyle w:val="BodyText"/>
        <w:spacing w:before="202"/>
        <w:ind w:left="1542" w:right="830" w:hanging="720"/>
      </w:pPr>
      <w:r>
        <w:rPr/>
        <w:t>McGuire, S. T., Omer, T. C., &amp; Wang, D. (2012). Tax avoidance: Does tax-specific industry</w:t>
      </w:r>
      <w:r>
        <w:rPr>
          <w:spacing w:val="1"/>
        </w:rPr>
        <w:t> </w:t>
      </w:r>
      <w:r>
        <w:rPr/>
        <w:t>expertise</w:t>
      </w:r>
      <w:r>
        <w:rPr>
          <w:spacing w:val="-1"/>
        </w:rPr>
        <w:t> </w:t>
      </w:r>
      <w:r>
        <w:rPr/>
        <w:t>make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difference? 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Accounting Review</w:t>
      </w:r>
      <w:r>
        <w:rPr/>
        <w:t>, 87(3), 975-1003.</w:t>
      </w:r>
    </w:p>
    <w:p>
      <w:pPr>
        <w:pStyle w:val="BodyText"/>
        <w:spacing w:before="199"/>
        <w:ind w:left="1542" w:right="834" w:hanging="720"/>
      </w:pPr>
      <w:r>
        <w:rPr/>
        <w:t>Meek,</w:t>
      </w:r>
      <w:r>
        <w:rPr>
          <w:spacing w:val="-2"/>
        </w:rPr>
        <w:t> </w:t>
      </w:r>
      <w:r>
        <w:rPr/>
        <w:t>G.K.,</w:t>
      </w:r>
      <w:r>
        <w:rPr>
          <w:spacing w:val="-2"/>
        </w:rPr>
        <w:t> </w:t>
      </w:r>
      <w:r>
        <w:rPr/>
        <w:t>Roberts,</w:t>
      </w:r>
      <w:r>
        <w:rPr>
          <w:spacing w:val="-1"/>
        </w:rPr>
        <w:t> </w:t>
      </w:r>
      <w:r>
        <w:rPr/>
        <w:t>C.B.,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</w:t>
      </w:r>
      <w:r>
        <w:rPr/>
        <w:t>Gray,</w:t>
      </w:r>
      <w:r>
        <w:rPr>
          <w:spacing w:val="-1"/>
        </w:rPr>
        <w:t> </w:t>
      </w:r>
      <w:r>
        <w:rPr/>
        <w:t>S.J.</w:t>
      </w:r>
      <w:r>
        <w:rPr>
          <w:spacing w:val="-2"/>
        </w:rPr>
        <w:t> </w:t>
      </w:r>
      <w:r>
        <w:rPr/>
        <w:t>(1995).</w:t>
      </w:r>
      <w:r>
        <w:rPr>
          <w:spacing w:val="-5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Influencing</w:t>
      </w:r>
      <w:r>
        <w:rPr>
          <w:spacing w:val="-2"/>
        </w:rPr>
        <w:t> </w:t>
      </w:r>
      <w:r>
        <w:rPr/>
        <w:t>Voluntary</w:t>
      </w:r>
      <w:r>
        <w:rPr>
          <w:spacing w:val="-2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</w:t>
      </w:r>
      <w:r>
        <w:rPr>
          <w:spacing w:val="-58"/>
        </w:rPr>
        <w:t> </w:t>
      </w:r>
      <w:r>
        <w:rPr/>
        <w:t>Disclosures By U.S., U.K. and Continental European Multinational Corporations”,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Business Studies, 26(3)</w:t>
      </w:r>
      <w:r>
        <w:rPr>
          <w:spacing w:val="-2"/>
        </w:rPr>
        <w:t> </w:t>
      </w:r>
      <w:r>
        <w:rPr/>
        <w:t>555-572.</w:t>
      </w:r>
    </w:p>
    <w:p>
      <w:pPr>
        <w:spacing w:before="200"/>
        <w:ind w:left="1542" w:right="833" w:hanging="720"/>
        <w:jc w:val="both"/>
        <w:rPr>
          <w:sz w:val="24"/>
        </w:rPr>
      </w:pPr>
      <w:r>
        <w:rPr>
          <w:sz w:val="24"/>
        </w:rPr>
        <w:t>Micah,</w:t>
      </w:r>
      <w:r>
        <w:rPr>
          <w:spacing w:val="-4"/>
          <w:sz w:val="24"/>
        </w:rPr>
        <w:t> </w:t>
      </w:r>
      <w:r>
        <w:rPr>
          <w:sz w:val="24"/>
        </w:rPr>
        <w:t>L.</w:t>
      </w:r>
      <w:r>
        <w:rPr>
          <w:spacing w:val="-4"/>
          <w:sz w:val="24"/>
        </w:rPr>
        <w:t> </w:t>
      </w:r>
      <w:r>
        <w:rPr>
          <w:sz w:val="24"/>
        </w:rPr>
        <w:t>C.,</w:t>
      </w:r>
      <w:r>
        <w:rPr>
          <w:spacing w:val="-4"/>
          <w:sz w:val="24"/>
        </w:rPr>
        <w:t> </w:t>
      </w:r>
      <w:r>
        <w:rPr>
          <w:sz w:val="24"/>
        </w:rPr>
        <w:t>Ebere,</w:t>
      </w:r>
      <w:r>
        <w:rPr>
          <w:spacing w:val="-4"/>
          <w:sz w:val="24"/>
        </w:rPr>
        <w:t> </w:t>
      </w:r>
      <w:r>
        <w:rPr>
          <w:sz w:val="24"/>
        </w:rPr>
        <w:t>C.,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Umobong,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A.</w:t>
      </w:r>
      <w:r>
        <w:rPr>
          <w:spacing w:val="-4"/>
          <w:sz w:val="24"/>
        </w:rPr>
        <w:t> </w:t>
      </w:r>
      <w:r>
        <w:rPr>
          <w:sz w:val="24"/>
        </w:rPr>
        <w:t>(2012).</w:t>
      </w:r>
      <w:r>
        <w:rPr>
          <w:spacing w:val="-4"/>
          <w:sz w:val="24"/>
        </w:rPr>
        <w:t> </w:t>
      </w:r>
      <w:r>
        <w:rPr>
          <w:sz w:val="24"/>
        </w:rPr>
        <w:t>Tax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Nigeria:</w:t>
      </w:r>
      <w:r>
        <w:rPr>
          <w:spacing w:val="-3"/>
          <w:sz w:val="24"/>
        </w:rPr>
        <w:t> </w:t>
      </w:r>
      <w:r>
        <w:rPr>
          <w:sz w:val="24"/>
        </w:rPr>
        <w:t>Challenges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way</w:t>
      </w:r>
      <w:r>
        <w:rPr>
          <w:spacing w:val="-1"/>
          <w:sz w:val="24"/>
        </w:rPr>
        <w:t> </w:t>
      </w:r>
      <w:r>
        <w:rPr>
          <w:sz w:val="24"/>
        </w:rPr>
        <w:t>forward.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Finance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Accounting, 3</w:t>
      </w:r>
      <w:r>
        <w:rPr>
          <w:sz w:val="24"/>
        </w:rPr>
        <w:t>(5), 9-15.</w:t>
      </w:r>
    </w:p>
    <w:p>
      <w:pPr>
        <w:spacing w:before="201"/>
        <w:ind w:left="1542" w:right="829" w:hanging="720"/>
        <w:jc w:val="both"/>
        <w:rPr>
          <w:sz w:val="24"/>
        </w:rPr>
      </w:pPr>
      <w:r>
        <w:rPr>
          <w:sz w:val="24"/>
        </w:rPr>
        <w:t>Mills, L. F. (1998). Book-tax differences and internal revenue service adjustments.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36</w:t>
      </w:r>
      <w:r>
        <w:rPr>
          <w:sz w:val="24"/>
        </w:rPr>
        <w:t>(2), 343-356.</w:t>
      </w:r>
    </w:p>
    <w:p>
      <w:pPr>
        <w:spacing w:before="199"/>
        <w:ind w:left="1542" w:right="828" w:hanging="720"/>
        <w:jc w:val="both"/>
        <w:rPr>
          <w:sz w:val="24"/>
        </w:rPr>
      </w:pPr>
      <w:r>
        <w:rPr>
          <w:sz w:val="24"/>
        </w:rPr>
        <w:t>Mills,</w:t>
      </w:r>
      <w:r>
        <w:rPr>
          <w:spacing w:val="-3"/>
          <w:sz w:val="24"/>
        </w:rPr>
        <w:t> </w:t>
      </w:r>
      <w:r>
        <w:rPr>
          <w:sz w:val="24"/>
        </w:rPr>
        <w:t>L.,</w:t>
      </w:r>
      <w:r>
        <w:rPr>
          <w:spacing w:val="-3"/>
          <w:sz w:val="24"/>
        </w:rPr>
        <w:t> </w:t>
      </w:r>
      <w:r>
        <w:rPr>
          <w:sz w:val="24"/>
        </w:rPr>
        <w:t>Erickson,</w:t>
      </w:r>
      <w:r>
        <w:rPr>
          <w:spacing w:val="-4"/>
          <w:sz w:val="24"/>
        </w:rPr>
        <w:t> </w:t>
      </w:r>
      <w:r>
        <w:rPr>
          <w:sz w:val="24"/>
        </w:rPr>
        <w:t>M., &amp;</w:t>
      </w:r>
      <w:r>
        <w:rPr>
          <w:spacing w:val="-2"/>
          <w:sz w:val="24"/>
        </w:rPr>
        <w:t> </w:t>
      </w:r>
      <w:r>
        <w:rPr>
          <w:sz w:val="24"/>
        </w:rPr>
        <w:t>Maydew.</w:t>
      </w:r>
      <w:r>
        <w:rPr>
          <w:spacing w:val="-4"/>
          <w:sz w:val="24"/>
        </w:rPr>
        <w:t> </w:t>
      </w:r>
      <w:r>
        <w:rPr>
          <w:sz w:val="24"/>
        </w:rPr>
        <w:t>E. (1998). Investments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tax</w:t>
      </w:r>
      <w:r>
        <w:rPr>
          <w:spacing w:val="-3"/>
          <w:sz w:val="24"/>
        </w:rPr>
        <w:t> </w:t>
      </w:r>
      <w:r>
        <w:rPr>
          <w:sz w:val="24"/>
        </w:rPr>
        <w:t>planning.</w:t>
      </w:r>
      <w:r>
        <w:rPr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Taxation Association,</w:t>
      </w:r>
      <w:r>
        <w:rPr>
          <w:i/>
          <w:spacing w:val="1"/>
          <w:sz w:val="24"/>
        </w:rPr>
        <w:t> </w:t>
      </w:r>
      <w:r>
        <w:rPr>
          <w:sz w:val="24"/>
        </w:rPr>
        <w:t>20(1).</w:t>
      </w:r>
    </w:p>
    <w:p>
      <w:pPr>
        <w:spacing w:before="200"/>
        <w:ind w:left="1542" w:right="834" w:hanging="720"/>
        <w:jc w:val="both"/>
        <w:rPr>
          <w:sz w:val="24"/>
        </w:rPr>
      </w:pPr>
      <w:r>
        <w:rPr>
          <w:sz w:val="24"/>
        </w:rPr>
        <w:t>Minnick,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Noga,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governance</w:t>
      </w:r>
      <w:r>
        <w:rPr>
          <w:spacing w:val="1"/>
          <w:sz w:val="24"/>
        </w:rPr>
        <w:t> </w:t>
      </w:r>
      <w:r>
        <w:rPr>
          <w:sz w:val="24"/>
        </w:rPr>
        <w:t>characteristics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tax</w:t>
      </w:r>
      <w:r>
        <w:rPr>
          <w:spacing w:val="-57"/>
          <w:sz w:val="24"/>
        </w:rPr>
        <w:t> </w:t>
      </w:r>
      <w:r>
        <w:rPr>
          <w:sz w:val="24"/>
        </w:rPr>
        <w:t>management?</w:t>
      </w:r>
      <w:r>
        <w:rPr>
          <w:spacing w:val="1"/>
          <w:sz w:val="24"/>
        </w:rPr>
        <w:t> </w:t>
      </w:r>
      <w:r>
        <w:rPr>
          <w:i/>
          <w:sz w:val="24"/>
        </w:rPr>
        <w:t>Journal of Corporate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Finance, </w:t>
      </w:r>
      <w:r>
        <w:rPr>
          <w:sz w:val="24"/>
        </w:rPr>
        <w:t>16, 703-718.</w:t>
      </w:r>
    </w:p>
    <w:p>
      <w:pPr>
        <w:spacing w:before="202"/>
        <w:ind w:left="1542" w:right="829" w:hanging="720"/>
        <w:jc w:val="both"/>
        <w:rPr>
          <w:sz w:val="24"/>
        </w:rPr>
      </w:pPr>
      <w:r>
        <w:rPr>
          <w:sz w:val="24"/>
        </w:rPr>
        <w:t>Mirrles, J. A. (1971). An exploration in the theory of optimum income taxation.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Studies, 38</w:t>
      </w:r>
      <w:r>
        <w:rPr>
          <w:sz w:val="24"/>
        </w:rPr>
        <w:t>(1), 175-208.</w:t>
      </w:r>
    </w:p>
    <w:p>
      <w:pPr>
        <w:spacing w:before="199"/>
        <w:ind w:left="1542" w:right="828" w:hanging="720"/>
        <w:jc w:val="both"/>
        <w:rPr>
          <w:sz w:val="24"/>
        </w:rPr>
      </w:pPr>
      <w:r>
        <w:rPr>
          <w:sz w:val="24"/>
        </w:rPr>
        <w:t>Mirrles, J. A. (1971). An exploration in the theory of optimum income taxation.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Studies, 38</w:t>
      </w:r>
      <w:r>
        <w:rPr>
          <w:sz w:val="24"/>
        </w:rPr>
        <w:t>(1), 175-208.</w:t>
      </w:r>
    </w:p>
    <w:p>
      <w:pPr>
        <w:pStyle w:val="BodyText"/>
        <w:spacing w:before="199"/>
        <w:ind w:left="1542" w:right="832" w:hanging="720"/>
      </w:pPr>
      <w:r>
        <w:rPr/>
        <w:t>Mmadus, R.A &amp; Akomolafe, R.J, (2014). Financial Investigation and Disclosure as Defence</w:t>
      </w:r>
      <w:r>
        <w:rPr>
          <w:spacing w:val="1"/>
        </w:rPr>
        <w:t> </w:t>
      </w:r>
      <w:r>
        <w:rPr/>
        <w:t>Mechanisms against Corporate Fraud in Nigeria: Are We There Yet? </w:t>
      </w:r>
      <w:r>
        <w:rPr>
          <w:i/>
        </w:rPr>
        <w:t>African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Law And Criminology 4 </w:t>
      </w:r>
      <w:r>
        <w:rPr/>
        <w:t>(1): 25-41 21.</w:t>
      </w:r>
    </w:p>
    <w:p>
      <w:pPr>
        <w:pStyle w:val="BodyText"/>
        <w:spacing w:before="200"/>
        <w:ind w:left="1542" w:right="831" w:hanging="720"/>
      </w:pPr>
      <w:r>
        <w:rPr/>
        <w:t>Murphy, Kevin &amp; Gibbons, Robert. (1992). Optimal Incentive Contracts in the Presence of</w:t>
      </w:r>
      <w:r>
        <w:rPr>
          <w:spacing w:val="1"/>
        </w:rPr>
        <w:t> </w:t>
      </w:r>
      <w:r>
        <w:rPr/>
        <w:t>Career</w:t>
      </w:r>
      <w:r>
        <w:rPr>
          <w:spacing w:val="-15"/>
        </w:rPr>
        <w:t> </w:t>
      </w:r>
      <w:r>
        <w:rPr/>
        <w:t>Concerns:</w:t>
      </w:r>
      <w:r>
        <w:rPr>
          <w:spacing w:val="-14"/>
        </w:rPr>
        <w:t> </w:t>
      </w:r>
      <w:r>
        <w:rPr/>
        <w:t>Theory</w:t>
      </w:r>
      <w:r>
        <w:rPr>
          <w:spacing w:val="-12"/>
        </w:rPr>
        <w:t> </w:t>
      </w:r>
      <w:r>
        <w:rPr/>
        <w:t>and</w:t>
      </w:r>
      <w:r>
        <w:rPr>
          <w:spacing w:val="-14"/>
        </w:rPr>
        <w:t> </w:t>
      </w:r>
      <w:r>
        <w:rPr/>
        <w:t>Evidence.</w:t>
      </w:r>
      <w:r>
        <w:rPr>
          <w:spacing w:val="-11"/>
        </w:rPr>
        <w:t> </w:t>
      </w:r>
      <w:r>
        <w:rPr>
          <w:i/>
        </w:rPr>
        <w:t>Journal</w:t>
      </w:r>
      <w:r>
        <w:rPr>
          <w:i/>
          <w:spacing w:val="-14"/>
        </w:rPr>
        <w:t> </w:t>
      </w:r>
      <w:r>
        <w:rPr>
          <w:i/>
        </w:rPr>
        <w:t>of</w:t>
      </w:r>
      <w:r>
        <w:rPr>
          <w:i/>
          <w:spacing w:val="-13"/>
        </w:rPr>
        <w:t> </w:t>
      </w:r>
      <w:r>
        <w:rPr>
          <w:i/>
        </w:rPr>
        <w:t>Political</w:t>
      </w:r>
      <w:r>
        <w:rPr>
          <w:i/>
          <w:spacing w:val="-14"/>
        </w:rPr>
        <w:t> </w:t>
      </w:r>
      <w:r>
        <w:rPr>
          <w:i/>
        </w:rPr>
        <w:t>Economy</w:t>
      </w:r>
      <w:r>
        <w:rPr/>
        <w:t>.</w:t>
      </w:r>
      <w:r>
        <w:rPr>
          <w:spacing w:val="-14"/>
        </w:rPr>
        <w:t> </w:t>
      </w:r>
      <w:r>
        <w:rPr/>
        <w:t>100(2),</w:t>
      </w:r>
      <w:r>
        <w:rPr>
          <w:spacing w:val="-14"/>
        </w:rPr>
        <w:t> </w:t>
      </w:r>
      <w:r>
        <w:rPr/>
        <w:t>468-505.</w:t>
      </w:r>
    </w:p>
    <w:p>
      <w:pPr>
        <w:spacing w:before="202"/>
        <w:ind w:left="1542" w:right="830" w:hanging="720"/>
        <w:jc w:val="both"/>
        <w:rPr>
          <w:sz w:val="24"/>
        </w:rPr>
      </w:pPr>
      <w:r>
        <w:rPr>
          <w:sz w:val="24"/>
        </w:rPr>
        <w:t>Murthy, N.R.N. (2003). </w:t>
      </w:r>
      <w:r>
        <w:rPr>
          <w:i/>
          <w:sz w:val="24"/>
        </w:rPr>
        <w:t>Report of the SEBI Committee on Corporate Governance </w:t>
      </w:r>
      <w:r>
        <w:rPr>
          <w:sz w:val="24"/>
        </w:rPr>
        <w:t>[online]</w:t>
      </w:r>
      <w:r>
        <w:rPr>
          <w:spacing w:val="1"/>
          <w:sz w:val="24"/>
        </w:rPr>
        <w:t> </w:t>
      </w:r>
      <w:hyperlink r:id="rId37">
        <w:r>
          <w:rPr>
            <w:sz w:val="24"/>
          </w:rPr>
          <w:t>http://www.sebi.gov.in</w:t>
        </w:r>
      </w:hyperlink>
      <w:r>
        <w:rPr>
          <w:spacing w:val="-1"/>
          <w:sz w:val="24"/>
        </w:rPr>
        <w:t> </w:t>
      </w:r>
      <w:r>
        <w:rPr>
          <w:sz w:val="24"/>
        </w:rPr>
        <w:t>(accessed 24 January 2012).</w:t>
      </w:r>
    </w:p>
    <w:p>
      <w:pPr>
        <w:pStyle w:val="BodyText"/>
        <w:spacing w:before="199"/>
        <w:ind w:left="1542" w:right="826" w:hanging="720"/>
      </w:pPr>
      <w:r>
        <w:rPr/>
        <w:t>Murthy,</w:t>
      </w:r>
      <w:r>
        <w:rPr>
          <w:spacing w:val="-2"/>
        </w:rPr>
        <w:t> </w:t>
      </w:r>
      <w:r>
        <w:rPr/>
        <w:t>V.</w:t>
      </w:r>
      <w:r>
        <w:rPr>
          <w:spacing w:val="-1"/>
        </w:rPr>
        <w:t> </w:t>
      </w:r>
      <w:r>
        <w:rPr/>
        <w:t>(2008).</w:t>
      </w:r>
      <w:r>
        <w:rPr>
          <w:spacing w:val="-1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social</w:t>
      </w:r>
      <w:r>
        <w:rPr>
          <w:spacing w:val="-1"/>
        </w:rPr>
        <w:t> </w:t>
      </w:r>
      <w:r>
        <w:rPr/>
        <w:t>disclosure</w:t>
      </w:r>
      <w:r>
        <w:rPr>
          <w:spacing w:val="-2"/>
        </w:rPr>
        <w:t> </w:t>
      </w:r>
      <w:r>
        <w:rPr/>
        <w:t>practices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top</w:t>
      </w:r>
      <w:r>
        <w:rPr>
          <w:spacing w:val="-1"/>
        </w:rPr>
        <w:t> </w:t>
      </w:r>
      <w:r>
        <w:rPr/>
        <w:t>software</w:t>
      </w:r>
      <w:r>
        <w:rPr>
          <w:spacing w:val="-3"/>
        </w:rPr>
        <w:t> </w:t>
      </w:r>
      <w:r>
        <w:rPr/>
        <w:t>firms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India,</w:t>
      </w:r>
      <w:r>
        <w:rPr>
          <w:spacing w:val="-2"/>
        </w:rPr>
        <w:t> </w:t>
      </w:r>
      <w:r>
        <w:rPr>
          <w:i/>
        </w:rPr>
        <w:t>Global</w:t>
      </w:r>
      <w:r>
        <w:rPr>
          <w:i/>
          <w:spacing w:val="-57"/>
        </w:rPr>
        <w:t> </w:t>
      </w:r>
      <w:r>
        <w:rPr>
          <w:i/>
        </w:rPr>
        <w:t>Business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, 9(2)</w:t>
      </w:r>
      <w:r>
        <w:rPr>
          <w:spacing w:val="-2"/>
        </w:rPr>
        <w:t> </w:t>
      </w:r>
      <w:r>
        <w:rPr/>
        <w:t>173–188.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1542" w:right="832" w:hanging="720"/>
      </w:pPr>
      <w:r>
        <w:rPr/>
        <w:t>Musa, M. A. (2014). An appraisal of income tax enforcement procedures under the Nigerian</w:t>
      </w:r>
      <w:r>
        <w:rPr>
          <w:spacing w:val="1"/>
        </w:rPr>
        <w:t> </w:t>
      </w:r>
      <w:r>
        <w:rPr/>
        <w:t>tax system. Unpublished Msc thesis submitted to Ahmadu Bello University, Zaria,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202"/>
        <w:jc w:val="left"/>
      </w:pPr>
      <w:r>
        <w:rPr/>
        <w:t>Nachmias.</w:t>
      </w:r>
      <w:r>
        <w:rPr>
          <w:spacing w:val="37"/>
        </w:rPr>
        <w:t> </w:t>
      </w:r>
      <w:r>
        <w:rPr/>
        <w:t>C</w:t>
      </w:r>
      <w:r>
        <w:rPr>
          <w:spacing w:val="37"/>
        </w:rPr>
        <w:t> </w:t>
      </w:r>
      <w:r>
        <w:rPr/>
        <w:t>&amp;</w:t>
      </w:r>
      <w:r>
        <w:rPr>
          <w:spacing w:val="37"/>
        </w:rPr>
        <w:t> </w:t>
      </w:r>
      <w:r>
        <w:rPr/>
        <w:t>Nachmias.</w:t>
      </w:r>
      <w:r>
        <w:rPr>
          <w:spacing w:val="38"/>
        </w:rPr>
        <w:t> </w:t>
      </w:r>
      <w:r>
        <w:rPr/>
        <w:t>D,</w:t>
      </w:r>
      <w:r>
        <w:rPr>
          <w:spacing w:val="36"/>
        </w:rPr>
        <w:t> </w:t>
      </w:r>
      <w:r>
        <w:rPr/>
        <w:t>(2009).</w:t>
      </w:r>
      <w:r>
        <w:rPr>
          <w:spacing w:val="36"/>
        </w:rPr>
        <w:t> </w:t>
      </w:r>
      <w:r>
        <w:rPr/>
        <w:t>Research</w:t>
      </w:r>
      <w:r>
        <w:rPr>
          <w:spacing w:val="40"/>
        </w:rPr>
        <w:t> </w:t>
      </w:r>
      <w:r>
        <w:rPr/>
        <w:t>Methods</w:t>
      </w:r>
      <w:r>
        <w:rPr>
          <w:spacing w:val="37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Social</w:t>
      </w:r>
      <w:r>
        <w:rPr>
          <w:spacing w:val="39"/>
        </w:rPr>
        <w:t> </w:t>
      </w:r>
      <w:r>
        <w:rPr/>
        <w:t>Sciences,</w:t>
      </w:r>
      <w:r>
        <w:rPr>
          <w:spacing w:val="37"/>
        </w:rPr>
        <w:t> </w:t>
      </w:r>
      <w:r>
        <w:rPr/>
        <w:t>(3rd</w:t>
      </w:r>
      <w:r>
        <w:rPr>
          <w:spacing w:val="37"/>
        </w:rPr>
        <w:t> </w:t>
      </w:r>
      <w:r>
        <w:rPr/>
        <w:t>ed).</w:t>
      </w:r>
    </w:p>
    <w:p>
      <w:pPr>
        <w:pStyle w:val="BodyText"/>
        <w:ind w:left="1542"/>
        <w:jc w:val="left"/>
      </w:pPr>
      <w:r>
        <w:rPr/>
        <w:t>London:</w:t>
      </w:r>
      <w:r>
        <w:rPr>
          <w:spacing w:val="-1"/>
        </w:rPr>
        <w:t> </w:t>
      </w:r>
      <w:r>
        <w:rPr/>
        <w:t>Hodder</w:t>
      </w:r>
      <w:r>
        <w:rPr>
          <w:spacing w:val="-1"/>
        </w:rPr>
        <w:t> </w:t>
      </w:r>
      <w:r>
        <w:rPr/>
        <w:t>Education.</w:t>
      </w:r>
    </w:p>
    <w:p>
      <w:pPr>
        <w:spacing w:before="200"/>
        <w:ind w:left="1542" w:right="832" w:hanging="720"/>
        <w:jc w:val="both"/>
        <w:rPr>
          <w:sz w:val="24"/>
        </w:rPr>
      </w:pPr>
      <w:r>
        <w:rPr>
          <w:sz w:val="24"/>
        </w:rPr>
        <w:t>Nowland, J. (2008). The effect of national governance codes on firm disclosure practices:</w:t>
      </w:r>
      <w:r>
        <w:rPr>
          <w:spacing w:val="1"/>
          <w:sz w:val="24"/>
        </w:rPr>
        <w:t> </w:t>
      </w:r>
      <w:r>
        <w:rPr>
          <w:sz w:val="24"/>
        </w:rPr>
        <w:t>evidence from analyst earnings forecasts’, </w:t>
      </w:r>
      <w:r>
        <w:rPr>
          <w:i/>
          <w:sz w:val="24"/>
        </w:rPr>
        <w:t>Corporate Governance: An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November,  16(6) 475–491.</w:t>
      </w:r>
    </w:p>
    <w:p>
      <w:pPr>
        <w:pStyle w:val="BodyText"/>
        <w:spacing w:before="199"/>
        <w:ind w:left="1542" w:right="827" w:hanging="720"/>
      </w:pPr>
      <w:r>
        <w:rPr/>
        <w:drawing>
          <wp:anchor distT="0" distB="0" distL="0" distR="0" allowOverlap="1" layoutInCell="1" locked="0" behindDoc="1" simplePos="0" relativeHeight="454082048">
            <wp:simplePos x="0" y="0"/>
            <wp:positionH relativeFrom="page">
              <wp:posOffset>1261605</wp:posOffset>
            </wp:positionH>
            <wp:positionV relativeFrom="paragraph">
              <wp:posOffset>121197</wp:posOffset>
            </wp:positionV>
            <wp:extent cx="5133225" cy="5265293"/>
            <wp:effectExtent l="0" t="0" r="0" b="0"/>
            <wp:wrapNone/>
            <wp:docPr id="29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Ntim,</w:t>
      </w:r>
      <w:r>
        <w:rPr>
          <w:spacing w:val="1"/>
        </w:rPr>
        <w:t> </w:t>
      </w:r>
      <w:r>
        <w:rPr/>
        <w:t>C.G.,</w:t>
      </w:r>
      <w:r>
        <w:rPr>
          <w:spacing w:val="1"/>
        </w:rPr>
        <w:t> </w:t>
      </w:r>
      <w:r>
        <w:rPr/>
        <w:t>Opong,</w:t>
      </w:r>
      <w:r>
        <w:rPr>
          <w:spacing w:val="1"/>
        </w:rPr>
        <w:t> </w:t>
      </w:r>
      <w:r>
        <w:rPr/>
        <w:t>K.K.,</w:t>
      </w:r>
      <w:r>
        <w:rPr>
          <w:spacing w:val="1"/>
        </w:rPr>
        <w:t> </w:t>
      </w:r>
      <w:r>
        <w:rPr/>
        <w:t>Danbolt,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D.A.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>
          <w:spacing w:val="-1"/>
        </w:rPr>
        <w:t>governance</w:t>
      </w:r>
      <w:r>
        <w:rPr>
          <w:spacing w:val="-14"/>
        </w:rPr>
        <w:t> </w:t>
      </w:r>
      <w:r>
        <w:rPr/>
        <w:t>disclosure</w:t>
      </w:r>
      <w:r>
        <w:rPr>
          <w:spacing w:val="-14"/>
        </w:rPr>
        <w:t> </w:t>
      </w:r>
      <w:r>
        <w:rPr/>
        <w:t>by</w:t>
      </w:r>
      <w:r>
        <w:rPr>
          <w:spacing w:val="-10"/>
        </w:rPr>
        <w:t> </w:t>
      </w:r>
      <w:r>
        <w:rPr/>
        <w:t>post-apartheid</w:t>
      </w:r>
      <w:r>
        <w:rPr>
          <w:spacing w:val="-12"/>
        </w:rPr>
        <w:t> </w:t>
      </w:r>
      <w:r>
        <w:rPr/>
        <w:t>South</w:t>
      </w:r>
      <w:r>
        <w:rPr>
          <w:spacing w:val="-12"/>
        </w:rPr>
        <w:t> </w:t>
      </w:r>
      <w:r>
        <w:rPr/>
        <w:t>African</w:t>
      </w:r>
      <w:r>
        <w:rPr>
          <w:spacing w:val="-12"/>
        </w:rPr>
        <w:t> </w:t>
      </w:r>
      <w:r>
        <w:rPr/>
        <w:t>corporations,</w:t>
      </w:r>
      <w:r>
        <w:rPr>
          <w:spacing w:val="-12"/>
        </w:rPr>
        <w:t> </w:t>
      </w:r>
      <w:r>
        <w:rPr>
          <w:i/>
        </w:rPr>
        <w:t>Journal</w:t>
      </w:r>
      <w:r>
        <w:rPr>
          <w:i/>
          <w:spacing w:val="-12"/>
        </w:rPr>
        <w:t> </w:t>
      </w:r>
      <w:r>
        <w:rPr>
          <w:i/>
        </w:rPr>
        <w:t>of</w:t>
      </w:r>
      <w:r>
        <w:rPr>
          <w:i/>
          <w:spacing w:val="-13"/>
        </w:rPr>
        <w:t> </w:t>
      </w:r>
      <w:r>
        <w:rPr>
          <w:i/>
        </w:rPr>
        <w:t>Applied</w:t>
      </w:r>
      <w:r>
        <w:rPr>
          <w:i/>
          <w:spacing w:val="-57"/>
        </w:rPr>
        <w:t> </w:t>
      </w:r>
      <w:r>
        <w:rPr>
          <w:i/>
        </w:rPr>
        <w:t>Accounting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Vol. 13, No. 2, pp.1–37.</w:t>
      </w:r>
    </w:p>
    <w:p>
      <w:pPr>
        <w:pStyle w:val="BodyText"/>
        <w:spacing w:before="202"/>
        <w:ind w:left="1542" w:right="827" w:hanging="720"/>
      </w:pPr>
      <w:r>
        <w:rPr/>
        <w:t>O’Sullivan,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Percy,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Stewart,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Australian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 Attributes and their Association with Forward-Looking Information in the</w:t>
      </w:r>
      <w:r>
        <w:rPr>
          <w:spacing w:val="-57"/>
        </w:rPr>
        <w:t> </w:t>
      </w:r>
      <w:r>
        <w:rPr/>
        <w:t>Annual</w:t>
      </w:r>
      <w:r>
        <w:rPr>
          <w:spacing w:val="-1"/>
        </w:rPr>
        <w:t> </w:t>
      </w:r>
      <w:r>
        <w:rPr/>
        <w:t>Report”, J.</w:t>
      </w:r>
      <w:r>
        <w:rPr>
          <w:spacing w:val="-1"/>
        </w:rPr>
        <w:t> </w:t>
      </w:r>
      <w:r>
        <w:rPr/>
        <w:t>Manage</w:t>
      </w:r>
      <w:r>
        <w:rPr>
          <w:spacing w:val="-1"/>
        </w:rPr>
        <w:t> </w:t>
      </w:r>
      <w:r>
        <w:rPr/>
        <w:t>Governance, 12(3)</w:t>
      </w:r>
      <w:r>
        <w:rPr>
          <w:spacing w:val="-3"/>
        </w:rPr>
        <w:t> </w:t>
      </w:r>
      <w:r>
        <w:rPr/>
        <w:t>5-35.</w:t>
      </w:r>
    </w:p>
    <w:p>
      <w:pPr>
        <w:spacing w:before="199"/>
        <w:ind w:left="1542" w:right="831" w:hanging="720"/>
        <w:jc w:val="both"/>
        <w:rPr>
          <w:sz w:val="24"/>
        </w:rPr>
      </w:pPr>
      <w:r>
        <w:rPr>
          <w:sz w:val="24"/>
        </w:rPr>
        <w:t>Odoemela, U., Ironkwe, U. I., &amp; Nwaiwu, J. N. (2016). Corporate governance mechanism and</w:t>
      </w:r>
      <w:r>
        <w:rPr>
          <w:spacing w:val="-57"/>
          <w:sz w:val="24"/>
        </w:rPr>
        <w:t> </w:t>
      </w:r>
      <w:r>
        <w:rPr>
          <w:sz w:val="24"/>
        </w:rPr>
        <w:t>tax</w:t>
      </w:r>
      <w:r>
        <w:rPr>
          <w:spacing w:val="-4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in Nigeria.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Research: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 Sciences,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(9), 45-59.</w:t>
      </w:r>
    </w:p>
    <w:p>
      <w:pPr>
        <w:spacing w:before="200"/>
        <w:ind w:left="1542" w:right="832" w:hanging="720"/>
        <w:jc w:val="both"/>
        <w:rPr>
          <w:sz w:val="24"/>
        </w:rPr>
      </w:pPr>
      <w:r>
        <w:rPr>
          <w:sz w:val="24"/>
        </w:rPr>
        <w:t>OECD Report (2004). Principle of corporate governance’, </w:t>
      </w:r>
      <w:r>
        <w:rPr>
          <w:i/>
          <w:sz w:val="24"/>
        </w:rPr>
        <w:t>The Organization for 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Cooperation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Development</w:t>
      </w:r>
      <w:r>
        <w:rPr>
          <w:sz w:val="24"/>
        </w:rPr>
        <w:t>, Paris, pp.1–69</w:t>
      </w:r>
      <w:r>
        <w:rPr>
          <w:spacing w:val="-1"/>
          <w:sz w:val="24"/>
        </w:rPr>
        <w:t> </w:t>
      </w:r>
      <w:r>
        <w:rPr>
          <w:sz w:val="24"/>
        </w:rPr>
        <w:t>[online]</w:t>
      </w:r>
      <w:r>
        <w:rPr>
          <w:spacing w:val="-1"/>
          <w:sz w:val="24"/>
        </w:rPr>
        <w:t> </w:t>
      </w:r>
      <w:hyperlink r:id="rId38">
        <w:r>
          <w:rPr>
            <w:sz w:val="24"/>
          </w:rPr>
          <w:t>http://www.oecd.org</w:t>
        </w:r>
      </w:hyperlink>
      <w:r>
        <w:rPr>
          <w:sz w:val="24"/>
        </w:rPr>
        <w:t>.</w:t>
      </w:r>
    </w:p>
    <w:p>
      <w:pPr>
        <w:spacing w:before="201"/>
        <w:ind w:left="1542" w:right="834" w:hanging="720"/>
        <w:jc w:val="both"/>
        <w:rPr>
          <w:sz w:val="24"/>
        </w:rPr>
      </w:pPr>
      <w:r>
        <w:rPr>
          <w:sz w:val="24"/>
        </w:rPr>
        <w:t>Ogbeide, S (2017). Firm characteristics and tax aggressiveness of listed firms in Nigeria:</w:t>
      </w:r>
      <w:r>
        <w:rPr>
          <w:spacing w:val="1"/>
          <w:sz w:val="24"/>
        </w:rPr>
        <w:t> </w:t>
      </w:r>
      <w:r>
        <w:rPr>
          <w:sz w:val="24"/>
        </w:rPr>
        <w:t>empirical evidence. </w:t>
      </w:r>
      <w:r>
        <w:rPr>
          <w:i/>
          <w:sz w:val="24"/>
        </w:rPr>
        <w:t>International Journal of Academic Research in Public Policy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Governance 4(1)</w:t>
      </w:r>
      <w:r>
        <w:rPr>
          <w:i/>
          <w:spacing w:val="-2"/>
          <w:sz w:val="24"/>
        </w:rPr>
        <w:t> </w:t>
      </w:r>
      <w:r>
        <w:rPr>
          <w:sz w:val="24"/>
        </w:rPr>
        <w:t>2312-4040.</w:t>
      </w:r>
    </w:p>
    <w:p>
      <w:pPr>
        <w:spacing w:before="200"/>
        <w:ind w:left="1542" w:right="829" w:hanging="720"/>
        <w:jc w:val="both"/>
        <w:rPr>
          <w:sz w:val="24"/>
        </w:rPr>
      </w:pPr>
      <w:r>
        <w:rPr>
          <w:sz w:val="24"/>
        </w:rPr>
        <w:t>Ogbeide, S. O., &amp; Iyafekhe, C. (2018). Empirical assessment of tax aggressiveness of listed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in Nigeria. </w:t>
      </w:r>
      <w:r>
        <w:rPr>
          <w:i/>
          <w:sz w:val="24"/>
        </w:rPr>
        <w:t>Accounting &amp;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Taxation Review,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(3), 13-29.</w:t>
      </w:r>
    </w:p>
    <w:p>
      <w:pPr>
        <w:spacing w:before="199"/>
        <w:ind w:left="1542" w:right="831" w:hanging="720"/>
        <w:jc w:val="both"/>
        <w:rPr>
          <w:sz w:val="24"/>
        </w:rPr>
      </w:pPr>
      <w:r>
        <w:rPr>
          <w:sz w:val="24"/>
        </w:rPr>
        <w:t>Ogbeide,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O.,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Osaretin,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governance</w:t>
      </w:r>
      <w:r>
        <w:rPr>
          <w:spacing w:val="1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tax</w:t>
      </w:r>
      <w:r>
        <w:rPr>
          <w:spacing w:val="1"/>
          <w:sz w:val="24"/>
        </w:rPr>
        <w:t> </w:t>
      </w:r>
      <w:r>
        <w:rPr>
          <w:sz w:val="24"/>
        </w:rPr>
        <w:t>aggressiveness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listed</w:t>
      </w:r>
      <w:r>
        <w:rPr>
          <w:spacing w:val="-11"/>
          <w:sz w:val="24"/>
        </w:rPr>
        <w:t> </w:t>
      </w:r>
      <w:r>
        <w:rPr>
          <w:sz w:val="24"/>
        </w:rPr>
        <w:t>firms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Nigeria.</w:t>
      </w:r>
      <w:r>
        <w:rPr>
          <w:spacing w:val="-10"/>
          <w:sz w:val="24"/>
        </w:rPr>
        <w:t> </w:t>
      </w:r>
      <w:r>
        <w:rPr>
          <w:i/>
          <w:sz w:val="24"/>
        </w:rPr>
        <w:t>Amity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Corporate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Governance,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</w:t>
      </w:r>
      <w:r>
        <w:rPr>
          <w:spacing w:val="-58"/>
          <w:sz w:val="24"/>
        </w:rPr>
        <w:t> </w:t>
      </w:r>
      <w:r>
        <w:rPr>
          <w:sz w:val="24"/>
        </w:rPr>
        <w:t>1-12.</w:t>
      </w:r>
    </w:p>
    <w:p>
      <w:pPr>
        <w:pStyle w:val="BodyText"/>
        <w:spacing w:before="199"/>
        <w:ind w:left="1542" w:right="830" w:hanging="720"/>
        <w:rPr>
          <w:rFonts w:ascii="Calibri"/>
          <w:sz w:val="18"/>
        </w:rPr>
      </w:pPr>
      <w:r>
        <w:rPr/>
        <w:t>Ohnuma,</w:t>
      </w:r>
      <w:r>
        <w:rPr>
          <w:spacing w:val="-3"/>
        </w:rPr>
        <w:t> </w:t>
      </w:r>
      <w:r>
        <w:rPr/>
        <w:t>H.,</w:t>
      </w:r>
      <w:r>
        <w:rPr>
          <w:spacing w:val="-2"/>
        </w:rPr>
        <w:t> </w:t>
      </w:r>
      <w:r>
        <w:rPr/>
        <w:t>(2014).</w:t>
      </w:r>
      <w:r>
        <w:rPr>
          <w:spacing w:val="-2"/>
        </w:rPr>
        <w:t> </w:t>
      </w:r>
      <w:r>
        <w:rPr/>
        <w:t>Does</w:t>
      </w:r>
      <w:r>
        <w:rPr>
          <w:spacing w:val="-2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reflect</w:t>
      </w:r>
      <w:r>
        <w:rPr>
          <w:spacing w:val="-2"/>
        </w:rPr>
        <w:t> </w:t>
      </w:r>
      <w:r>
        <w:rPr/>
        <w:t>equity</w:t>
      </w:r>
      <w:r>
        <w:rPr>
          <w:spacing w:val="-3"/>
        </w:rPr>
        <w:t> </w:t>
      </w:r>
      <w:r>
        <w:rPr/>
        <w:t>risk</w:t>
      </w:r>
      <w:r>
        <w:rPr>
          <w:spacing w:val="-2"/>
        </w:rPr>
        <w:t> </w:t>
      </w:r>
      <w:r>
        <w:rPr/>
        <w:t>incentives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tax avoidance? A Japanese perspective. Corporate Ownership and Control, 11(2), 60-</w:t>
      </w:r>
      <w:r>
        <w:rPr>
          <w:spacing w:val="1"/>
        </w:rPr>
        <w:t> </w:t>
      </w:r>
      <w:r>
        <w:rPr/>
        <w:t>71</w:t>
      </w:r>
      <w:r>
        <w:rPr>
          <w:rFonts w:ascii="Calibri"/>
          <w:sz w:val="18"/>
        </w:rPr>
        <w:t>.</w:t>
      </w:r>
    </w:p>
    <w:p>
      <w:pPr>
        <w:pStyle w:val="BodyText"/>
        <w:spacing w:before="203"/>
        <w:ind w:left="1542" w:right="831" w:hanging="720"/>
      </w:pPr>
      <w:r>
        <w:rPr/>
        <w:t>Olusanmi, O., &amp; Iyoha, F. (2015). The Effects of Corporate Governance Mechanism on Firms</w:t>
      </w:r>
      <w:r>
        <w:rPr>
          <w:spacing w:val="-57"/>
        </w:rPr>
        <w:t> </w:t>
      </w:r>
      <w:r>
        <w:rPr/>
        <w:t>Dividend Pay-out Policy in Nigeria. Journal of accounting and auditing: research &amp;</w:t>
      </w:r>
      <w:r>
        <w:rPr>
          <w:spacing w:val="1"/>
        </w:rPr>
        <w:t> </w:t>
      </w:r>
      <w:r>
        <w:rPr/>
        <w:t>practice,</w:t>
      </w:r>
      <w:r>
        <w:rPr>
          <w:spacing w:val="-1"/>
        </w:rPr>
        <w:t> </w:t>
      </w:r>
      <w:r>
        <w:rPr/>
        <w:t>10(1)</w:t>
      </w:r>
      <w:r>
        <w:rPr>
          <w:spacing w:val="-2"/>
        </w:rPr>
        <w:t> </w:t>
      </w:r>
      <w:r>
        <w:rPr/>
        <w:t>17-25.</w:t>
      </w:r>
    </w:p>
    <w:p>
      <w:pPr>
        <w:spacing w:before="199"/>
        <w:ind w:left="1542" w:right="826" w:hanging="720"/>
        <w:jc w:val="both"/>
        <w:rPr>
          <w:rFonts w:ascii="Calibri"/>
          <w:sz w:val="22"/>
        </w:rPr>
      </w:pPr>
      <w:r>
        <w:rPr>
          <w:sz w:val="24"/>
        </w:rPr>
        <w:t>Omer,</w:t>
      </w:r>
      <w:r>
        <w:rPr>
          <w:spacing w:val="-5"/>
          <w:sz w:val="24"/>
        </w:rPr>
        <w:t> </w:t>
      </w:r>
      <w:r>
        <w:rPr>
          <w:sz w:val="24"/>
        </w:rPr>
        <w:t>T.,</w:t>
      </w:r>
      <w:r>
        <w:rPr>
          <w:spacing w:val="-3"/>
          <w:sz w:val="24"/>
        </w:rPr>
        <w:t> </w:t>
      </w:r>
      <w:r>
        <w:rPr>
          <w:sz w:val="24"/>
        </w:rPr>
        <w:t>Molloy,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Ziebart,</w:t>
      </w:r>
      <w:r>
        <w:rPr>
          <w:spacing w:val="-4"/>
          <w:sz w:val="24"/>
        </w:rPr>
        <w:t> </w:t>
      </w:r>
      <w:r>
        <w:rPr>
          <w:sz w:val="24"/>
        </w:rPr>
        <w:t>D.</w:t>
      </w:r>
      <w:r>
        <w:rPr>
          <w:spacing w:val="-3"/>
          <w:sz w:val="24"/>
        </w:rPr>
        <w:t> </w:t>
      </w:r>
      <w:r>
        <w:rPr>
          <w:sz w:val="24"/>
        </w:rPr>
        <w:t>(1993).</w:t>
      </w:r>
      <w:r>
        <w:rPr>
          <w:spacing w:val="-5"/>
          <w:sz w:val="24"/>
        </w:rPr>
        <w:t> </w:t>
      </w:r>
      <w:r>
        <w:rPr>
          <w:sz w:val="24"/>
        </w:rPr>
        <w:t>Measurement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effective</w:t>
      </w:r>
      <w:r>
        <w:rPr>
          <w:spacing w:val="-5"/>
          <w:sz w:val="24"/>
        </w:rPr>
        <w:t> </w:t>
      </w:r>
      <w:r>
        <w:rPr>
          <w:sz w:val="24"/>
        </w:rPr>
        <w:t>corporate</w:t>
      </w:r>
      <w:r>
        <w:rPr>
          <w:spacing w:val="-3"/>
          <w:sz w:val="24"/>
        </w:rPr>
        <w:t> </w:t>
      </w:r>
      <w:r>
        <w:rPr>
          <w:sz w:val="24"/>
        </w:rPr>
        <w:t>tax</w:t>
      </w:r>
      <w:r>
        <w:rPr>
          <w:spacing w:val="-3"/>
          <w:sz w:val="24"/>
        </w:rPr>
        <w:t> </w:t>
      </w:r>
      <w:r>
        <w:rPr>
          <w:sz w:val="24"/>
        </w:rPr>
        <w:t>rates</w:t>
      </w:r>
      <w:r>
        <w:rPr>
          <w:spacing w:val="-4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financial statement information. </w:t>
      </w:r>
      <w:r>
        <w:rPr>
          <w:i/>
          <w:sz w:val="24"/>
        </w:rPr>
        <w:t>The Journal of theAmerican Taxation Association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13(1):</w:t>
      </w:r>
      <w:r>
        <w:rPr>
          <w:spacing w:val="-1"/>
          <w:sz w:val="24"/>
        </w:rPr>
        <w:t> </w:t>
      </w:r>
      <w:r>
        <w:rPr>
          <w:sz w:val="24"/>
        </w:rPr>
        <w:t>57-72</w:t>
      </w:r>
      <w:r>
        <w:rPr>
          <w:rFonts w:ascii="Calibri"/>
          <w:sz w:val="22"/>
        </w:rPr>
        <w:t>.</w:t>
      </w:r>
    </w:p>
    <w:p>
      <w:pPr>
        <w:spacing w:before="199"/>
        <w:ind w:left="1542" w:right="829" w:hanging="720"/>
        <w:jc w:val="both"/>
        <w:rPr>
          <w:sz w:val="24"/>
        </w:rPr>
      </w:pPr>
      <w:r>
        <w:rPr>
          <w:sz w:val="24"/>
        </w:rPr>
        <w:t>Onyali, C. I., &amp; Okafor, T. G. (2018). Effect of corporate governance mechanisms on tax</w:t>
      </w:r>
      <w:r>
        <w:rPr>
          <w:spacing w:val="1"/>
          <w:sz w:val="24"/>
        </w:rPr>
        <w:t> </w:t>
      </w:r>
      <w:r>
        <w:rPr>
          <w:sz w:val="24"/>
        </w:rPr>
        <w:t>aggressiveness of quoted manufacturing firms on the Nigerian Stock Exchange. </w:t>
      </w:r>
      <w:r>
        <w:rPr>
          <w:i/>
          <w:sz w:val="24"/>
        </w:rPr>
        <w:t>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Economics, Business and Accounting, 8</w:t>
      </w:r>
      <w:r>
        <w:rPr>
          <w:sz w:val="24"/>
        </w:rPr>
        <w:t>(1), 1-20.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30" w:hanging="720"/>
        <w:jc w:val="both"/>
        <w:rPr>
          <w:sz w:val="24"/>
        </w:rPr>
      </w:pPr>
      <w:r>
        <w:rPr>
          <w:sz w:val="24"/>
        </w:rPr>
        <w:t>Organization</w:t>
      </w:r>
      <w:r>
        <w:rPr>
          <w:spacing w:val="-10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Economic</w:t>
      </w:r>
      <w:r>
        <w:rPr>
          <w:spacing w:val="-10"/>
          <w:sz w:val="24"/>
        </w:rPr>
        <w:t> </w:t>
      </w:r>
      <w:r>
        <w:rPr>
          <w:sz w:val="24"/>
        </w:rPr>
        <w:t>Cooperation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9"/>
          <w:sz w:val="24"/>
        </w:rPr>
        <w:t> </w:t>
      </w:r>
      <w:r>
        <w:rPr>
          <w:sz w:val="24"/>
        </w:rPr>
        <w:t>Development</w:t>
      </w:r>
      <w:r>
        <w:rPr>
          <w:spacing w:val="-10"/>
          <w:sz w:val="24"/>
        </w:rPr>
        <w:t> </w:t>
      </w:r>
      <w:r>
        <w:rPr>
          <w:sz w:val="24"/>
        </w:rPr>
        <w:t>(OECD)</w:t>
      </w:r>
      <w:r>
        <w:rPr>
          <w:spacing w:val="-9"/>
          <w:sz w:val="24"/>
        </w:rPr>
        <w:t> </w:t>
      </w:r>
      <w:r>
        <w:rPr>
          <w:sz w:val="24"/>
        </w:rPr>
        <w:t>(2006).</w:t>
      </w:r>
      <w:r>
        <w:rPr>
          <w:spacing w:val="-9"/>
          <w:sz w:val="24"/>
        </w:rPr>
        <w:t> </w:t>
      </w:r>
      <w:r>
        <w:rPr>
          <w:i/>
          <w:sz w:val="24"/>
        </w:rPr>
        <w:t>Guidance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Corporate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Governance Disclosures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OECD Publications</w:t>
      </w:r>
    </w:p>
    <w:p>
      <w:pPr>
        <w:pStyle w:val="BodyText"/>
        <w:spacing w:before="202"/>
        <w:ind w:left="1542" w:right="830" w:hanging="720"/>
      </w:pPr>
      <w:r>
        <w:rPr/>
        <w:t>Otieno, B. A. (2014). The relationship between ownership structure and tax avoidance of</w:t>
      </w:r>
      <w:r>
        <w:rPr>
          <w:spacing w:val="1"/>
        </w:rPr>
        <w:t> </w:t>
      </w:r>
      <w:r>
        <w:rPr/>
        <w:t>companies listed at the Nairobi Securities Exchange. Unpublished thesis submitted 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School of</w:t>
      </w:r>
      <w:r>
        <w:rPr>
          <w:spacing w:val="-1"/>
        </w:rPr>
        <w:t> </w:t>
      </w:r>
      <w:r>
        <w:rPr/>
        <w:t>Business, University of Nairobi.</w:t>
      </w:r>
    </w:p>
    <w:p>
      <w:pPr>
        <w:pStyle w:val="BodyText"/>
        <w:spacing w:before="200"/>
        <w:ind w:left="1542" w:right="830" w:hanging="720"/>
      </w:pPr>
      <w:r>
        <w:rPr/>
        <w:t>Oyeleke, O., Erin, O., &amp; Emeni, F. (2016). Female directors and tax aggressiveness of listed</w:t>
      </w:r>
      <w:r>
        <w:rPr>
          <w:spacing w:val="1"/>
        </w:rPr>
        <w:t> </w:t>
      </w:r>
      <w:r>
        <w:rPr/>
        <w:t>banks in Nigeria. 3rd International Conference on African Development Issues (CU-</w:t>
      </w:r>
      <w:r>
        <w:rPr>
          <w:spacing w:val="1"/>
        </w:rPr>
        <w:t> </w:t>
      </w:r>
      <w:r>
        <w:rPr/>
        <w:t>ICADI</w:t>
      </w:r>
      <w:r>
        <w:rPr>
          <w:spacing w:val="-1"/>
        </w:rPr>
        <w:t> </w:t>
      </w:r>
      <w:r>
        <w:rPr/>
        <w:t>2016.</w:t>
      </w:r>
    </w:p>
    <w:p>
      <w:pPr>
        <w:spacing w:before="199"/>
        <w:ind w:left="1542" w:right="832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82560">
            <wp:simplePos x="0" y="0"/>
            <wp:positionH relativeFrom="page">
              <wp:posOffset>1261605</wp:posOffset>
            </wp:positionH>
            <wp:positionV relativeFrom="paragraph">
              <wp:posOffset>121197</wp:posOffset>
            </wp:positionV>
            <wp:extent cx="5133225" cy="5265293"/>
            <wp:effectExtent l="0" t="0" r="0" b="0"/>
            <wp:wrapNone/>
            <wp:docPr id="29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Pahuja, A. &amp; Bhatia, B.S. (2010). Determinants of CG disclosures: evidence from companies</w:t>
      </w:r>
      <w:r>
        <w:rPr>
          <w:spacing w:val="1"/>
          <w:sz w:val="24"/>
        </w:rPr>
        <w:t> </w:t>
      </w:r>
      <w:r>
        <w:rPr>
          <w:sz w:val="24"/>
        </w:rPr>
        <w:t>in Northern India, </w:t>
      </w:r>
      <w:r>
        <w:rPr>
          <w:i/>
          <w:sz w:val="24"/>
        </w:rPr>
        <w:t>The IUP Journal of Corporate Governance</w:t>
      </w:r>
      <w:r>
        <w:rPr>
          <w:sz w:val="24"/>
        </w:rPr>
        <w:t>, July, Vol. 9, No. 3,</w:t>
      </w:r>
      <w:r>
        <w:rPr>
          <w:spacing w:val="1"/>
          <w:sz w:val="24"/>
        </w:rPr>
        <w:t> </w:t>
      </w:r>
      <w:r>
        <w:rPr>
          <w:sz w:val="24"/>
        </w:rPr>
        <w:t>pp.69–88.</w:t>
      </w:r>
    </w:p>
    <w:p>
      <w:pPr>
        <w:spacing w:before="202"/>
        <w:ind w:left="1542" w:right="832" w:hanging="720"/>
        <w:jc w:val="both"/>
        <w:rPr>
          <w:sz w:val="24"/>
        </w:rPr>
      </w:pPr>
      <w:r>
        <w:rPr>
          <w:sz w:val="24"/>
        </w:rPr>
        <w:t>Pan, Y &amp; Wang, T. &amp; Weisbach, M. (2016). CEO investment cycles. </w:t>
      </w:r>
      <w:r>
        <w:rPr>
          <w:i/>
          <w:sz w:val="24"/>
        </w:rPr>
        <w:t>Review of Financial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Studies. 29(2)</w:t>
      </w:r>
      <w:r>
        <w:rPr>
          <w:i/>
          <w:spacing w:val="59"/>
          <w:sz w:val="24"/>
        </w:rPr>
        <w:t> </w:t>
      </w:r>
      <w:r>
        <w:rPr>
          <w:sz w:val="24"/>
        </w:rPr>
        <w:t>2955-2999.</w:t>
      </w:r>
    </w:p>
    <w:p>
      <w:pPr>
        <w:pStyle w:val="BodyText"/>
        <w:spacing w:before="199"/>
        <w:ind w:left="1542" w:right="835" w:hanging="720"/>
      </w:pPr>
      <w:r>
        <w:rPr/>
        <w:t>Parker,</w:t>
      </w:r>
      <w:r>
        <w:rPr>
          <w:spacing w:val="1"/>
        </w:rPr>
        <w:t> </w:t>
      </w:r>
      <w:r>
        <w:rPr/>
        <w:t>L.D.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reporting</w:t>
      </w:r>
      <w:r>
        <w:rPr>
          <w:spacing w:val="1"/>
        </w:rPr>
        <w:t> </w:t>
      </w:r>
      <w:r>
        <w:rPr/>
        <w:t>research: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broadening</w:t>
      </w:r>
      <w:r>
        <w:rPr>
          <w:spacing w:val="1"/>
        </w:rPr>
        <w:t> </w:t>
      </w:r>
      <w:r>
        <w:rPr/>
        <w:t>corporate</w:t>
      </w:r>
      <w:r>
        <w:rPr>
          <w:spacing w:val="-57"/>
        </w:rPr>
        <w:t> </w:t>
      </w:r>
      <w:r>
        <w:rPr/>
        <w:t>governance</w:t>
      </w:r>
      <w:r>
        <w:rPr>
          <w:spacing w:val="-2"/>
        </w:rPr>
        <w:t> </w:t>
      </w:r>
      <w:r>
        <w:rPr/>
        <w:t>challenge,</w:t>
      </w:r>
      <w:r>
        <w:rPr>
          <w:spacing w:val="-1"/>
        </w:rPr>
        <w:t> </w:t>
      </w:r>
      <w:r>
        <w:rPr>
          <w:i/>
        </w:rPr>
        <w:t>Accounting and</w:t>
      </w:r>
      <w:r>
        <w:rPr>
          <w:i/>
          <w:spacing w:val="-1"/>
        </w:rPr>
        <w:t> </w:t>
      </w:r>
      <w:r>
        <w:rPr>
          <w:i/>
        </w:rPr>
        <w:t>Business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Vol.</w:t>
      </w:r>
      <w:r>
        <w:rPr>
          <w:spacing w:val="-1"/>
        </w:rPr>
        <w:t> </w:t>
      </w:r>
      <w:r>
        <w:rPr/>
        <w:t>37, No.</w:t>
      </w:r>
      <w:r>
        <w:rPr>
          <w:spacing w:val="-1"/>
        </w:rPr>
        <w:t> </w:t>
      </w:r>
      <w:r>
        <w:rPr/>
        <w:t>1, pp.39–54.</w:t>
      </w:r>
    </w:p>
    <w:p>
      <w:pPr>
        <w:pStyle w:val="BodyText"/>
        <w:spacing w:before="200"/>
        <w:ind w:left="1542" w:right="828" w:hanging="720"/>
      </w:pPr>
      <w:r>
        <w:rPr/>
        <w:t>Patel,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‘Inside</w:t>
      </w:r>
      <w:r>
        <w:rPr>
          <w:spacing w:val="1"/>
        </w:rPr>
        <w:t> </w:t>
      </w:r>
      <w:r>
        <w:rPr/>
        <w:t>clause</w:t>
      </w:r>
      <w:r>
        <w:rPr>
          <w:spacing w:val="1"/>
        </w:rPr>
        <w:t> </w:t>
      </w:r>
      <w:r>
        <w:rPr/>
        <w:t>49’,</w:t>
      </w:r>
      <w:r>
        <w:rPr>
          <w:spacing w:val="1"/>
        </w:rPr>
        <w:t> </w:t>
      </w:r>
      <w:r>
        <w:rPr>
          <w:i/>
        </w:rPr>
        <w:t>Express</w:t>
      </w:r>
      <w:r>
        <w:rPr>
          <w:i/>
          <w:spacing w:val="1"/>
        </w:rPr>
        <w:t> </w:t>
      </w:r>
      <w:r>
        <w:rPr>
          <w:i/>
        </w:rPr>
        <w:t>Computer</w:t>
      </w:r>
      <w:r>
        <w:rPr/>
        <w:t>,</w:t>
      </w:r>
      <w:r>
        <w:rPr>
          <w:spacing w:val="1"/>
        </w:rPr>
        <w:t> </w:t>
      </w:r>
      <w:r>
        <w:rPr/>
        <w:t>27</w:t>
      </w:r>
      <w:r>
        <w:rPr>
          <w:spacing w:val="1"/>
        </w:rPr>
        <w:t> </w:t>
      </w:r>
      <w:r>
        <w:rPr/>
        <w:t>February,</w:t>
      </w:r>
      <w:r>
        <w:rPr>
          <w:spacing w:val="1"/>
        </w:rPr>
        <w:t> </w:t>
      </w:r>
      <w:r>
        <w:rPr/>
        <w:t>pp.1–3</w:t>
      </w:r>
      <w:r>
        <w:rPr>
          <w:spacing w:val="1"/>
        </w:rPr>
        <w:t> </w:t>
      </w:r>
      <w:r>
        <w:rPr/>
        <w:t>[online]</w:t>
      </w:r>
      <w:r>
        <w:rPr>
          <w:spacing w:val="1"/>
        </w:rPr>
        <w:t> </w:t>
      </w:r>
      <w:hyperlink r:id="rId39">
        <w:r>
          <w:rPr/>
          <w:t>http://www.expresscomputeronline.com</w:t>
        </w:r>
      </w:hyperlink>
      <w:r>
        <w:rPr>
          <w:spacing w:val="-1"/>
        </w:rPr>
        <w:t> </w:t>
      </w:r>
      <w:r>
        <w:rPr/>
        <w:t>(accessed</w:t>
      </w:r>
      <w:r>
        <w:rPr>
          <w:spacing w:val="2"/>
        </w:rPr>
        <w:t> </w:t>
      </w:r>
      <w:r>
        <w:rPr/>
        <w:t>28</w:t>
      </w:r>
      <w:r>
        <w:rPr>
          <w:spacing w:val="-1"/>
        </w:rPr>
        <w:t> </w:t>
      </w:r>
      <w:r>
        <w:rPr/>
        <w:t>January 2012).</w:t>
      </w:r>
    </w:p>
    <w:p>
      <w:pPr>
        <w:pStyle w:val="BodyText"/>
        <w:spacing w:before="201"/>
        <w:ind w:left="1542" w:right="830" w:hanging="720"/>
      </w:pPr>
      <w:r>
        <w:rPr/>
        <w:t>Patel, S. A., Balic, A., &amp; Bwakira, L. (2002). Measuring transparency and disclosure at firm-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in emerging markets.</w:t>
      </w:r>
      <w:r>
        <w:rPr>
          <w:spacing w:val="-1"/>
        </w:rPr>
        <w:t> </w:t>
      </w:r>
      <w:r>
        <w:rPr/>
        <w:t>Emerging Markets Review, 3(4),</w:t>
      </w:r>
      <w:r>
        <w:rPr>
          <w:spacing w:val="-1"/>
        </w:rPr>
        <w:t> </w:t>
      </w:r>
      <w:r>
        <w:rPr/>
        <w:t>325-337.</w:t>
      </w:r>
    </w:p>
    <w:p>
      <w:pPr>
        <w:pStyle w:val="BodyText"/>
        <w:spacing w:before="199"/>
        <w:ind w:left="1542" w:right="829" w:hanging="720"/>
      </w:pPr>
      <w:r>
        <w:rPr/>
        <w:t>Patelli,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Prencipe,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voluntary</w:t>
      </w:r>
      <w:r>
        <w:rPr>
          <w:spacing w:val="1"/>
        </w:rPr>
        <w:t> </w:t>
      </w:r>
      <w:r>
        <w:rPr/>
        <w:t>disclosure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</w:t>
      </w:r>
      <w:r>
        <w:rPr>
          <w:spacing w:val="-3"/>
        </w:rPr>
        <w:t> </w:t>
      </w:r>
      <w:r>
        <w:rPr/>
        <w:t>directors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presence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dominant</w:t>
      </w:r>
      <w:r>
        <w:rPr>
          <w:spacing w:val="-2"/>
        </w:rPr>
        <w:t> </w:t>
      </w:r>
      <w:r>
        <w:rPr/>
        <w:t>shareholder,</w:t>
      </w:r>
      <w:r>
        <w:rPr>
          <w:spacing w:val="-3"/>
        </w:rPr>
        <w:t> </w:t>
      </w:r>
      <w:r>
        <w:rPr>
          <w:i/>
        </w:rPr>
        <w:t>European</w:t>
      </w:r>
      <w:r>
        <w:rPr>
          <w:i/>
          <w:spacing w:val="-1"/>
        </w:rPr>
        <w:t> </w:t>
      </w:r>
      <w:r>
        <w:rPr>
          <w:i/>
        </w:rPr>
        <w:t>Accounting</w:t>
      </w:r>
      <w:r>
        <w:rPr>
          <w:i/>
          <w:spacing w:val="-57"/>
        </w:rPr>
        <w:t> </w:t>
      </w:r>
      <w:r>
        <w:rPr>
          <w:i/>
        </w:rPr>
        <w:t>Review</w:t>
      </w:r>
      <w:r>
        <w:rPr/>
        <w:t>,</w:t>
      </w:r>
      <w:r>
        <w:rPr>
          <w:spacing w:val="-1"/>
        </w:rPr>
        <w:t> </w:t>
      </w:r>
      <w:r>
        <w:rPr/>
        <w:t>Vol. 16, No. 1, pp.5–33.</w:t>
      </w:r>
    </w:p>
    <w:p>
      <w:pPr>
        <w:pStyle w:val="BodyText"/>
        <w:spacing w:before="200"/>
        <w:ind w:left="1542" w:right="830" w:hanging="720"/>
      </w:pPr>
      <w:r>
        <w:rPr/>
        <w:t>Pearce, J. A., &amp; Zahra, S. A. (1991). The relative power of CEOs and boards of directors:</w:t>
      </w:r>
      <w:r>
        <w:rPr>
          <w:spacing w:val="1"/>
        </w:rPr>
        <w:t> </w:t>
      </w:r>
      <w:r>
        <w:rPr/>
        <w:t>associations with corporate performance. </w:t>
      </w:r>
      <w:r>
        <w:rPr>
          <w:i/>
        </w:rPr>
        <w:t>Strategic Management Journal, 12</w:t>
      </w:r>
      <w:r>
        <w:rPr/>
        <w:t>(2), 135–</w:t>
      </w:r>
      <w:r>
        <w:rPr>
          <w:spacing w:val="1"/>
        </w:rPr>
        <w:t> </w:t>
      </w:r>
      <w:r>
        <w:rPr/>
        <w:t>153.</w:t>
      </w:r>
    </w:p>
    <w:p>
      <w:pPr>
        <w:pStyle w:val="BodyText"/>
        <w:spacing w:before="202"/>
        <w:jc w:val="left"/>
      </w:pPr>
      <w:r>
        <w:rPr/>
        <w:t>Peters</w:t>
      </w:r>
      <w:r>
        <w:rPr>
          <w:spacing w:val="-2"/>
        </w:rPr>
        <w:t> </w:t>
      </w:r>
      <w:r>
        <w:rPr/>
        <w:t>B.G.</w:t>
      </w:r>
      <w:r>
        <w:rPr>
          <w:spacing w:val="-1"/>
        </w:rPr>
        <w:t> </w:t>
      </w:r>
      <w:r>
        <w:rPr/>
        <w:t>(2000).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future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governing.</w:t>
      </w:r>
      <w:r>
        <w:rPr>
          <w:spacing w:val="-2"/>
        </w:rPr>
        <w:t> </w:t>
      </w:r>
      <w:r>
        <w:rPr/>
        <w:t>University</w:t>
      </w:r>
      <w:r>
        <w:rPr>
          <w:spacing w:val="-1"/>
        </w:rPr>
        <w:t> </w:t>
      </w:r>
      <w:r>
        <w:rPr/>
        <w:t>Press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Kansas,</w:t>
      </w:r>
      <w:r>
        <w:rPr>
          <w:spacing w:val="-1"/>
        </w:rPr>
        <w:t> </w:t>
      </w:r>
      <w:r>
        <w:rPr/>
        <w:t>Lawrence.</w:t>
      </w:r>
    </w:p>
    <w:p>
      <w:pPr>
        <w:pStyle w:val="BodyText"/>
        <w:spacing w:before="199"/>
        <w:ind w:left="1542" w:right="828" w:hanging="720"/>
      </w:pPr>
      <w:hyperlink r:id="rId40">
        <w:r>
          <w:rPr/>
          <w:t>Peters,</w:t>
        </w:r>
        <w:r>
          <w:rPr>
            <w:spacing w:val="1"/>
          </w:rPr>
          <w:t> </w:t>
        </w:r>
        <w:r>
          <w:rPr/>
          <w:t>S.</w:t>
        </w:r>
      </w:hyperlink>
      <w:r>
        <w:rPr/>
        <w:t>, </w:t>
      </w:r>
      <w:hyperlink r:id="rId41">
        <w:r>
          <w:rPr/>
          <w:t>Miller,</w:t>
        </w:r>
        <w:r>
          <w:rPr>
            <w:spacing w:val="1"/>
          </w:rPr>
          <w:t> </w:t>
        </w:r>
        <w:r>
          <w:rPr/>
          <w:t>M. </w:t>
        </w:r>
      </w:hyperlink>
      <w:r>
        <w:rPr/>
        <w:t>and </w:t>
      </w:r>
      <w:hyperlink r:id="rId42">
        <w:r>
          <w:rPr/>
          <w:t>Kusyk,</w:t>
        </w:r>
        <w:r>
          <w:rPr>
            <w:spacing w:val="1"/>
          </w:rPr>
          <w:t> </w:t>
        </w:r>
        <w:r>
          <w:rPr/>
          <w:t>S. </w:t>
        </w:r>
      </w:hyperlink>
      <w:r>
        <w:rPr/>
        <w:t>(2001).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markets?", </w:t>
      </w:r>
      <w:hyperlink r:id="rId43">
        <w:r>
          <w:rPr>
            <w:i/>
          </w:rPr>
          <w:t>Corporate</w:t>
        </w:r>
        <w:r>
          <w:rPr>
            <w:i/>
            <w:spacing w:val="1"/>
          </w:rPr>
          <w:t> </w:t>
        </w:r>
        <w:r>
          <w:rPr>
            <w:i/>
          </w:rPr>
          <w:t>Governance</w:t>
        </w:r>
      </w:hyperlink>
      <w:r>
        <w:rPr/>
        <w:t>,</w:t>
      </w:r>
      <w:r>
        <w:rPr>
          <w:spacing w:val="1"/>
        </w:rPr>
        <w:t> </w:t>
      </w:r>
      <w:r>
        <w:rPr/>
        <w:t>11(4),429-445.</w:t>
      </w:r>
    </w:p>
    <w:p>
      <w:pPr>
        <w:pStyle w:val="BodyText"/>
        <w:spacing w:before="200"/>
        <w:ind w:left="1542" w:right="837" w:hanging="720"/>
      </w:pPr>
      <w:r>
        <w:rPr/>
        <w:t>Phillips, J., Pincus, M., &amp; Rego, S. (2003). Earnings management: New evidence based on</w:t>
      </w:r>
      <w:r>
        <w:rPr>
          <w:spacing w:val="1"/>
        </w:rPr>
        <w:t> </w:t>
      </w:r>
      <w:r>
        <w:rPr/>
        <w:t>deferred</w:t>
      </w:r>
      <w:r>
        <w:rPr>
          <w:spacing w:val="-1"/>
        </w:rPr>
        <w:t> </w:t>
      </w:r>
      <w:r>
        <w:rPr/>
        <w:t>tax</w:t>
      </w:r>
      <w:r>
        <w:rPr>
          <w:spacing w:val="1"/>
        </w:rPr>
        <w:t> </w:t>
      </w:r>
      <w:r>
        <w:rPr/>
        <w:t>expense.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Accounting</w:t>
      </w:r>
      <w:r>
        <w:rPr>
          <w:i/>
          <w:spacing w:val="-1"/>
        </w:rPr>
        <w:t> </w:t>
      </w:r>
      <w:r>
        <w:rPr>
          <w:i/>
        </w:rPr>
        <w:t>Review,</w:t>
      </w:r>
      <w:r>
        <w:rPr>
          <w:i/>
          <w:spacing w:val="1"/>
        </w:rPr>
        <w:t> </w:t>
      </w:r>
      <w:r>
        <w:rPr>
          <w:i/>
        </w:rPr>
        <w:t>78</w:t>
      </w:r>
      <w:r>
        <w:rPr/>
        <w:t>(2), 491-521.</w:t>
      </w:r>
    </w:p>
    <w:p>
      <w:pPr>
        <w:pStyle w:val="BodyText"/>
        <w:spacing w:before="199"/>
        <w:ind w:left="1542" w:right="831" w:hanging="720"/>
      </w:pPr>
      <w:r>
        <w:rPr/>
        <w:t>Phillips, J.D. (2003). Corporate tax-planning effectiveness: the role of compensation-based</w:t>
      </w:r>
      <w:r>
        <w:rPr>
          <w:spacing w:val="1"/>
        </w:rPr>
        <w:t> </w:t>
      </w:r>
      <w:r>
        <w:rPr/>
        <w:t>incentives. </w:t>
      </w:r>
      <w:r>
        <w:rPr>
          <w:i/>
        </w:rPr>
        <w:t>Account. Rev</w:t>
      </w:r>
      <w:r>
        <w:rPr/>
        <w:t>.</w:t>
      </w:r>
      <w:r>
        <w:rPr>
          <w:spacing w:val="2"/>
        </w:rPr>
        <w:t> </w:t>
      </w:r>
      <w:r>
        <w:rPr/>
        <w:t>78(3):847-874</w:t>
      </w:r>
    </w:p>
    <w:p>
      <w:pPr>
        <w:pStyle w:val="BodyText"/>
        <w:spacing w:before="202"/>
        <w:ind w:left="1542" w:right="835" w:hanging="660"/>
      </w:pPr>
      <w:r>
        <w:rPr/>
        <w:t>Pincus M., &amp; Rego S. (2003). Earnings management: New evidence based on deferred tax</w:t>
      </w:r>
      <w:r>
        <w:rPr>
          <w:spacing w:val="1"/>
        </w:rPr>
        <w:t> </w:t>
      </w:r>
      <w:r>
        <w:rPr/>
        <w:t>expense.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Accounting Review</w:t>
      </w:r>
      <w:r>
        <w:rPr>
          <w:spacing w:val="-1"/>
        </w:rPr>
        <w:t> </w:t>
      </w:r>
      <w:r>
        <w:rPr/>
        <w:t>78 (2): 491-521.</w:t>
      </w:r>
    </w:p>
    <w:p>
      <w:pPr>
        <w:pStyle w:val="BodyText"/>
        <w:spacing w:before="199"/>
        <w:jc w:val="left"/>
      </w:pPr>
      <w:r>
        <w:rPr/>
        <w:t>Plesko,</w:t>
      </w:r>
      <w:r>
        <w:rPr>
          <w:spacing w:val="56"/>
        </w:rPr>
        <w:t> </w:t>
      </w:r>
      <w:r>
        <w:rPr/>
        <w:t>G.</w:t>
      </w:r>
      <w:r>
        <w:rPr>
          <w:spacing w:val="55"/>
        </w:rPr>
        <w:t> </w:t>
      </w:r>
      <w:r>
        <w:rPr/>
        <w:t>A.</w:t>
      </w:r>
      <w:r>
        <w:rPr>
          <w:spacing w:val="55"/>
        </w:rPr>
        <w:t> </w:t>
      </w:r>
      <w:r>
        <w:rPr/>
        <w:t>(2004).</w:t>
      </w:r>
      <w:r>
        <w:rPr>
          <w:spacing w:val="54"/>
        </w:rPr>
        <w:t> </w:t>
      </w:r>
      <w:r>
        <w:rPr/>
        <w:t>Corporate</w:t>
      </w:r>
      <w:r>
        <w:rPr>
          <w:spacing w:val="55"/>
        </w:rPr>
        <w:t> </w:t>
      </w:r>
      <w:r>
        <w:rPr/>
        <w:t>tax</w:t>
      </w:r>
      <w:r>
        <w:rPr>
          <w:spacing w:val="55"/>
        </w:rPr>
        <w:t> </w:t>
      </w:r>
      <w:r>
        <w:rPr/>
        <w:t>avoidance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the</w:t>
      </w:r>
      <w:r>
        <w:rPr>
          <w:spacing w:val="55"/>
        </w:rPr>
        <w:t> </w:t>
      </w:r>
      <w:r>
        <w:rPr/>
        <w:t>properties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corporate</w:t>
      </w:r>
      <w:r>
        <w:rPr>
          <w:spacing w:val="55"/>
        </w:rPr>
        <w:t> </w:t>
      </w:r>
      <w:r>
        <w:rPr/>
        <w:t>earnings.</w:t>
      </w:r>
    </w:p>
    <w:p>
      <w:pPr>
        <w:spacing w:before="0"/>
        <w:ind w:left="1542" w:right="0" w:firstLine="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1-20.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29" w:hanging="720"/>
        <w:jc w:val="both"/>
        <w:rPr>
          <w:sz w:val="24"/>
        </w:rPr>
      </w:pPr>
      <w:r>
        <w:rPr>
          <w:sz w:val="24"/>
        </w:rPr>
        <w:t>Porcano, T. (1986). Corporate tax rates: Progressive, proportional, or regressive. </w:t>
      </w:r>
      <w:r>
        <w:rPr>
          <w:i/>
          <w:sz w:val="24"/>
        </w:rPr>
        <w:t>The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Taxation Association</w:t>
      </w:r>
      <w:r>
        <w:rPr>
          <w:sz w:val="24"/>
        </w:rPr>
        <w:t>, </w:t>
      </w:r>
      <w:r>
        <w:rPr>
          <w:i/>
          <w:sz w:val="24"/>
        </w:rPr>
        <w:t>7</w:t>
      </w:r>
      <w:r>
        <w:rPr>
          <w:sz w:val="24"/>
        </w:rPr>
        <w:t>(2), 17-31.</w:t>
      </w:r>
    </w:p>
    <w:p>
      <w:pPr>
        <w:pStyle w:val="BodyText"/>
        <w:spacing w:before="202"/>
        <w:ind w:left="1542" w:right="832" w:hanging="720"/>
      </w:pPr>
      <w:r>
        <w:rPr/>
        <w:t>Powers, K.., Robinson, J &amp; Stomberg, B. (2016). How do CEO incentives affect corporate tax</w:t>
      </w:r>
      <w:r>
        <w:rPr>
          <w:spacing w:val="-57"/>
        </w:rPr>
        <w:t> </w:t>
      </w:r>
      <w:r>
        <w:rPr/>
        <w:t>planning and financial reporting of income taxes?. Review of Accounting Studies. 21.</w:t>
      </w:r>
      <w:r>
        <w:rPr>
          <w:spacing w:val="1"/>
        </w:rPr>
        <w:t> </w:t>
      </w:r>
      <w:r>
        <w:rPr/>
        <w:t>10.1007/s11142-016-9350-6.</w:t>
      </w:r>
    </w:p>
    <w:p>
      <w:pPr>
        <w:pStyle w:val="BodyText"/>
        <w:spacing w:before="200"/>
        <w:ind w:left="1542" w:right="833" w:hanging="720"/>
      </w:pPr>
      <w:r>
        <w:rPr/>
        <w:t>Prendergast, C. &amp; Stole, L. (1996). A., Non-Monetary Exchange within Firms and Industry</w:t>
      </w:r>
      <w:r>
        <w:rPr>
          <w:spacing w:val="1"/>
        </w:rPr>
        <w:t> </w:t>
      </w:r>
      <w:r>
        <w:rPr/>
        <w:t>(September  </w:t>
      </w:r>
      <w:r>
        <w:rPr>
          <w:spacing w:val="1"/>
        </w:rPr>
        <w:t> </w:t>
      </w:r>
      <w:r>
        <w:rPr/>
        <w:t>1996).  </w:t>
      </w:r>
      <w:r>
        <w:rPr>
          <w:spacing w:val="1"/>
        </w:rPr>
        <w:t> </w:t>
      </w:r>
      <w:r>
        <w:rPr/>
        <w:t>NBER   </w:t>
      </w:r>
      <w:r>
        <w:rPr>
          <w:spacing w:val="1"/>
        </w:rPr>
        <w:t> </w:t>
      </w:r>
      <w:r>
        <w:rPr/>
        <w:t>Working   </w:t>
      </w:r>
      <w:r>
        <w:rPr>
          <w:spacing w:val="1"/>
        </w:rPr>
        <w:t> </w:t>
      </w:r>
      <w:r>
        <w:rPr/>
        <w:t>Paper   </w:t>
      </w:r>
      <w:r>
        <w:rPr>
          <w:spacing w:val="1"/>
        </w:rPr>
        <w:t> </w:t>
      </w:r>
      <w:r>
        <w:rPr/>
        <w:t>No.   </w:t>
      </w:r>
      <w:r>
        <w:rPr>
          <w:spacing w:val="1"/>
        </w:rPr>
        <w:t> </w:t>
      </w:r>
      <w:r>
        <w:rPr/>
        <w:t>w5765.   </w:t>
      </w:r>
      <w:r>
        <w:rPr>
          <w:spacing w:val="1"/>
        </w:rPr>
        <w:t> </w:t>
      </w:r>
      <w:r>
        <w:rPr/>
        <w:t>Available   </w:t>
      </w:r>
      <w:r>
        <w:rPr>
          <w:spacing w:val="1"/>
        </w:rPr>
        <w:t> </w:t>
      </w:r>
      <w:r>
        <w:rPr/>
        <w:t>at</w:t>
      </w:r>
      <w:r>
        <w:rPr>
          <w:spacing w:val="-57"/>
        </w:rPr>
        <w:t> </w:t>
      </w:r>
      <w:r>
        <w:rPr/>
        <w:t>SSRN:</w:t>
      </w:r>
      <w:r>
        <w:rPr>
          <w:spacing w:val="-1"/>
        </w:rPr>
        <w:t> </w:t>
      </w:r>
      <w:hyperlink r:id="rId44">
        <w:r>
          <w:rPr/>
          <w:t>https://ssrn.com/abstract=8627</w:t>
        </w:r>
      </w:hyperlink>
    </w:p>
    <w:p>
      <w:pPr>
        <w:spacing w:before="199"/>
        <w:ind w:left="82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83072">
            <wp:simplePos x="0" y="0"/>
            <wp:positionH relativeFrom="page">
              <wp:posOffset>1261605</wp:posOffset>
            </wp:positionH>
            <wp:positionV relativeFrom="paragraph">
              <wp:posOffset>121197</wp:posOffset>
            </wp:positionV>
            <wp:extent cx="5133225" cy="5265293"/>
            <wp:effectExtent l="0" t="0" r="0" b="0"/>
            <wp:wrapNone/>
            <wp:docPr id="29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Ramsey,</w:t>
      </w:r>
      <w:r>
        <w:rPr>
          <w:spacing w:val="-1"/>
          <w:sz w:val="24"/>
        </w:rPr>
        <w:t> </w:t>
      </w:r>
      <w:r>
        <w:rPr>
          <w:sz w:val="24"/>
        </w:rPr>
        <w:t>F.</w:t>
      </w:r>
      <w:r>
        <w:rPr>
          <w:spacing w:val="-1"/>
          <w:sz w:val="24"/>
        </w:rPr>
        <w:t> </w:t>
      </w:r>
      <w:r>
        <w:rPr>
          <w:sz w:val="24"/>
        </w:rPr>
        <w:t>(1927). A</w:t>
      </w:r>
      <w:r>
        <w:rPr>
          <w:spacing w:val="-1"/>
          <w:sz w:val="24"/>
        </w:rPr>
        <w:t> </w:t>
      </w:r>
      <w:r>
        <w:rPr>
          <w:sz w:val="24"/>
        </w:rPr>
        <w:t>contribution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taxation.</w:t>
      </w:r>
      <w:r>
        <w:rPr>
          <w:spacing w:val="1"/>
          <w:sz w:val="24"/>
        </w:rPr>
        <w:t> </w:t>
      </w:r>
      <w:r>
        <w:rPr>
          <w:i/>
          <w:sz w:val="24"/>
        </w:rPr>
        <w:t>Economic Journal,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47-61.</w:t>
      </w:r>
    </w:p>
    <w:p>
      <w:pPr>
        <w:pStyle w:val="BodyText"/>
        <w:spacing w:before="201"/>
        <w:ind w:left="1542" w:right="835" w:hanging="720"/>
      </w:pPr>
      <w:r>
        <w:rPr/>
        <w:t>Rathod, R. and Dalvadi, Y. (2008). Non-statutory disclosure in India: an analysis of selected</w:t>
      </w:r>
      <w:r>
        <w:rPr>
          <w:spacing w:val="1"/>
        </w:rPr>
        <w:t> </w:t>
      </w:r>
      <w:r>
        <w:rPr/>
        <w:t>companies. </w:t>
      </w:r>
      <w:r>
        <w:rPr>
          <w:i/>
        </w:rPr>
        <w:t>JIMS 8(2)</w:t>
      </w:r>
      <w:r>
        <w:rPr>
          <w:i/>
          <w:spacing w:val="-1"/>
        </w:rPr>
        <w:t> </w:t>
      </w:r>
      <w:r>
        <w:rPr/>
        <w:t>13–17. 104</w:t>
      </w:r>
    </w:p>
    <w:p>
      <w:pPr>
        <w:pStyle w:val="BodyText"/>
        <w:spacing w:before="200"/>
        <w:ind w:left="1542" w:right="832" w:hanging="720"/>
      </w:pPr>
      <w:r>
        <w:rPr/>
        <w:t>Rawiwan, K. (2013). Tax aggressiveness, corporate governance and firm value: An empirical</w:t>
      </w:r>
      <w:r>
        <w:rPr>
          <w:spacing w:val="1"/>
        </w:rPr>
        <w:t> </w:t>
      </w:r>
      <w:r>
        <w:rPr/>
        <w:t>evidence from Thailand. Unpublished thesis submitted to the faculty of commerce and</w:t>
      </w:r>
      <w:r>
        <w:rPr>
          <w:spacing w:val="-57"/>
        </w:rPr>
        <w:t> </w:t>
      </w:r>
      <w:r>
        <w:rPr/>
        <w:t>accountancy,</w:t>
      </w:r>
      <w:r>
        <w:rPr>
          <w:spacing w:val="-1"/>
        </w:rPr>
        <w:t> </w:t>
      </w:r>
      <w:r>
        <w:rPr/>
        <w:t>Thommast</w:t>
      </w:r>
      <w:r>
        <w:rPr>
          <w:spacing w:val="2"/>
        </w:rPr>
        <w:t> </w:t>
      </w:r>
      <w:r>
        <w:rPr/>
        <w:t>University.</w:t>
      </w:r>
    </w:p>
    <w:p>
      <w:pPr>
        <w:pStyle w:val="BodyText"/>
        <w:spacing w:before="200"/>
        <w:ind w:left="1542" w:right="833" w:hanging="720"/>
      </w:pPr>
      <w:r>
        <w:rPr/>
        <w:t>Raz,</w:t>
      </w:r>
      <w:r>
        <w:rPr>
          <w:spacing w:val="-4"/>
        </w:rPr>
        <w:t> </w:t>
      </w:r>
      <w:r>
        <w:rPr/>
        <w:t>N.,</w:t>
      </w:r>
      <w:r>
        <w:rPr>
          <w:spacing w:val="-4"/>
        </w:rPr>
        <w:t> </w:t>
      </w:r>
      <w:r>
        <w:rPr/>
        <w:t>Rodrigue,</w:t>
      </w:r>
      <w:r>
        <w:rPr>
          <w:spacing w:val="-3"/>
        </w:rPr>
        <w:t> </w:t>
      </w:r>
      <w:r>
        <w:rPr/>
        <w:t>K.</w:t>
      </w:r>
      <w:r>
        <w:rPr>
          <w:spacing w:val="-1"/>
        </w:rPr>
        <w:t> </w:t>
      </w:r>
      <w:r>
        <w:rPr/>
        <w:t>&amp; Head,</w:t>
      </w:r>
      <w:r>
        <w:rPr>
          <w:spacing w:val="-1"/>
        </w:rPr>
        <w:t> </w:t>
      </w:r>
      <w:r>
        <w:rPr/>
        <w:t>D.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Kennedy, K.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Acker,</w:t>
      </w:r>
      <w:r>
        <w:rPr>
          <w:spacing w:val="-2"/>
        </w:rPr>
        <w:t> </w:t>
      </w:r>
      <w:r>
        <w:rPr/>
        <w:t>J.</w:t>
      </w:r>
      <w:r>
        <w:rPr>
          <w:spacing w:val="-4"/>
        </w:rPr>
        <w:t> </w:t>
      </w:r>
      <w:r>
        <w:rPr/>
        <w:t>(2004).</w:t>
      </w:r>
      <w:r>
        <w:rPr>
          <w:spacing w:val="-4"/>
        </w:rPr>
        <w:t> </w:t>
      </w:r>
      <w:r>
        <w:rPr/>
        <w:t>Differential</w:t>
      </w:r>
      <w:r>
        <w:rPr>
          <w:spacing w:val="-3"/>
        </w:rPr>
        <w:t> </w:t>
      </w:r>
      <w:r>
        <w:rPr/>
        <w:t>aging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medial</w:t>
      </w:r>
      <w:r>
        <w:rPr>
          <w:spacing w:val="-1"/>
        </w:rPr>
        <w:t> </w:t>
      </w:r>
      <w:r>
        <w:rPr/>
        <w:t>temporal lobe: A</w:t>
      </w:r>
      <w:r>
        <w:rPr>
          <w:spacing w:val="2"/>
        </w:rPr>
        <w:t> </w:t>
      </w:r>
      <w:r>
        <w:rPr/>
        <w:t>study</w:t>
      </w:r>
      <w:r>
        <w:rPr>
          <w:spacing w:val="-1"/>
        </w:rPr>
        <w:t> </w:t>
      </w:r>
      <w:r>
        <w:rPr/>
        <w:t>of a</w:t>
      </w:r>
      <w:r>
        <w:rPr>
          <w:spacing w:val="-2"/>
        </w:rPr>
        <w:t> </w:t>
      </w:r>
      <w:r>
        <w:rPr/>
        <w:t>five-year</w:t>
      </w:r>
      <w:r>
        <w:rPr>
          <w:spacing w:val="1"/>
        </w:rPr>
        <w:t> </w:t>
      </w:r>
      <w:r>
        <w:rPr/>
        <w:t>change.</w:t>
      </w:r>
      <w:r>
        <w:rPr>
          <w:spacing w:val="-1"/>
        </w:rPr>
        <w:t> </w:t>
      </w:r>
      <w:r>
        <w:rPr/>
        <w:t>Neurology. 62(2) 433-459.</w:t>
      </w:r>
    </w:p>
    <w:p>
      <w:pPr>
        <w:spacing w:before="201"/>
        <w:ind w:left="1542" w:right="828" w:hanging="720"/>
        <w:jc w:val="both"/>
        <w:rPr>
          <w:sz w:val="24"/>
        </w:rPr>
      </w:pPr>
      <w:r>
        <w:rPr>
          <w:sz w:val="24"/>
        </w:rPr>
        <w:t>Rego, S. (2003). Tax-avoidance activities of U.S. multinational corporations. </w:t>
      </w:r>
      <w:r>
        <w:rPr>
          <w:i/>
          <w:sz w:val="24"/>
        </w:rPr>
        <w:t>Contemporary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</w:t>
      </w:r>
      <w:r>
        <w:rPr>
          <w:sz w:val="24"/>
        </w:rPr>
        <w:t>(4).</w:t>
      </w:r>
    </w:p>
    <w:p>
      <w:pPr>
        <w:spacing w:before="199"/>
        <w:ind w:left="1542" w:right="829" w:hanging="720"/>
        <w:jc w:val="both"/>
        <w:rPr>
          <w:sz w:val="24"/>
        </w:rPr>
      </w:pPr>
      <w:r>
        <w:rPr>
          <w:sz w:val="24"/>
        </w:rPr>
        <w:t>Rego,</w:t>
      </w:r>
      <w:r>
        <w:rPr>
          <w:spacing w:val="-13"/>
          <w:sz w:val="24"/>
        </w:rPr>
        <w:t> </w:t>
      </w:r>
      <w:r>
        <w:rPr>
          <w:sz w:val="24"/>
        </w:rPr>
        <w:t>S.,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Wilson,</w:t>
      </w:r>
      <w:r>
        <w:rPr>
          <w:spacing w:val="-13"/>
          <w:sz w:val="24"/>
        </w:rPr>
        <w:t> </w:t>
      </w:r>
      <w:r>
        <w:rPr>
          <w:sz w:val="24"/>
        </w:rPr>
        <w:t>R.</w:t>
      </w:r>
      <w:r>
        <w:rPr>
          <w:spacing w:val="-10"/>
          <w:sz w:val="24"/>
        </w:rPr>
        <w:t> </w:t>
      </w:r>
      <w:r>
        <w:rPr>
          <w:sz w:val="24"/>
        </w:rPr>
        <w:t>(2012).</w:t>
      </w:r>
      <w:r>
        <w:rPr>
          <w:spacing w:val="-14"/>
          <w:sz w:val="24"/>
        </w:rPr>
        <w:t> </w:t>
      </w:r>
      <w:r>
        <w:rPr>
          <w:sz w:val="24"/>
        </w:rPr>
        <w:t>Equity</w:t>
      </w:r>
      <w:r>
        <w:rPr>
          <w:spacing w:val="-12"/>
          <w:sz w:val="24"/>
        </w:rPr>
        <w:t> </w:t>
      </w:r>
      <w:r>
        <w:rPr>
          <w:sz w:val="24"/>
        </w:rPr>
        <w:t>risk</w:t>
      </w:r>
      <w:r>
        <w:rPr>
          <w:spacing w:val="-13"/>
          <w:sz w:val="24"/>
        </w:rPr>
        <w:t> </w:t>
      </w:r>
      <w:r>
        <w:rPr>
          <w:sz w:val="24"/>
        </w:rPr>
        <w:t>incentives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corporate</w:t>
      </w:r>
      <w:r>
        <w:rPr>
          <w:spacing w:val="-11"/>
          <w:sz w:val="24"/>
        </w:rPr>
        <w:t> </w:t>
      </w:r>
      <w:r>
        <w:rPr>
          <w:sz w:val="24"/>
        </w:rPr>
        <w:t>tax</w:t>
      </w:r>
      <w:r>
        <w:rPr>
          <w:spacing w:val="-12"/>
          <w:sz w:val="24"/>
        </w:rPr>
        <w:t> </w:t>
      </w:r>
      <w:r>
        <w:rPr>
          <w:sz w:val="24"/>
        </w:rPr>
        <w:t>aggressiveness.</w:t>
      </w:r>
      <w:r>
        <w:rPr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Accounting Research,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50</w:t>
      </w:r>
      <w:r>
        <w:rPr>
          <w:sz w:val="24"/>
        </w:rPr>
        <w:t>(1), 775-810.</w:t>
      </w:r>
    </w:p>
    <w:p>
      <w:pPr>
        <w:spacing w:before="200"/>
        <w:ind w:left="1542" w:right="831" w:hanging="720"/>
        <w:jc w:val="both"/>
        <w:rPr>
          <w:sz w:val="24"/>
        </w:rPr>
      </w:pPr>
      <w:r>
        <w:rPr>
          <w:sz w:val="24"/>
        </w:rPr>
        <w:t>Rezaee, Z. (2007). </w:t>
      </w:r>
      <w:r>
        <w:rPr>
          <w:i/>
          <w:sz w:val="24"/>
        </w:rPr>
        <w:t>Corporate governance post- Sarbanas Oxley: regulatioms, requirements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integrated processes</w:t>
      </w:r>
      <w:r>
        <w:rPr>
          <w:sz w:val="24"/>
        </w:rPr>
        <w:t>: John Willey &amp; Sons, Inc.</w:t>
      </w:r>
    </w:p>
    <w:p>
      <w:pPr>
        <w:pStyle w:val="BodyText"/>
        <w:spacing w:before="202"/>
        <w:ind w:left="1542" w:right="831" w:hanging="720"/>
      </w:pPr>
      <w:r>
        <w:rPr/>
        <w:t>Ribeiro,</w:t>
      </w:r>
      <w:r>
        <w:rPr>
          <w:spacing w:val="-9"/>
        </w:rPr>
        <w:t> </w:t>
      </w:r>
      <w:r>
        <w:rPr/>
        <w:t>A.,</w:t>
      </w:r>
      <w:r>
        <w:rPr>
          <w:spacing w:val="-9"/>
        </w:rPr>
        <w:t> </w:t>
      </w:r>
      <w:r>
        <w:rPr/>
        <w:t>Corqueira,</w:t>
      </w:r>
      <w:r>
        <w:rPr>
          <w:spacing w:val="-8"/>
        </w:rPr>
        <w:t> </w:t>
      </w:r>
      <w:r>
        <w:rPr/>
        <w:t>A.,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Brandao,</w:t>
      </w:r>
      <w:r>
        <w:rPr>
          <w:spacing w:val="-8"/>
        </w:rPr>
        <w:t> </w:t>
      </w:r>
      <w:r>
        <w:rPr/>
        <w:t>E.</w:t>
      </w:r>
      <w:r>
        <w:rPr>
          <w:spacing w:val="-7"/>
        </w:rPr>
        <w:t> </w:t>
      </w:r>
      <w:r>
        <w:rPr/>
        <w:t>(2015).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determinants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effective</w:t>
      </w:r>
      <w:r>
        <w:rPr>
          <w:spacing w:val="-10"/>
        </w:rPr>
        <w:t> </w:t>
      </w:r>
      <w:r>
        <w:rPr/>
        <w:t>tax</w:t>
      </w:r>
      <w:r>
        <w:rPr>
          <w:spacing w:val="-9"/>
        </w:rPr>
        <w:t> </w:t>
      </w:r>
      <w:r>
        <w:rPr/>
        <w:t>rates:</w:t>
      </w:r>
      <w:r>
        <w:rPr>
          <w:spacing w:val="-5"/>
        </w:rPr>
        <w:t> </w:t>
      </w:r>
      <w:r>
        <w:rPr/>
        <w:t>firms</w:t>
      </w:r>
      <w:r>
        <w:rPr>
          <w:spacing w:val="-58"/>
        </w:rPr>
        <w:t> </w:t>
      </w:r>
      <w:r>
        <w:rPr/>
        <w:t>characteristics and corporate governance. FEP Working Papers, School of Economics</w:t>
      </w:r>
      <w:r>
        <w:rPr>
          <w:spacing w:val="1"/>
        </w:rPr>
        <w:t> </w:t>
      </w:r>
      <w:r>
        <w:rPr/>
        <w:t>Management,</w:t>
      </w:r>
      <w:r>
        <w:rPr>
          <w:spacing w:val="-1"/>
        </w:rPr>
        <w:t> </w:t>
      </w:r>
      <w:r>
        <w:rPr/>
        <w:t>University of Porto.</w:t>
      </w:r>
    </w:p>
    <w:p>
      <w:pPr>
        <w:pStyle w:val="BodyText"/>
        <w:spacing w:before="199"/>
        <w:ind w:left="1542" w:right="829" w:hanging="720"/>
      </w:pPr>
      <w:r>
        <w:rPr/>
        <w:t>Richardson, G., Taylor, G., &amp; Lanis, R. (2013). The impact of board of director oversight</w:t>
      </w:r>
      <w:r>
        <w:rPr>
          <w:spacing w:val="1"/>
        </w:rPr>
        <w:t> </w:t>
      </w:r>
      <w:r>
        <w:rPr/>
        <w:t>characteristics on corporate tax aggressiveness: An empirical Analysis.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Accounting</w:t>
      </w:r>
      <w:r>
        <w:rPr>
          <w:i/>
          <w:spacing w:val="-1"/>
        </w:rPr>
        <w:t> </w:t>
      </w:r>
      <w:r>
        <w:rPr>
          <w:i/>
        </w:rPr>
        <w:t>and Public</w:t>
      </w:r>
      <w:r>
        <w:rPr>
          <w:i/>
          <w:spacing w:val="-1"/>
        </w:rPr>
        <w:t> </w:t>
      </w:r>
      <w:r>
        <w:rPr>
          <w:i/>
        </w:rPr>
        <w:t>Policy, 32</w:t>
      </w:r>
      <w:r>
        <w:rPr/>
        <w:t>(1), 68-88.</w:t>
      </w:r>
    </w:p>
    <w:p>
      <w:pPr>
        <w:pStyle w:val="BodyText"/>
        <w:spacing w:before="199"/>
        <w:ind w:left="1542" w:right="830" w:hanging="720"/>
      </w:pPr>
      <w:r>
        <w:rPr/>
        <w:t>Richardson,</w:t>
      </w:r>
      <w:r>
        <w:rPr>
          <w:spacing w:val="-9"/>
        </w:rPr>
        <w:t> </w:t>
      </w:r>
      <w:r>
        <w:rPr/>
        <w:t>G.,</w:t>
      </w:r>
      <w:r>
        <w:rPr>
          <w:spacing w:val="-8"/>
        </w:rPr>
        <w:t> </w:t>
      </w:r>
      <w:r>
        <w:rPr/>
        <w:t>Taylor,</w:t>
      </w:r>
      <w:r>
        <w:rPr>
          <w:spacing w:val="-6"/>
        </w:rPr>
        <w:t> </w:t>
      </w:r>
      <w:r>
        <w:rPr/>
        <w:t>G.,</w:t>
      </w:r>
      <w:r>
        <w:rPr>
          <w:spacing w:val="-9"/>
        </w:rPr>
        <w:t> </w:t>
      </w:r>
      <w:r>
        <w:rPr/>
        <w:t>&amp;</w:t>
      </w:r>
      <w:r>
        <w:rPr>
          <w:spacing w:val="-7"/>
        </w:rPr>
        <w:t> </w:t>
      </w:r>
      <w:r>
        <w:rPr/>
        <w:t>Lanis,</w:t>
      </w:r>
      <w:r>
        <w:rPr>
          <w:spacing w:val="-7"/>
        </w:rPr>
        <w:t> </w:t>
      </w:r>
      <w:r>
        <w:rPr/>
        <w:t>R.</w:t>
      </w:r>
      <w:r>
        <w:rPr>
          <w:spacing w:val="-9"/>
        </w:rPr>
        <w:t> </w:t>
      </w:r>
      <w:r>
        <w:rPr/>
        <w:t>(2016).</w:t>
      </w:r>
      <w:r>
        <w:rPr>
          <w:spacing w:val="-4"/>
        </w:rPr>
        <w:t> </w:t>
      </w:r>
      <w:r>
        <w:rPr/>
        <w:t>Women</w:t>
      </w:r>
      <w:r>
        <w:rPr>
          <w:spacing w:val="-9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board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directors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corporate</w:t>
      </w:r>
      <w:r>
        <w:rPr>
          <w:spacing w:val="-58"/>
        </w:rPr>
        <w:t> </w:t>
      </w:r>
      <w:r>
        <w:rPr/>
        <w:t>tax aggressiveness in Australia: An empirical analysis. </w:t>
      </w:r>
      <w:r>
        <w:rPr>
          <w:i/>
        </w:rPr>
        <w:t>Accounting Research Journal</w:t>
      </w:r>
      <w:r>
        <w:rPr/>
        <w:t>,</w:t>
      </w:r>
      <w:r>
        <w:rPr>
          <w:spacing w:val="1"/>
        </w:rPr>
        <w:t> </w:t>
      </w:r>
      <w:r>
        <w:rPr/>
        <w:t>29(3),</w:t>
      </w:r>
      <w:r>
        <w:rPr>
          <w:spacing w:val="-1"/>
        </w:rPr>
        <w:t> </w:t>
      </w:r>
      <w:r>
        <w:rPr/>
        <w:t>313–331.</w:t>
      </w:r>
    </w:p>
    <w:p>
      <w:pPr>
        <w:pStyle w:val="BodyText"/>
        <w:spacing w:before="200"/>
        <w:ind w:left="1542" w:right="833" w:hanging="720"/>
      </w:pPr>
      <w:r>
        <w:rPr/>
        <w:t>Richardson, G.,&amp; Lanis, R. (2007). Determinants of the variability in corporate effective tax</w:t>
      </w:r>
      <w:r>
        <w:rPr>
          <w:spacing w:val="1"/>
        </w:rPr>
        <w:t> </w:t>
      </w:r>
      <w:r>
        <w:rPr/>
        <w:t>rates and tax reforms: evidence from Australia. </w:t>
      </w:r>
      <w:r>
        <w:rPr>
          <w:i/>
        </w:rPr>
        <w:t>Journal of Accounting and Public</w:t>
      </w:r>
      <w:r>
        <w:rPr>
          <w:i/>
          <w:spacing w:val="1"/>
        </w:rPr>
        <w:t> </w:t>
      </w:r>
      <w:r>
        <w:rPr>
          <w:i/>
        </w:rPr>
        <w:t>Policy</w:t>
      </w:r>
      <w:r>
        <w:rPr/>
        <w:t>,</w:t>
      </w:r>
      <w:r>
        <w:rPr>
          <w:spacing w:val="-1"/>
        </w:rPr>
        <w:t> </w:t>
      </w:r>
      <w:r>
        <w:rPr/>
        <w:t>26(30 689 – 704.</w:t>
      </w:r>
    </w:p>
    <w:p>
      <w:pPr>
        <w:pStyle w:val="BodyText"/>
        <w:spacing w:before="202"/>
        <w:ind w:left="1542" w:right="828" w:hanging="720"/>
      </w:pPr>
      <w:r>
        <w:rPr/>
        <w:t>Robinson, J. R., &amp; Sikes, S. A. (2006). Is aggressive financial and tax reporting related to the</w:t>
      </w:r>
      <w:r>
        <w:rPr>
          <w:spacing w:val="1"/>
        </w:rPr>
        <w:t> </w:t>
      </w:r>
      <w:r>
        <w:rPr/>
        <w:t>orientation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tax</w:t>
      </w:r>
      <w:r>
        <w:rPr>
          <w:spacing w:val="-6"/>
        </w:rPr>
        <w:t> </w:t>
      </w:r>
      <w:r>
        <w:rPr/>
        <w:t>function?</w:t>
      </w:r>
      <w:r>
        <w:rPr>
          <w:spacing w:val="-5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tax</w:t>
      </w:r>
      <w:r>
        <w:rPr>
          <w:spacing w:val="-7"/>
        </w:rPr>
        <w:t> </w:t>
      </w:r>
      <w:r>
        <w:rPr/>
        <w:t>association</w:t>
      </w:r>
      <w:r>
        <w:rPr>
          <w:spacing w:val="-6"/>
        </w:rPr>
        <w:t> </w:t>
      </w:r>
      <w:r>
        <w:rPr/>
        <w:t>proceedings</w:t>
      </w:r>
      <w:r>
        <w:rPr>
          <w:spacing w:val="-5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99th</w:t>
      </w:r>
      <w:r>
        <w:rPr>
          <w:spacing w:val="-1"/>
        </w:rPr>
        <w:t> </w:t>
      </w:r>
      <w:r>
        <w:rPr/>
        <w:t>annual conference</w:t>
      </w:r>
      <w:r>
        <w:rPr>
          <w:spacing w:val="-1"/>
        </w:rPr>
        <w:t> </w:t>
      </w:r>
      <w:r>
        <w:rPr/>
        <w:t>on Taxation, Boston,</w:t>
      </w:r>
      <w:r>
        <w:rPr>
          <w:spacing w:val="-1"/>
        </w:rPr>
        <w:t> </w:t>
      </w:r>
      <w:r>
        <w:rPr/>
        <w:t>Massachusetts.</w:t>
      </w:r>
    </w:p>
    <w:p>
      <w:pPr>
        <w:spacing w:after="0"/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26" w:hanging="720"/>
        <w:jc w:val="both"/>
        <w:rPr>
          <w:sz w:val="24"/>
        </w:rPr>
      </w:pPr>
      <w:r>
        <w:rPr>
          <w:sz w:val="24"/>
        </w:rPr>
        <w:t>Robinson, L., &amp; Schmidt, A. (2013). Firm and Investor Responses to Uncertain Tax Benefit</w:t>
      </w:r>
      <w:r>
        <w:rPr>
          <w:spacing w:val="1"/>
          <w:sz w:val="24"/>
        </w:rPr>
        <w:t> </w:t>
      </w:r>
      <w:r>
        <w:rPr>
          <w:sz w:val="24"/>
        </w:rPr>
        <w:t>Disclosure Requirements</w:t>
      </w:r>
      <w:r>
        <w:rPr>
          <w:i/>
          <w:sz w:val="24"/>
        </w:rPr>
        <w:t>. The Journal of the American Taxation Association 35 </w:t>
      </w:r>
      <w:r>
        <w:rPr>
          <w:sz w:val="24"/>
        </w:rPr>
        <w:t>(2):</w:t>
      </w:r>
      <w:r>
        <w:rPr>
          <w:spacing w:val="1"/>
          <w:sz w:val="24"/>
        </w:rPr>
        <w:t> </w:t>
      </w:r>
      <w:r>
        <w:rPr>
          <w:sz w:val="24"/>
        </w:rPr>
        <w:t>85–120.</w:t>
      </w:r>
    </w:p>
    <w:p>
      <w:pPr>
        <w:pStyle w:val="BodyText"/>
        <w:spacing w:before="202"/>
        <w:ind w:left="1542" w:right="833" w:hanging="720"/>
      </w:pPr>
      <w:r>
        <w:rPr/>
        <w:t>Robinson, R., Sikes, S., and Weaver, C. (2010). Performance measurement of corporate tax</w:t>
      </w:r>
      <w:r>
        <w:rPr>
          <w:spacing w:val="1"/>
        </w:rPr>
        <w:t> </w:t>
      </w:r>
      <w:r>
        <w:rPr/>
        <w:t>departments.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Accounting Review</w:t>
      </w:r>
      <w:r>
        <w:rPr>
          <w:i/>
          <w:spacing w:val="1"/>
        </w:rPr>
        <w:t> </w:t>
      </w:r>
      <w:r>
        <w:rPr/>
        <w:t>85(2-</w:t>
      </w:r>
      <w:r>
        <w:rPr>
          <w:spacing w:val="-1"/>
        </w:rPr>
        <w:t> </w:t>
      </w:r>
      <w:r>
        <w:rPr/>
        <w:t>1035-1064.</w:t>
      </w:r>
    </w:p>
    <w:p>
      <w:pPr>
        <w:pStyle w:val="BodyText"/>
        <w:spacing w:before="200"/>
        <w:ind w:left="1542" w:right="835" w:hanging="720"/>
      </w:pPr>
      <w:r>
        <w:rPr/>
        <w:t>Ronen, J. &amp; Yaari, V. (2008). Earnings Management: Emerging Insights in Theory, Practice,</w:t>
      </w:r>
      <w:r>
        <w:rPr>
          <w:spacing w:val="1"/>
        </w:rPr>
        <w:t> </w:t>
      </w:r>
      <w:r>
        <w:rPr/>
        <w:t>and Research 12(3) 12-32</w:t>
      </w:r>
    </w:p>
    <w:p>
      <w:pPr>
        <w:spacing w:before="199"/>
        <w:ind w:left="1542" w:right="836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83584">
            <wp:simplePos x="0" y="0"/>
            <wp:positionH relativeFrom="page">
              <wp:posOffset>1261605</wp:posOffset>
            </wp:positionH>
            <wp:positionV relativeFrom="paragraph">
              <wp:posOffset>296457</wp:posOffset>
            </wp:positionV>
            <wp:extent cx="5133225" cy="5265293"/>
            <wp:effectExtent l="0" t="0" r="0" b="0"/>
            <wp:wrapNone/>
            <wp:docPr id="29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Rose, J. M. (2007). Corporate directors and social responsibility: Ethics versus shareholder</w:t>
      </w:r>
      <w:r>
        <w:rPr>
          <w:spacing w:val="1"/>
          <w:sz w:val="24"/>
        </w:rPr>
        <w:t> </w:t>
      </w:r>
      <w:r>
        <w:rPr>
          <w:sz w:val="24"/>
        </w:rPr>
        <w:t>value.</w:t>
      </w:r>
      <w:r>
        <w:rPr>
          <w:spacing w:val="-2"/>
          <w:sz w:val="24"/>
        </w:rPr>
        <w:t> </w:t>
      </w:r>
      <w:r>
        <w:rPr>
          <w:i/>
          <w:sz w:val="24"/>
        </w:rPr>
        <w:t>Journal of Business Ethics,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73</w:t>
      </w:r>
      <w:r>
        <w:rPr>
          <w:sz w:val="24"/>
        </w:rPr>
        <w:t>(3), 319-331.</w:t>
      </w:r>
    </w:p>
    <w:p>
      <w:pPr>
        <w:pStyle w:val="BodyText"/>
        <w:spacing w:before="201"/>
        <w:ind w:left="1542" w:right="829" w:hanging="720"/>
      </w:pPr>
      <w:r>
        <w:rPr/>
        <w:t>Rouf, A. (2011). Corporate characteristics, governance attributes and the extent of voluntary</w:t>
      </w:r>
      <w:r>
        <w:rPr>
          <w:spacing w:val="1"/>
        </w:rPr>
        <w:t> </w:t>
      </w:r>
      <w:r>
        <w:rPr/>
        <w:t>disclosure</w:t>
      </w:r>
      <w:r>
        <w:rPr>
          <w:spacing w:val="-10"/>
        </w:rPr>
        <w:t> </w:t>
      </w:r>
      <w:r>
        <w:rPr/>
        <w:t>in</w:t>
      </w:r>
      <w:r>
        <w:rPr>
          <w:spacing w:val="-8"/>
        </w:rPr>
        <w:t> </w:t>
      </w:r>
      <w:r>
        <w:rPr/>
        <w:t>Bangladesh,</w:t>
      </w:r>
      <w:r>
        <w:rPr>
          <w:spacing w:val="-9"/>
        </w:rPr>
        <w:t> </w:t>
      </w:r>
      <w:r>
        <w:rPr>
          <w:i/>
        </w:rPr>
        <w:t>African</w:t>
      </w:r>
      <w:r>
        <w:rPr>
          <w:i/>
          <w:spacing w:val="-9"/>
        </w:rPr>
        <w:t> </w:t>
      </w:r>
      <w:r>
        <w:rPr>
          <w:i/>
        </w:rPr>
        <w:t>Journal</w:t>
      </w:r>
      <w:r>
        <w:rPr>
          <w:i/>
          <w:spacing w:val="-8"/>
        </w:rPr>
        <w:t> </w:t>
      </w:r>
      <w:r>
        <w:rPr>
          <w:i/>
        </w:rPr>
        <w:t>of</w:t>
      </w:r>
      <w:r>
        <w:rPr>
          <w:i/>
          <w:spacing w:val="-11"/>
        </w:rPr>
        <w:t> </w:t>
      </w:r>
      <w:r>
        <w:rPr>
          <w:i/>
        </w:rPr>
        <w:t>Business</w:t>
      </w:r>
      <w:r>
        <w:rPr>
          <w:i/>
          <w:spacing w:val="-8"/>
        </w:rPr>
        <w:t> </w:t>
      </w:r>
      <w:r>
        <w:rPr>
          <w:i/>
        </w:rPr>
        <w:t>Management</w:t>
      </w:r>
      <w:r>
        <w:rPr/>
        <w:t>,</w:t>
      </w:r>
      <w:r>
        <w:rPr>
          <w:spacing w:val="-9"/>
        </w:rPr>
        <w:t> </w:t>
      </w:r>
      <w:r>
        <w:rPr/>
        <w:t>September,</w:t>
      </w:r>
      <w:r>
        <w:rPr>
          <w:spacing w:val="-9"/>
        </w:rPr>
        <w:t> </w:t>
      </w:r>
      <w:r>
        <w:rPr/>
        <w:t>Vol.</w:t>
      </w:r>
      <w:r>
        <w:rPr>
          <w:spacing w:val="-8"/>
        </w:rPr>
        <w:t> </w:t>
      </w:r>
      <w:r>
        <w:rPr/>
        <w:t>5,</w:t>
      </w:r>
      <w:r>
        <w:rPr>
          <w:spacing w:val="-58"/>
        </w:rPr>
        <w:t> </w:t>
      </w:r>
      <w:r>
        <w:rPr/>
        <w:t>No. 19, pp.7836–7845.</w:t>
      </w:r>
    </w:p>
    <w:p>
      <w:pPr>
        <w:pStyle w:val="BodyText"/>
        <w:spacing w:before="200"/>
        <w:ind w:left="1542" w:right="829" w:hanging="720"/>
      </w:pPr>
      <w:r>
        <w:rPr/>
        <w:t>Rouf, M.A. and Harun, A.A. (2011), Ownership structure and voluntary disclosure in annual</w:t>
      </w:r>
      <w:r>
        <w:rPr>
          <w:spacing w:val="1"/>
        </w:rPr>
        <w:t> </w:t>
      </w:r>
      <w:r>
        <w:rPr/>
        <w:t>reports of Bangladesh”, Pakistan Journal of Commerce and Social Science, Vol. 5 No.</w:t>
      </w:r>
      <w:r>
        <w:rPr>
          <w:spacing w:val="1"/>
        </w:rPr>
        <w:t> </w:t>
      </w:r>
      <w:r>
        <w:rPr/>
        <w:t>1, pp.</w:t>
      </w:r>
      <w:r>
        <w:rPr>
          <w:spacing w:val="-1"/>
        </w:rPr>
        <w:t> </w:t>
      </w:r>
      <w:r>
        <w:rPr/>
        <w:t>129-139.</w:t>
      </w:r>
    </w:p>
    <w:p>
      <w:pPr>
        <w:pStyle w:val="BodyText"/>
        <w:spacing w:before="200"/>
        <w:ind w:left="1542" w:right="835" w:hanging="720"/>
      </w:pPr>
      <w:r>
        <w:rPr/>
        <w:t>Ruin, J. E. (2001). Essentials of corporate management. Kuala Lumpur: Malaysian Institute of</w:t>
      </w:r>
      <w:r>
        <w:rPr>
          <w:spacing w:val="-57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Governance.</w:t>
      </w:r>
    </w:p>
    <w:p>
      <w:pPr>
        <w:pStyle w:val="BodyText"/>
        <w:spacing w:before="201"/>
        <w:ind w:left="1542" w:right="834" w:hanging="720"/>
      </w:pPr>
      <w:r>
        <w:rPr/>
        <w:t>Salaudeen,</w:t>
      </w:r>
      <w:r>
        <w:rPr>
          <w:spacing w:val="-10"/>
        </w:rPr>
        <w:t> </w:t>
      </w:r>
      <w:r>
        <w:rPr/>
        <w:t>M.</w:t>
      </w:r>
      <w:r>
        <w:rPr>
          <w:spacing w:val="-9"/>
        </w:rPr>
        <w:t> </w:t>
      </w:r>
      <w:r>
        <w:rPr/>
        <w:t>&amp;</w:t>
      </w:r>
      <w:r>
        <w:rPr>
          <w:spacing w:val="-9"/>
        </w:rPr>
        <w:t> </w:t>
      </w:r>
      <w:r>
        <w:rPr/>
        <w:t>Ejeh,</w:t>
      </w:r>
      <w:r>
        <w:rPr>
          <w:spacing w:val="-9"/>
        </w:rPr>
        <w:t> </w:t>
      </w:r>
      <w:r>
        <w:rPr/>
        <w:t>B.</w:t>
      </w:r>
      <w:r>
        <w:rPr>
          <w:spacing w:val="-10"/>
        </w:rPr>
        <w:t> </w:t>
      </w:r>
      <w:r>
        <w:rPr/>
        <w:t>(2018).</w:t>
      </w:r>
      <w:r>
        <w:rPr>
          <w:spacing w:val="-9"/>
        </w:rPr>
        <w:t> </w:t>
      </w:r>
      <w:r>
        <w:rPr/>
        <w:t>Equity</w:t>
      </w:r>
      <w:r>
        <w:rPr>
          <w:spacing w:val="-10"/>
        </w:rPr>
        <w:t> </w:t>
      </w:r>
      <w:r>
        <w:rPr/>
        <w:t>ownership</w:t>
      </w:r>
      <w:r>
        <w:rPr>
          <w:spacing w:val="-9"/>
        </w:rPr>
        <w:t> </w:t>
      </w:r>
      <w:r>
        <w:rPr/>
        <w:t>structure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/>
        <w:t>corporate</w:t>
      </w:r>
      <w:r>
        <w:rPr>
          <w:spacing w:val="-8"/>
        </w:rPr>
        <w:t> </w:t>
      </w:r>
      <w:r>
        <w:rPr/>
        <w:t>tax</w:t>
      </w:r>
      <w:r>
        <w:rPr>
          <w:spacing w:val="-9"/>
        </w:rPr>
        <w:t> </w:t>
      </w:r>
      <w:r>
        <w:rPr/>
        <w:t>aggressiveness: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Nigerian context.</w:t>
      </w:r>
      <w:r>
        <w:rPr>
          <w:spacing w:val="-1"/>
        </w:rPr>
        <w:t> </w:t>
      </w:r>
      <w:r>
        <w:rPr/>
        <w:t>Research Journal</w:t>
      </w:r>
      <w:r>
        <w:rPr>
          <w:spacing w:val="-1"/>
        </w:rPr>
        <w:t> </w:t>
      </w:r>
      <w:r>
        <w:rPr/>
        <w:t>of Business</w:t>
      </w:r>
      <w:r>
        <w:rPr>
          <w:spacing w:val="-1"/>
        </w:rPr>
        <w:t> </w:t>
      </w:r>
      <w:r>
        <w:rPr/>
        <w:t>and Management,</w:t>
      </w:r>
      <w:r>
        <w:rPr>
          <w:spacing w:val="-1"/>
        </w:rPr>
        <w:t> </w:t>
      </w:r>
      <w:r>
        <w:rPr/>
        <w:t>5 (1) 90-99</w:t>
      </w:r>
    </w:p>
    <w:p>
      <w:pPr>
        <w:pStyle w:val="BodyText"/>
        <w:spacing w:before="199"/>
        <w:ind w:left="1542" w:right="830" w:hanging="720"/>
      </w:pPr>
      <w:r>
        <w:rPr/>
        <w:t>Salawu,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Adelabu,</w:t>
      </w:r>
      <w:r>
        <w:rPr>
          <w:spacing w:val="1"/>
        </w:rPr>
        <w:t> </w:t>
      </w:r>
      <w:r>
        <w:rPr/>
        <w:t>Z.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NonFinancial</w:t>
      </w:r>
      <w:r>
        <w:rPr>
          <w:spacing w:val="-1"/>
        </w:rPr>
        <w:t> </w:t>
      </w:r>
      <w:r>
        <w:rPr/>
        <w:t>Quoted Companies in</w:t>
      </w:r>
      <w:r>
        <w:rPr>
          <w:spacing w:val="-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AFRREV, 11 (3), 12-27</w:t>
      </w:r>
    </w:p>
    <w:p>
      <w:pPr>
        <w:spacing w:before="200"/>
        <w:ind w:left="1542" w:right="827" w:hanging="720"/>
        <w:jc w:val="both"/>
        <w:rPr>
          <w:sz w:val="24"/>
        </w:rPr>
      </w:pPr>
      <w:r>
        <w:rPr>
          <w:sz w:val="24"/>
        </w:rPr>
        <w:t>Salawu, R. O., &amp; Adediji, Z. A. (2017). Corporate governance and tax planning among non-</w:t>
      </w:r>
      <w:r>
        <w:rPr>
          <w:spacing w:val="1"/>
          <w:sz w:val="24"/>
        </w:rPr>
        <w:t> </w:t>
      </w:r>
      <w:r>
        <w:rPr>
          <w:sz w:val="24"/>
        </w:rPr>
        <w:t>financial quoted companies in Nigeria. </w:t>
      </w:r>
      <w:r>
        <w:rPr>
          <w:i/>
          <w:sz w:val="24"/>
        </w:rPr>
        <w:t>African Research Review: An 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Multi-disciplinary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11</w:t>
      </w:r>
      <w:r>
        <w:rPr>
          <w:sz w:val="24"/>
        </w:rPr>
        <w:t>(3), 42-59.</w:t>
      </w:r>
    </w:p>
    <w:p>
      <w:pPr>
        <w:spacing w:before="202"/>
        <w:ind w:left="1542" w:right="832" w:hanging="720"/>
        <w:jc w:val="both"/>
        <w:rPr>
          <w:sz w:val="24"/>
        </w:rPr>
      </w:pPr>
      <w:r>
        <w:rPr>
          <w:sz w:val="24"/>
        </w:rPr>
        <w:t>Salihu,</w:t>
      </w:r>
      <w:r>
        <w:rPr>
          <w:spacing w:val="-7"/>
          <w:sz w:val="24"/>
        </w:rPr>
        <w:t> </w:t>
      </w:r>
      <w:r>
        <w:rPr>
          <w:sz w:val="24"/>
        </w:rPr>
        <w:t>I.</w:t>
      </w:r>
      <w:r>
        <w:rPr>
          <w:spacing w:val="-7"/>
          <w:sz w:val="24"/>
        </w:rPr>
        <w:t> </w:t>
      </w:r>
      <w:r>
        <w:rPr>
          <w:sz w:val="24"/>
        </w:rPr>
        <w:t>A.,</w:t>
      </w:r>
      <w:r>
        <w:rPr>
          <w:spacing w:val="-8"/>
          <w:sz w:val="24"/>
        </w:rPr>
        <w:t> </w:t>
      </w:r>
      <w:r>
        <w:rPr>
          <w:sz w:val="24"/>
        </w:rPr>
        <w:t>Annuar,</w:t>
      </w:r>
      <w:r>
        <w:rPr>
          <w:spacing w:val="-7"/>
          <w:sz w:val="24"/>
        </w:rPr>
        <w:t> </w:t>
      </w:r>
      <w:r>
        <w:rPr>
          <w:sz w:val="24"/>
        </w:rPr>
        <w:t>H.</w:t>
      </w:r>
      <w:r>
        <w:rPr>
          <w:spacing w:val="-8"/>
          <w:sz w:val="24"/>
        </w:rPr>
        <w:t> </w:t>
      </w:r>
      <w:r>
        <w:rPr>
          <w:sz w:val="24"/>
        </w:rPr>
        <w:t>A.,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Obid,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N.</w:t>
      </w:r>
      <w:r>
        <w:rPr>
          <w:spacing w:val="-10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(2015).</w:t>
      </w:r>
      <w:r>
        <w:rPr>
          <w:spacing w:val="-8"/>
          <w:sz w:val="24"/>
        </w:rPr>
        <w:t> </w:t>
      </w:r>
      <w:r>
        <w:rPr>
          <w:sz w:val="24"/>
        </w:rPr>
        <w:t>Foreign</w:t>
      </w:r>
      <w:r>
        <w:rPr>
          <w:spacing w:val="-7"/>
          <w:sz w:val="24"/>
        </w:rPr>
        <w:t> </w:t>
      </w:r>
      <w:r>
        <w:rPr>
          <w:sz w:val="24"/>
        </w:rPr>
        <w:t>investors’</w:t>
      </w:r>
      <w:r>
        <w:rPr>
          <w:spacing w:val="-8"/>
          <w:sz w:val="24"/>
        </w:rPr>
        <w:t> </w:t>
      </w:r>
      <w:r>
        <w:rPr>
          <w:sz w:val="24"/>
        </w:rPr>
        <w:t>interests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corporate</w:t>
      </w:r>
      <w:r>
        <w:rPr>
          <w:spacing w:val="-58"/>
          <w:sz w:val="24"/>
        </w:rPr>
        <w:t> </w:t>
      </w:r>
      <w:r>
        <w:rPr>
          <w:sz w:val="24"/>
        </w:rPr>
        <w:t>tax</w:t>
      </w:r>
      <w:r>
        <w:rPr>
          <w:spacing w:val="1"/>
          <w:sz w:val="24"/>
        </w:rPr>
        <w:t> </w:t>
      </w:r>
      <w:r>
        <w:rPr>
          <w:sz w:val="24"/>
        </w:rPr>
        <w:t>avoidance: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emerging</w:t>
      </w:r>
      <w:r>
        <w:rPr>
          <w:spacing w:val="1"/>
          <w:sz w:val="24"/>
        </w:rPr>
        <w:t> </w:t>
      </w:r>
      <w:r>
        <w:rPr>
          <w:sz w:val="24"/>
        </w:rPr>
        <w:t>economy.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 Economics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(1), 138–147.</w:t>
      </w:r>
    </w:p>
    <w:p>
      <w:pPr>
        <w:pStyle w:val="BodyText"/>
        <w:spacing w:before="199"/>
        <w:ind w:left="1542" w:right="830" w:hanging="720"/>
      </w:pPr>
      <w:r>
        <w:rPr/>
        <w:t>Salihu,</w:t>
      </w:r>
      <w:r>
        <w:rPr>
          <w:spacing w:val="-6"/>
        </w:rPr>
        <w:t> </w:t>
      </w:r>
      <w:r>
        <w:rPr/>
        <w:t>I.</w:t>
      </w:r>
      <w:r>
        <w:rPr>
          <w:spacing w:val="-6"/>
        </w:rPr>
        <w:t> </w:t>
      </w:r>
      <w:r>
        <w:rPr/>
        <w:t>A.,</w:t>
      </w:r>
      <w:r>
        <w:rPr>
          <w:spacing w:val="-7"/>
        </w:rPr>
        <w:t> </w:t>
      </w:r>
      <w:r>
        <w:rPr/>
        <w:t>Annuar,</w:t>
      </w:r>
      <w:r>
        <w:rPr>
          <w:spacing w:val="-7"/>
        </w:rPr>
        <w:t> </w:t>
      </w:r>
      <w:r>
        <w:rPr/>
        <w:t>H.</w:t>
      </w:r>
      <w:r>
        <w:rPr>
          <w:spacing w:val="-7"/>
        </w:rPr>
        <w:t> </w:t>
      </w:r>
      <w:r>
        <w:rPr/>
        <w:t>A.,</w:t>
      </w:r>
      <w:r>
        <w:rPr>
          <w:spacing w:val="-7"/>
        </w:rPr>
        <w:t> </w:t>
      </w:r>
      <w:r>
        <w:rPr/>
        <w:t>&amp;</w:t>
      </w:r>
      <w:r>
        <w:rPr>
          <w:spacing w:val="-6"/>
        </w:rPr>
        <w:t> </w:t>
      </w:r>
      <w:r>
        <w:rPr/>
        <w:t>Sheikh</w:t>
      </w:r>
      <w:r>
        <w:rPr>
          <w:spacing w:val="-6"/>
        </w:rPr>
        <w:t> </w:t>
      </w:r>
      <w:r>
        <w:rPr/>
        <w:t>Obid,</w:t>
      </w:r>
      <w:r>
        <w:rPr>
          <w:spacing w:val="-9"/>
        </w:rPr>
        <w:t> </w:t>
      </w:r>
      <w:r>
        <w:rPr/>
        <w:t>S.</w:t>
      </w:r>
      <w:r>
        <w:rPr>
          <w:spacing w:val="-9"/>
        </w:rPr>
        <w:t> </w:t>
      </w:r>
      <w:r>
        <w:rPr/>
        <w:t>N.,</w:t>
      </w:r>
      <w:r>
        <w:rPr>
          <w:spacing w:val="-7"/>
        </w:rPr>
        <w:t> </w:t>
      </w:r>
      <w:r>
        <w:rPr/>
        <w:t>(2013).</w:t>
      </w:r>
      <w:r>
        <w:rPr>
          <w:spacing w:val="-7"/>
        </w:rPr>
        <w:t> </w:t>
      </w:r>
      <w:r>
        <w:rPr/>
        <w:t>Measuring</w:t>
      </w:r>
      <w:r>
        <w:rPr>
          <w:spacing w:val="-6"/>
        </w:rPr>
        <w:t> </w:t>
      </w:r>
      <w:r>
        <w:rPr/>
        <w:t>corporate</w:t>
      </w:r>
      <w:r>
        <w:rPr>
          <w:spacing w:val="-7"/>
        </w:rPr>
        <w:t> </w:t>
      </w:r>
      <w:r>
        <w:rPr/>
        <w:t>tax</w:t>
      </w:r>
      <w:r>
        <w:rPr>
          <w:spacing w:val="-6"/>
        </w:rPr>
        <w:t> </w:t>
      </w:r>
      <w:r>
        <w:rPr/>
        <w:t>avoidance:</w:t>
      </w:r>
      <w:r>
        <w:rPr>
          <w:spacing w:val="-58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10th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Academy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Conference,</w:t>
      </w:r>
      <w:r>
        <w:rPr>
          <w:spacing w:val="-1"/>
        </w:rPr>
        <w:t> </w:t>
      </w:r>
      <w:r>
        <w:rPr/>
        <w:t>Penang, Malaysia, 23rd</w:t>
      </w:r>
      <w:r>
        <w:rPr>
          <w:spacing w:val="1"/>
        </w:rPr>
        <w:t> </w:t>
      </w:r>
      <w:r>
        <w:rPr/>
        <w:t>-25th August,</w:t>
      </w:r>
      <w:r>
        <w:rPr>
          <w:spacing w:val="2"/>
        </w:rPr>
        <w:t> </w:t>
      </w:r>
      <w:r>
        <w:rPr/>
        <w:t>2013.</w:t>
      </w:r>
    </w:p>
    <w:p>
      <w:pPr>
        <w:spacing w:before="200"/>
        <w:ind w:left="1542" w:right="831" w:hanging="720"/>
        <w:jc w:val="both"/>
        <w:rPr>
          <w:sz w:val="24"/>
        </w:rPr>
      </w:pPr>
      <w:r>
        <w:rPr>
          <w:sz w:val="24"/>
        </w:rPr>
        <w:t>Salihu,</w:t>
      </w:r>
      <w:r>
        <w:rPr>
          <w:spacing w:val="-7"/>
          <w:sz w:val="24"/>
        </w:rPr>
        <w:t> </w:t>
      </w:r>
      <w:r>
        <w:rPr>
          <w:sz w:val="24"/>
        </w:rPr>
        <w:t>I.</w:t>
      </w:r>
      <w:r>
        <w:rPr>
          <w:spacing w:val="-6"/>
          <w:sz w:val="24"/>
        </w:rPr>
        <w:t> </w:t>
      </w:r>
      <w:r>
        <w:rPr>
          <w:sz w:val="24"/>
        </w:rPr>
        <w:t>A.,</w:t>
      </w:r>
      <w:r>
        <w:rPr>
          <w:spacing w:val="-7"/>
          <w:sz w:val="24"/>
        </w:rPr>
        <w:t> </w:t>
      </w:r>
      <w:r>
        <w:rPr>
          <w:sz w:val="24"/>
        </w:rPr>
        <w:t>Obid,</w:t>
      </w:r>
      <w:r>
        <w:rPr>
          <w:spacing w:val="-6"/>
          <w:sz w:val="24"/>
        </w:rPr>
        <w:t> </w:t>
      </w:r>
      <w:r>
        <w:rPr>
          <w:sz w:val="24"/>
        </w:rPr>
        <w:t>S.</w:t>
      </w:r>
      <w:r>
        <w:rPr>
          <w:spacing w:val="-7"/>
          <w:sz w:val="24"/>
        </w:rPr>
        <w:t> </w:t>
      </w:r>
      <w:r>
        <w:rPr>
          <w:sz w:val="24"/>
        </w:rPr>
        <w:t>N.</w:t>
      </w:r>
      <w:r>
        <w:rPr>
          <w:spacing w:val="-12"/>
          <w:sz w:val="24"/>
        </w:rPr>
        <w:t> </w:t>
      </w:r>
      <w:r>
        <w:rPr>
          <w:sz w:val="24"/>
        </w:rPr>
        <w:t>S.,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Annuar,</w:t>
      </w:r>
      <w:r>
        <w:rPr>
          <w:spacing w:val="-8"/>
          <w:sz w:val="24"/>
        </w:rPr>
        <w:t> </w:t>
      </w:r>
      <w:r>
        <w:rPr>
          <w:sz w:val="24"/>
        </w:rPr>
        <w:t>H.</w:t>
      </w:r>
      <w:r>
        <w:rPr>
          <w:spacing w:val="-7"/>
          <w:sz w:val="24"/>
        </w:rPr>
        <w:t> </w:t>
      </w:r>
      <w:r>
        <w:rPr>
          <w:sz w:val="24"/>
        </w:rPr>
        <w:t>A.</w:t>
      </w:r>
      <w:r>
        <w:rPr>
          <w:spacing w:val="-7"/>
          <w:sz w:val="24"/>
        </w:rPr>
        <w:t> </w:t>
      </w:r>
      <w:r>
        <w:rPr>
          <w:sz w:val="24"/>
        </w:rPr>
        <w:t>(2014).</w:t>
      </w:r>
      <w:r>
        <w:rPr>
          <w:spacing w:val="-7"/>
          <w:sz w:val="24"/>
        </w:rPr>
        <w:t> </w:t>
      </w:r>
      <w:r>
        <w:rPr>
          <w:sz w:val="24"/>
        </w:rPr>
        <w:t>Government</w:t>
      </w:r>
      <w:r>
        <w:rPr>
          <w:spacing w:val="-7"/>
          <w:sz w:val="24"/>
        </w:rPr>
        <w:t> </w:t>
      </w:r>
      <w:r>
        <w:rPr>
          <w:sz w:val="24"/>
        </w:rPr>
        <w:t>ownership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corporate</w:t>
      </w:r>
      <w:r>
        <w:rPr>
          <w:spacing w:val="-7"/>
          <w:sz w:val="24"/>
        </w:rPr>
        <w:t> </w:t>
      </w:r>
      <w:r>
        <w:rPr>
          <w:sz w:val="24"/>
        </w:rPr>
        <w:t>tax</w:t>
      </w:r>
      <w:r>
        <w:rPr>
          <w:spacing w:val="-58"/>
          <w:sz w:val="24"/>
        </w:rPr>
        <w:t> </w:t>
      </w:r>
      <w:r>
        <w:rPr>
          <w:sz w:val="24"/>
        </w:rPr>
        <w:t>avoidance: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from Malaysia.</w:t>
      </w:r>
      <w:r>
        <w:rPr>
          <w:spacing w:val="1"/>
          <w:sz w:val="24"/>
        </w:rPr>
        <w:t> </w:t>
      </w:r>
      <w:r>
        <w:rPr>
          <w:i/>
          <w:sz w:val="24"/>
        </w:rPr>
        <w:t>Handbook on Emerging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673</w:t>
      </w:r>
      <w:r>
        <w:rPr>
          <w:sz w:val="24"/>
        </w:rPr>
        <w:t>-689.</w:t>
      </w:r>
    </w:p>
    <w:p>
      <w:pPr>
        <w:pStyle w:val="BodyText"/>
        <w:spacing w:before="199"/>
        <w:ind w:left="1542" w:right="827" w:hanging="720"/>
      </w:pPr>
      <w:r>
        <w:rPr/>
        <w:t>Salterio, S. E., Conrod, J. E. D. &amp; Schmidt, R. N. (2013). Canadian Evidence of Adherence to</w:t>
      </w:r>
      <w:r>
        <w:rPr>
          <w:spacing w:val="-57"/>
        </w:rPr>
        <w:t> </w:t>
      </w:r>
      <w:r>
        <w:rPr/>
        <w:t>“Comply or Explain” Corporate Governance Codes: An International Comparison.</w:t>
      </w:r>
      <w:r>
        <w:rPr>
          <w:spacing w:val="1"/>
        </w:rPr>
        <w:t> </w:t>
      </w:r>
      <w:r>
        <w:rPr/>
        <w:t>CAAA/ACPC,</w:t>
      </w:r>
      <w:r>
        <w:rPr>
          <w:spacing w:val="-1"/>
        </w:rPr>
        <w:t> </w:t>
      </w:r>
      <w:r>
        <w:rPr/>
        <w:t>12(1) 23-51.</w:t>
      </w:r>
    </w:p>
    <w:p>
      <w:pPr>
        <w:spacing w:before="202"/>
        <w:ind w:left="1542" w:right="830" w:hanging="720"/>
        <w:jc w:val="both"/>
        <w:rPr>
          <w:sz w:val="24"/>
        </w:rPr>
      </w:pPr>
      <w:r>
        <w:rPr>
          <w:sz w:val="24"/>
        </w:rPr>
        <w:t>Sanda, A. U, Mikailu, A. S,, &amp; Garba, T. (2005). Corporate governance mechanism and firm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Consortium,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Nairobi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AERC</w:t>
      </w:r>
      <w:r>
        <w:rPr>
          <w:spacing w:val="-57"/>
          <w:sz w:val="24"/>
        </w:rPr>
        <w:t> </w:t>
      </w:r>
      <w:r>
        <w:rPr>
          <w:sz w:val="24"/>
        </w:rPr>
        <w:t>researchpaper</w:t>
      </w:r>
      <w:r>
        <w:rPr>
          <w:spacing w:val="-1"/>
          <w:sz w:val="24"/>
        </w:rPr>
        <w:t> </w:t>
      </w:r>
      <w:r>
        <w:rPr>
          <w:sz w:val="24"/>
        </w:rPr>
        <w:t>149.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882"/>
        <w:jc w:val="left"/>
      </w:pPr>
      <w:r>
        <w:rPr/>
        <w:t>Sandmo,</w:t>
      </w:r>
      <w:r>
        <w:rPr>
          <w:spacing w:val="-7"/>
        </w:rPr>
        <w:t> </w:t>
      </w:r>
      <w:r>
        <w:rPr/>
        <w:t>A.</w:t>
      </w:r>
      <w:r>
        <w:rPr>
          <w:spacing w:val="-7"/>
        </w:rPr>
        <w:t> </w:t>
      </w:r>
      <w:r>
        <w:rPr/>
        <w:t>(2004).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Theory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Tax</w:t>
      </w:r>
      <w:r>
        <w:rPr>
          <w:spacing w:val="-6"/>
        </w:rPr>
        <w:t> </w:t>
      </w:r>
      <w:r>
        <w:rPr/>
        <w:t>Evasion: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Retrospective</w:t>
      </w:r>
      <w:r>
        <w:rPr>
          <w:spacing w:val="-7"/>
        </w:rPr>
        <w:t> </w:t>
      </w:r>
      <w:r>
        <w:rPr/>
        <w:t>View.</w:t>
      </w:r>
      <w:r>
        <w:rPr>
          <w:spacing w:val="-4"/>
        </w:rPr>
        <w:t> </w:t>
      </w:r>
      <w:r>
        <w:rPr/>
        <w:t>National</w:t>
      </w:r>
      <w:r>
        <w:rPr>
          <w:spacing w:val="-6"/>
        </w:rPr>
        <w:t> </w:t>
      </w:r>
      <w:r>
        <w:rPr/>
        <w:t>Tax</w:t>
      </w:r>
      <w:r>
        <w:rPr>
          <w:spacing w:val="-6"/>
        </w:rPr>
        <w:t> </w:t>
      </w:r>
      <w:r>
        <w:rPr/>
        <w:t>Journal.</w:t>
      </w:r>
    </w:p>
    <w:p>
      <w:pPr>
        <w:pStyle w:val="BodyText"/>
        <w:spacing w:before="1"/>
        <w:ind w:left="1542"/>
        <w:jc w:val="left"/>
      </w:pPr>
      <w:r>
        <w:rPr/>
        <w:t>58(2)</w:t>
      </w:r>
      <w:r>
        <w:rPr>
          <w:spacing w:val="-3"/>
        </w:rPr>
        <w:t> </w:t>
      </w:r>
      <w:r>
        <w:rPr/>
        <w:t>.17-25</w:t>
      </w:r>
    </w:p>
    <w:p>
      <w:pPr>
        <w:pStyle w:val="BodyText"/>
        <w:spacing w:before="201"/>
        <w:ind w:left="1542" w:right="830" w:hanging="720"/>
      </w:pPr>
      <w:r>
        <w:rPr/>
        <w:t>Sareen, V.K. and Chander, S. (2009). Firm’s attributes and corporate governance disclosure</w:t>
      </w:r>
      <w:r>
        <w:rPr>
          <w:spacing w:val="1"/>
        </w:rPr>
        <w:t> </w:t>
      </w:r>
      <w:r>
        <w:rPr/>
        <w:t>practices: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investigation,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Corporate</w:t>
      </w:r>
      <w:r>
        <w:rPr>
          <w:i/>
          <w:spacing w:val="1"/>
        </w:rPr>
        <w:t> </w:t>
      </w:r>
      <w:r>
        <w:rPr>
          <w:i/>
        </w:rPr>
        <w:t>Governance</w:t>
      </w:r>
      <w:r>
        <w:rPr/>
        <w:t>,</w:t>
      </w:r>
      <w:r>
        <w:rPr>
          <w:spacing w:val="1"/>
        </w:rPr>
        <w:t> </w:t>
      </w:r>
      <w:r>
        <w:rPr/>
        <w:t>January–June,</w:t>
      </w:r>
      <w:r>
        <w:rPr>
          <w:spacing w:val="1"/>
        </w:rPr>
        <w:t> </w:t>
      </w:r>
      <w:r>
        <w:rPr/>
        <w:t>Vol. 2, No. 1, pp.117–137.</w:t>
      </w:r>
    </w:p>
    <w:p>
      <w:pPr>
        <w:spacing w:before="200"/>
        <w:ind w:left="1542" w:right="837" w:hanging="720"/>
        <w:jc w:val="both"/>
        <w:rPr>
          <w:sz w:val="24"/>
        </w:rPr>
      </w:pPr>
      <w:r>
        <w:rPr>
          <w:sz w:val="24"/>
        </w:rPr>
        <w:t>Sarkar, J. (2009). Board independence and corporate governance in India: recent trends and</w:t>
      </w:r>
      <w:r>
        <w:rPr>
          <w:spacing w:val="1"/>
          <w:sz w:val="24"/>
        </w:rPr>
        <w:t> </w:t>
      </w:r>
      <w:r>
        <w:rPr>
          <w:sz w:val="24"/>
        </w:rPr>
        <w:t>challenges</w:t>
      </w:r>
      <w:r>
        <w:rPr>
          <w:spacing w:val="-1"/>
          <w:sz w:val="24"/>
        </w:rPr>
        <w:t> </w:t>
      </w:r>
      <w:r>
        <w:rPr>
          <w:sz w:val="24"/>
        </w:rPr>
        <w:t>ahead,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Relations</w:t>
      </w:r>
      <w:r>
        <w:rPr>
          <w:sz w:val="24"/>
        </w:rPr>
        <w:t>, 44 (4)576–592.</w:t>
      </w:r>
    </w:p>
    <w:p>
      <w:pPr>
        <w:pStyle w:val="BodyText"/>
        <w:spacing w:before="199"/>
        <w:jc w:val="left"/>
      </w:pPr>
      <w:r>
        <w:rPr/>
        <w:drawing>
          <wp:anchor distT="0" distB="0" distL="0" distR="0" allowOverlap="1" layoutInCell="1" locked="0" behindDoc="1" simplePos="0" relativeHeight="454084096">
            <wp:simplePos x="0" y="0"/>
            <wp:positionH relativeFrom="page">
              <wp:posOffset>1261605</wp:posOffset>
            </wp:positionH>
            <wp:positionV relativeFrom="paragraph">
              <wp:posOffset>296457</wp:posOffset>
            </wp:positionV>
            <wp:extent cx="5133225" cy="5265293"/>
            <wp:effectExtent l="0" t="0" r="0" b="0"/>
            <wp:wrapNone/>
            <wp:docPr id="30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Schaie, K.</w:t>
      </w:r>
      <w:r>
        <w:rPr>
          <w:spacing w:val="2"/>
        </w:rPr>
        <w:t> </w:t>
      </w:r>
      <w:r>
        <w:rPr/>
        <w:t>W.</w:t>
      </w:r>
      <w:r>
        <w:rPr>
          <w:spacing w:val="4"/>
        </w:rPr>
        <w:t> </w:t>
      </w:r>
      <w:r>
        <w:rPr/>
        <w:t>(1996).</w:t>
      </w:r>
      <w:r>
        <w:rPr>
          <w:spacing w:val="5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adulthood.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J.</w:t>
      </w:r>
      <w:r>
        <w:rPr>
          <w:spacing w:val="3"/>
        </w:rPr>
        <w:t> </w:t>
      </w:r>
      <w:r>
        <w:rPr/>
        <w:t>E.</w:t>
      </w:r>
      <w:r>
        <w:rPr>
          <w:spacing w:val="1"/>
        </w:rPr>
        <w:t> </w:t>
      </w:r>
      <w:r>
        <w:rPr/>
        <w:t>Birren,</w:t>
      </w:r>
      <w:r>
        <w:rPr>
          <w:spacing w:val="1"/>
        </w:rPr>
        <w:t> </w:t>
      </w:r>
      <w:r>
        <w:rPr/>
        <w:t>K.</w:t>
      </w:r>
      <w:r>
        <w:rPr>
          <w:spacing w:val="3"/>
        </w:rPr>
        <w:t> </w:t>
      </w:r>
      <w:r>
        <w:rPr/>
        <w:t>W.</w:t>
      </w:r>
      <w:r>
        <w:rPr>
          <w:spacing w:val="2"/>
        </w:rPr>
        <w:t> </w:t>
      </w:r>
      <w:r>
        <w:rPr/>
        <w:t>Schaie,</w:t>
      </w:r>
      <w:r>
        <w:rPr>
          <w:spacing w:val="1"/>
        </w:rPr>
        <w:t> </w:t>
      </w:r>
      <w:r>
        <w:rPr/>
        <w:t>R.</w:t>
      </w:r>
    </w:p>
    <w:p>
      <w:pPr>
        <w:spacing w:before="0"/>
        <w:ind w:left="1542" w:right="833" w:firstLine="0"/>
        <w:jc w:val="left"/>
        <w:rPr>
          <w:sz w:val="24"/>
        </w:rPr>
      </w:pPr>
      <w:r>
        <w:rPr/>
        <w:pict>
          <v:rect style="position:absolute;margin-left:121.099998pt;margin-top:.043125pt;width:417.7pt;height:13.8pt;mso-position-horizontal-relative:page;mso-position-vertical-relative:paragraph;z-index:-49231872" filled="true" fillcolor="#ffffff" stroked="false">
            <v:fill type="solid"/>
            <w10:wrap type="none"/>
          </v:rect>
        </w:pict>
      </w:r>
      <w:r>
        <w:rPr>
          <w:sz w:val="24"/>
        </w:rPr>
        <w:t>P.</w:t>
      </w:r>
      <w:r>
        <w:rPr>
          <w:spacing w:val="15"/>
          <w:sz w:val="24"/>
        </w:rPr>
        <w:t> </w:t>
      </w:r>
      <w:r>
        <w:rPr>
          <w:sz w:val="24"/>
        </w:rPr>
        <w:t>Abeles,</w:t>
      </w:r>
      <w:r>
        <w:rPr>
          <w:spacing w:val="16"/>
          <w:sz w:val="24"/>
        </w:rPr>
        <w:t> </w:t>
      </w:r>
      <w:r>
        <w:rPr>
          <w:sz w:val="24"/>
        </w:rPr>
        <w:t>M.</w:t>
      </w:r>
      <w:r>
        <w:rPr>
          <w:spacing w:val="16"/>
          <w:sz w:val="24"/>
        </w:rPr>
        <w:t> </w:t>
      </w:r>
      <w:r>
        <w:rPr>
          <w:sz w:val="24"/>
        </w:rPr>
        <w:t>Gatz,</w:t>
      </w:r>
      <w:r>
        <w:rPr>
          <w:spacing w:val="16"/>
          <w:sz w:val="24"/>
        </w:rPr>
        <w:t> </w:t>
      </w:r>
      <w:r>
        <w:rPr>
          <w:sz w:val="24"/>
        </w:rPr>
        <w:t>&amp;</w:t>
      </w:r>
      <w:r>
        <w:rPr>
          <w:spacing w:val="17"/>
          <w:sz w:val="24"/>
        </w:rPr>
        <w:t> </w:t>
      </w:r>
      <w:r>
        <w:rPr>
          <w:sz w:val="24"/>
        </w:rPr>
        <w:t>T.</w:t>
      </w:r>
      <w:r>
        <w:rPr>
          <w:spacing w:val="16"/>
          <w:sz w:val="24"/>
        </w:rPr>
        <w:t> </w:t>
      </w:r>
      <w:r>
        <w:rPr>
          <w:sz w:val="24"/>
        </w:rPr>
        <w:t>A.</w:t>
      </w:r>
      <w:r>
        <w:rPr>
          <w:spacing w:val="16"/>
          <w:sz w:val="24"/>
        </w:rPr>
        <w:t> </w:t>
      </w:r>
      <w:r>
        <w:rPr>
          <w:sz w:val="24"/>
        </w:rPr>
        <w:t>Salthouse</w:t>
      </w:r>
      <w:r>
        <w:rPr>
          <w:spacing w:val="15"/>
          <w:sz w:val="24"/>
        </w:rPr>
        <w:t> </w:t>
      </w:r>
      <w:r>
        <w:rPr>
          <w:sz w:val="24"/>
        </w:rPr>
        <w:t>(Eds.),</w:t>
      </w:r>
      <w:r>
        <w:rPr>
          <w:spacing w:val="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handbooks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aging.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psychology of aging</w:t>
      </w:r>
      <w:r>
        <w:rPr>
          <w:i/>
          <w:spacing w:val="1"/>
          <w:sz w:val="24"/>
        </w:rPr>
        <w:t> </w:t>
      </w:r>
      <w:r>
        <w:rPr>
          <w:sz w:val="24"/>
        </w:rPr>
        <w:t>(266–286).</w:t>
      </w:r>
      <w:r>
        <w:rPr>
          <w:spacing w:val="-1"/>
          <w:sz w:val="24"/>
        </w:rPr>
        <w:t> </w:t>
      </w:r>
      <w:r>
        <w:rPr>
          <w:sz w:val="24"/>
        </w:rPr>
        <w:t>Academic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before="202"/>
        <w:ind w:left="1542" w:right="829" w:hanging="720"/>
        <w:jc w:val="both"/>
        <w:rPr>
          <w:sz w:val="24"/>
        </w:rPr>
      </w:pPr>
      <w:r>
        <w:rPr>
          <w:sz w:val="24"/>
        </w:rPr>
        <w:t>Shackelford, D. A. &amp; Shevlin, T. (2001). Empirical tax research in accounting.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Economics</w:t>
      </w:r>
      <w:r>
        <w:rPr>
          <w:sz w:val="24"/>
        </w:rPr>
        <w:t>, </w:t>
      </w:r>
      <w:r>
        <w:rPr>
          <w:i/>
          <w:sz w:val="24"/>
        </w:rPr>
        <w:t>31</w:t>
      </w:r>
      <w:r>
        <w:rPr>
          <w:sz w:val="24"/>
        </w:rPr>
        <w:t>(1-3), 321-387.</w:t>
      </w:r>
    </w:p>
    <w:p>
      <w:pPr>
        <w:spacing w:before="199"/>
        <w:ind w:left="1542" w:right="833" w:hanging="720"/>
        <w:jc w:val="both"/>
        <w:rPr>
          <w:sz w:val="24"/>
        </w:rPr>
      </w:pPr>
      <w:r>
        <w:rPr>
          <w:sz w:val="24"/>
        </w:rPr>
        <w:t>Sharma,</w:t>
      </w:r>
      <w:r>
        <w:rPr>
          <w:spacing w:val="-5"/>
          <w:sz w:val="24"/>
        </w:rPr>
        <w:t> </w:t>
      </w:r>
      <w:r>
        <w:rPr>
          <w:sz w:val="24"/>
        </w:rPr>
        <w:t>R.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Singh,</w:t>
      </w:r>
      <w:r>
        <w:rPr>
          <w:spacing w:val="-7"/>
          <w:sz w:val="24"/>
        </w:rPr>
        <w:t> </w:t>
      </w:r>
      <w:r>
        <w:rPr>
          <w:sz w:val="24"/>
        </w:rPr>
        <w:t>F.</w:t>
      </w:r>
      <w:r>
        <w:rPr>
          <w:spacing w:val="-4"/>
          <w:sz w:val="24"/>
        </w:rPr>
        <w:t> </w:t>
      </w:r>
      <w:r>
        <w:rPr>
          <w:sz w:val="24"/>
        </w:rPr>
        <w:t>(2009).</w:t>
      </w:r>
      <w:r>
        <w:rPr>
          <w:spacing w:val="-4"/>
          <w:sz w:val="24"/>
        </w:rPr>
        <w:t> </w:t>
      </w:r>
      <w:r>
        <w:rPr>
          <w:sz w:val="24"/>
        </w:rPr>
        <w:t>Voluntary</w:t>
      </w:r>
      <w:r>
        <w:rPr>
          <w:spacing w:val="-4"/>
          <w:sz w:val="24"/>
        </w:rPr>
        <w:t> </w:t>
      </w:r>
      <w:r>
        <w:rPr>
          <w:sz w:val="24"/>
        </w:rPr>
        <w:t>corporate</w:t>
      </w:r>
      <w:r>
        <w:rPr>
          <w:spacing w:val="-5"/>
          <w:sz w:val="24"/>
        </w:rPr>
        <w:t> </w:t>
      </w:r>
      <w:r>
        <w:rPr>
          <w:sz w:val="24"/>
        </w:rPr>
        <w:t>governance</w:t>
      </w:r>
      <w:r>
        <w:rPr>
          <w:spacing w:val="-5"/>
          <w:sz w:val="24"/>
        </w:rPr>
        <w:t> </w:t>
      </w:r>
      <w:r>
        <w:rPr>
          <w:sz w:val="24"/>
        </w:rPr>
        <w:t>disclosure: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selected</w:t>
      </w:r>
      <w:r>
        <w:rPr>
          <w:spacing w:val="-58"/>
          <w:sz w:val="24"/>
        </w:rPr>
        <w:t> </w:t>
      </w:r>
      <w:r>
        <w:rPr>
          <w:sz w:val="24"/>
        </w:rPr>
        <w:t>companies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India,</w:t>
      </w:r>
      <w:r>
        <w:rPr>
          <w:spacing w:val="-1"/>
          <w:sz w:val="24"/>
        </w:rPr>
        <w:t> </w:t>
      </w:r>
      <w:r>
        <w:rPr>
          <w:i/>
          <w:sz w:val="24"/>
        </w:rPr>
        <w:t>ICFAI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Corporate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Governance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8(3)</w:t>
      </w:r>
      <w:r>
        <w:rPr>
          <w:spacing w:val="-3"/>
          <w:sz w:val="24"/>
        </w:rPr>
        <w:t> </w:t>
      </w:r>
      <w:r>
        <w:rPr>
          <w:sz w:val="24"/>
        </w:rPr>
        <w:t>91–108.</w:t>
      </w:r>
    </w:p>
    <w:p>
      <w:pPr>
        <w:pStyle w:val="BodyText"/>
        <w:spacing w:before="200"/>
        <w:ind w:left="1542" w:right="834" w:hanging="720"/>
      </w:pPr>
      <w:r>
        <w:rPr/>
        <w:t>Shevlin, T. (2002). Symposium on corporate tax shelters part II: Commentary: Corporate tax</w:t>
      </w:r>
      <w:r>
        <w:rPr>
          <w:spacing w:val="1"/>
        </w:rPr>
        <w:t> </w:t>
      </w:r>
      <w:r>
        <w:rPr/>
        <w:t>shelters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book-tax</w:t>
      </w:r>
      <w:r>
        <w:rPr>
          <w:spacing w:val="-1"/>
        </w:rPr>
        <w:t> </w:t>
      </w:r>
      <w:r>
        <w:rPr/>
        <w:t>differences.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York</w:t>
      </w:r>
      <w:r>
        <w:rPr>
          <w:i/>
          <w:spacing w:val="-2"/>
        </w:rPr>
        <w:t> </w:t>
      </w:r>
      <w:r>
        <w:rPr>
          <w:i/>
        </w:rPr>
        <w:t>University</w:t>
      </w:r>
      <w:r>
        <w:rPr>
          <w:i/>
          <w:spacing w:val="-1"/>
        </w:rPr>
        <w:t> </w:t>
      </w:r>
      <w:r>
        <w:rPr>
          <w:i/>
        </w:rPr>
        <w:t>Tax Review</w:t>
      </w:r>
      <w:r>
        <w:rPr>
          <w:i/>
          <w:spacing w:val="1"/>
        </w:rPr>
        <w:t> </w:t>
      </w:r>
      <w:r>
        <w:rPr/>
        <w:t>55(2), 427-439</w:t>
      </w:r>
    </w:p>
    <w:p>
      <w:pPr>
        <w:pStyle w:val="BodyText"/>
        <w:spacing w:before="201"/>
        <w:ind w:left="1542" w:right="838" w:hanging="720"/>
      </w:pPr>
      <w:r>
        <w:rPr/>
        <w:t>Shleifer, A. &amp; Vishny, R. (1997). A survey of corporate governance. Journal of Finance,</w:t>
      </w:r>
      <w:r>
        <w:rPr>
          <w:spacing w:val="1"/>
        </w:rPr>
        <w:t> </w:t>
      </w:r>
      <w:r>
        <w:rPr/>
        <w:t>52(2)737-775.</w:t>
      </w:r>
    </w:p>
    <w:p>
      <w:pPr>
        <w:pStyle w:val="BodyText"/>
        <w:spacing w:before="199"/>
        <w:ind w:left="1542" w:right="836" w:hanging="720"/>
      </w:pPr>
      <w:r>
        <w:rPr/>
        <w:t>Siegfried, J. J. (1972). The relationship between economic structure and the effect of political</w:t>
      </w:r>
      <w:r>
        <w:rPr>
          <w:spacing w:val="1"/>
        </w:rPr>
        <w:t> </w:t>
      </w:r>
      <w:r>
        <w:rPr/>
        <w:t>influence: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program.</w:t>
      </w:r>
      <w:r>
        <w:rPr>
          <w:spacing w:val="1"/>
        </w:rPr>
        <w:t> </w:t>
      </w:r>
      <w:r>
        <w:rPr/>
        <w:t>PhD</w:t>
      </w:r>
      <w:r>
        <w:rPr>
          <w:spacing w:val="1"/>
        </w:rPr>
        <w:t> </w:t>
      </w:r>
      <w:r>
        <w:rPr/>
        <w:t>Dissertation:</w:t>
      </w:r>
      <w:r>
        <w:rPr>
          <w:spacing w:val="-1"/>
        </w:rPr>
        <w:t> </w:t>
      </w:r>
      <w:r>
        <w:rPr/>
        <w:t>University of Wisconsin</w:t>
      </w:r>
    </w:p>
    <w:p>
      <w:pPr>
        <w:pStyle w:val="BodyText"/>
        <w:spacing w:before="200"/>
        <w:ind w:left="1542" w:right="830" w:hanging="720"/>
      </w:pPr>
      <w:r>
        <w:rPr/>
        <w:t>Siegfried, J. J. (1974). Effective average U.S. corporation income-tax rates. National Tax</w:t>
      </w:r>
      <w:r>
        <w:rPr>
          <w:spacing w:val="1"/>
        </w:rPr>
        <w:t> </w:t>
      </w:r>
      <w:r>
        <w:rPr/>
        <w:t>Journal,</w:t>
      </w:r>
      <w:r>
        <w:rPr>
          <w:spacing w:val="-1"/>
        </w:rPr>
        <w:t> </w:t>
      </w:r>
      <w:r>
        <w:rPr/>
        <w:t>27(2), 245-245.</w:t>
      </w:r>
    </w:p>
    <w:p>
      <w:pPr>
        <w:spacing w:before="202"/>
        <w:ind w:left="1542" w:right="830" w:hanging="720"/>
        <w:jc w:val="both"/>
        <w:rPr>
          <w:sz w:val="24"/>
        </w:rPr>
      </w:pPr>
      <w:r>
        <w:rPr>
          <w:sz w:val="24"/>
        </w:rPr>
        <w:t>Slemrod, J. (2004). The economics of corporate tax selfishness. </w:t>
      </w:r>
      <w:r>
        <w:rPr>
          <w:i/>
          <w:sz w:val="24"/>
        </w:rPr>
        <w:t>National Tax Journal, 57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877-899.</w:t>
      </w:r>
    </w:p>
    <w:p>
      <w:pPr>
        <w:pStyle w:val="BodyText"/>
        <w:spacing w:before="199"/>
        <w:ind w:left="1542" w:right="833" w:hanging="720"/>
      </w:pPr>
      <w:r>
        <w:rPr/>
        <w:t>Snyder,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Filling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France: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Introduction. Corporate Governance: International Journal of Business and Society. 7</w:t>
      </w:r>
      <w:r>
        <w:rPr>
          <w:spacing w:val="1"/>
        </w:rPr>
        <w:t> </w:t>
      </w:r>
      <w:r>
        <w:rPr/>
        <w:t>(3)</w:t>
      </w:r>
      <w:r>
        <w:rPr>
          <w:spacing w:val="-2"/>
        </w:rPr>
        <w:t> </w:t>
      </w:r>
      <w:r>
        <w:rPr/>
        <w:t>238 – 250</w:t>
      </w:r>
    </w:p>
    <w:p>
      <w:pPr>
        <w:spacing w:before="199"/>
        <w:ind w:left="1542" w:right="831" w:hanging="720"/>
        <w:jc w:val="both"/>
        <w:rPr>
          <w:sz w:val="24"/>
        </w:rPr>
      </w:pPr>
      <w:r>
        <w:rPr>
          <w:sz w:val="24"/>
        </w:rPr>
        <w:t>Solomon,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Solomon,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(2004)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transparency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1"/>
          <w:sz w:val="24"/>
        </w:rPr>
        <w:t> </w:t>
      </w:r>
      <w:r>
        <w:rPr>
          <w:sz w:val="24"/>
        </w:rPr>
        <w:t>governance’,</w:t>
      </w:r>
      <w:r>
        <w:rPr>
          <w:spacing w:val="-57"/>
          <w:sz w:val="24"/>
        </w:rPr>
        <w:t> </w:t>
      </w:r>
      <w:r>
        <w:rPr>
          <w:i/>
          <w:sz w:val="24"/>
        </w:rPr>
        <w:t>Corporate Governance and Accountability</w:t>
      </w:r>
      <w:r>
        <w:rPr>
          <w:sz w:val="24"/>
        </w:rPr>
        <w:t>, pp.119–143, John Wiley &amp; Sons, Ltd.,</w:t>
      </w:r>
      <w:r>
        <w:rPr>
          <w:spacing w:val="1"/>
          <w:sz w:val="24"/>
        </w:rPr>
        <w:t> </w:t>
      </w:r>
      <w:r>
        <w:rPr>
          <w:sz w:val="24"/>
        </w:rPr>
        <w:t>England.</w:t>
      </w:r>
    </w:p>
    <w:p>
      <w:pPr>
        <w:spacing w:before="200"/>
        <w:ind w:left="1542" w:right="830" w:hanging="720"/>
        <w:jc w:val="both"/>
        <w:rPr>
          <w:sz w:val="24"/>
        </w:rPr>
      </w:pPr>
      <w:r>
        <w:rPr>
          <w:sz w:val="24"/>
        </w:rPr>
        <w:t>Solomon,</w:t>
      </w:r>
      <w:r>
        <w:rPr>
          <w:spacing w:val="-6"/>
          <w:sz w:val="24"/>
        </w:rPr>
        <w:t> </w:t>
      </w:r>
      <w:r>
        <w:rPr>
          <w:sz w:val="24"/>
        </w:rPr>
        <w:t>K.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Solomon,</w:t>
      </w:r>
      <w:r>
        <w:rPr>
          <w:spacing w:val="-8"/>
          <w:sz w:val="24"/>
        </w:rPr>
        <w:t> </w:t>
      </w:r>
      <w:r>
        <w:rPr>
          <w:sz w:val="24"/>
        </w:rPr>
        <w:t>L.</w:t>
      </w:r>
      <w:r>
        <w:rPr>
          <w:spacing w:val="-6"/>
          <w:sz w:val="24"/>
        </w:rPr>
        <w:t> </w:t>
      </w:r>
      <w:r>
        <w:rPr>
          <w:sz w:val="24"/>
        </w:rPr>
        <w:t>(2004).</w:t>
      </w:r>
      <w:r>
        <w:rPr>
          <w:spacing w:val="-6"/>
          <w:sz w:val="24"/>
        </w:rPr>
        <w:t> </w:t>
      </w:r>
      <w:r>
        <w:rPr>
          <w:sz w:val="24"/>
        </w:rPr>
        <w:t>Earnings</w:t>
      </w:r>
      <w:r>
        <w:rPr>
          <w:spacing w:val="-6"/>
          <w:sz w:val="24"/>
        </w:rPr>
        <w:t> </w:t>
      </w:r>
      <w:r>
        <w:rPr>
          <w:sz w:val="24"/>
        </w:rPr>
        <w:t>quality.</w:t>
      </w:r>
      <w:r>
        <w:rPr>
          <w:spacing w:val="-2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Horizons</w:t>
      </w:r>
      <w:r>
        <w:rPr>
          <w:i/>
          <w:spacing w:val="-4"/>
          <w:sz w:val="24"/>
        </w:rPr>
        <w:t> </w:t>
      </w:r>
      <w:r>
        <w:rPr>
          <w:sz w:val="24"/>
        </w:rPr>
        <w:t>(Supplement),</w:t>
      </w:r>
      <w:r>
        <w:rPr>
          <w:spacing w:val="-6"/>
          <w:sz w:val="24"/>
        </w:rPr>
        <w:t> </w:t>
      </w:r>
      <w:r>
        <w:rPr>
          <w:sz w:val="24"/>
        </w:rPr>
        <w:t>97–</w:t>
      </w:r>
      <w:r>
        <w:rPr>
          <w:spacing w:val="-57"/>
          <w:sz w:val="24"/>
        </w:rPr>
        <w:t> </w:t>
      </w:r>
      <w:r>
        <w:rPr>
          <w:sz w:val="24"/>
        </w:rPr>
        <w:t>112.</w:t>
      </w:r>
    </w:p>
    <w:p>
      <w:pPr>
        <w:spacing w:before="202"/>
        <w:ind w:left="1542" w:right="829" w:hanging="720"/>
        <w:jc w:val="both"/>
        <w:rPr>
          <w:sz w:val="24"/>
        </w:rPr>
      </w:pPr>
      <w:r>
        <w:rPr>
          <w:sz w:val="24"/>
        </w:rPr>
        <w:t>Soyode,</w:t>
      </w:r>
      <w:r>
        <w:rPr>
          <w:spacing w:val="-13"/>
          <w:sz w:val="24"/>
        </w:rPr>
        <w:t> </w:t>
      </w:r>
      <w:r>
        <w:rPr>
          <w:sz w:val="24"/>
        </w:rPr>
        <w:t>L.,</w:t>
      </w:r>
      <w:r>
        <w:rPr>
          <w:spacing w:val="-14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Kajola,</w:t>
      </w:r>
      <w:r>
        <w:rPr>
          <w:spacing w:val="-13"/>
          <w:sz w:val="24"/>
        </w:rPr>
        <w:t> </w:t>
      </w:r>
      <w:r>
        <w:rPr>
          <w:sz w:val="24"/>
        </w:rPr>
        <w:t>S.</w:t>
      </w:r>
      <w:r>
        <w:rPr>
          <w:spacing w:val="-13"/>
          <w:sz w:val="24"/>
        </w:rPr>
        <w:t> </w:t>
      </w:r>
      <w:r>
        <w:rPr>
          <w:sz w:val="24"/>
        </w:rPr>
        <w:t>O.</w:t>
      </w:r>
      <w:r>
        <w:rPr>
          <w:spacing w:val="-13"/>
          <w:sz w:val="24"/>
        </w:rPr>
        <w:t> </w:t>
      </w:r>
      <w:r>
        <w:rPr>
          <w:sz w:val="24"/>
        </w:rPr>
        <w:t>(2006).</w:t>
      </w:r>
      <w:r>
        <w:rPr>
          <w:spacing w:val="-13"/>
          <w:sz w:val="24"/>
        </w:rPr>
        <w:t> </w:t>
      </w:r>
      <w:r>
        <w:rPr>
          <w:i/>
          <w:sz w:val="24"/>
        </w:rPr>
        <w:t>Taxation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-13"/>
          <w:sz w:val="24"/>
        </w:rPr>
        <w:t> </w:t>
      </w:r>
      <w:r>
        <w:rPr>
          <w:sz w:val="24"/>
        </w:rPr>
        <w:t>Ibadan:</w:t>
      </w:r>
      <w:r>
        <w:rPr>
          <w:spacing w:val="-12"/>
          <w:sz w:val="24"/>
        </w:rPr>
        <w:t> </w:t>
      </w:r>
      <w:r>
        <w:rPr>
          <w:sz w:val="24"/>
        </w:rPr>
        <w:t>Silicon</w:t>
      </w:r>
      <w:r>
        <w:rPr>
          <w:spacing w:val="-58"/>
          <w:sz w:val="24"/>
        </w:rPr>
        <w:t> </w:t>
      </w:r>
      <w:r>
        <w:rPr>
          <w:sz w:val="24"/>
        </w:rPr>
        <w:t>Publishing</w:t>
      </w:r>
      <w:r>
        <w:rPr>
          <w:spacing w:val="-1"/>
          <w:sz w:val="24"/>
        </w:rPr>
        <w:t> </w:t>
      </w:r>
      <w:r>
        <w:rPr>
          <w:sz w:val="24"/>
        </w:rPr>
        <w:t>Company.</w:t>
      </w:r>
    </w:p>
    <w:p>
      <w:pPr>
        <w:spacing w:before="199"/>
        <w:ind w:left="1542" w:right="831" w:hanging="720"/>
        <w:jc w:val="both"/>
        <w:rPr>
          <w:sz w:val="24"/>
        </w:rPr>
      </w:pPr>
      <w:r>
        <w:rPr>
          <w:sz w:val="24"/>
        </w:rPr>
        <w:t>Spooner, G. M. (1986). Effective tax rates from financial statements. </w:t>
      </w:r>
      <w:r>
        <w:rPr>
          <w:i/>
          <w:sz w:val="24"/>
        </w:rPr>
        <w:t>National Tax Journal,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39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293-306.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spacing w:before="77"/>
        <w:ind w:left="1542" w:right="826" w:hanging="720"/>
        <w:jc w:val="both"/>
        <w:rPr>
          <w:sz w:val="24"/>
        </w:rPr>
      </w:pPr>
      <w:r>
        <w:rPr>
          <w:sz w:val="24"/>
        </w:rPr>
        <w:t>Srinidhi,</w:t>
      </w:r>
      <w:r>
        <w:rPr>
          <w:spacing w:val="-11"/>
          <w:sz w:val="24"/>
        </w:rPr>
        <w:t> </w:t>
      </w:r>
      <w:r>
        <w:rPr>
          <w:sz w:val="24"/>
        </w:rPr>
        <w:t>B.,</w:t>
      </w:r>
      <w:r>
        <w:rPr>
          <w:spacing w:val="-13"/>
          <w:sz w:val="24"/>
        </w:rPr>
        <w:t> </w:t>
      </w:r>
      <w:r>
        <w:rPr>
          <w:sz w:val="24"/>
        </w:rPr>
        <w:t>Gul,</w:t>
      </w:r>
      <w:r>
        <w:rPr>
          <w:spacing w:val="-11"/>
          <w:sz w:val="24"/>
        </w:rPr>
        <w:t> </w:t>
      </w:r>
      <w:r>
        <w:rPr>
          <w:sz w:val="24"/>
        </w:rPr>
        <w:t>F.</w:t>
      </w:r>
      <w:r>
        <w:rPr>
          <w:spacing w:val="-11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Tsui,</w:t>
      </w:r>
      <w:r>
        <w:rPr>
          <w:spacing w:val="-10"/>
          <w:sz w:val="24"/>
        </w:rPr>
        <w:t> </w:t>
      </w:r>
      <w:r>
        <w:rPr>
          <w:sz w:val="24"/>
        </w:rPr>
        <w:t>J.</w:t>
      </w:r>
      <w:r>
        <w:rPr>
          <w:spacing w:val="-11"/>
          <w:sz w:val="24"/>
        </w:rPr>
        <w:t> </w:t>
      </w:r>
      <w:r>
        <w:rPr>
          <w:sz w:val="24"/>
        </w:rPr>
        <w:t>(2011).</w:t>
      </w:r>
      <w:r>
        <w:rPr>
          <w:spacing w:val="-12"/>
          <w:sz w:val="24"/>
        </w:rPr>
        <w:t> </w:t>
      </w:r>
      <w:r>
        <w:rPr>
          <w:sz w:val="24"/>
        </w:rPr>
        <w:t>Female</w:t>
      </w:r>
      <w:r>
        <w:rPr>
          <w:spacing w:val="-12"/>
          <w:sz w:val="24"/>
        </w:rPr>
        <w:t> </w:t>
      </w:r>
      <w:r>
        <w:rPr>
          <w:sz w:val="24"/>
        </w:rPr>
        <w:t>directors</w:t>
      </w:r>
      <w:r>
        <w:rPr>
          <w:spacing w:val="-11"/>
          <w:sz w:val="24"/>
        </w:rPr>
        <w:t> </w:t>
      </w:r>
      <w:r>
        <w:rPr>
          <w:sz w:val="24"/>
        </w:rPr>
        <w:t>and</w:t>
      </w:r>
      <w:r>
        <w:rPr>
          <w:spacing w:val="-11"/>
          <w:sz w:val="24"/>
        </w:rPr>
        <w:t> </w:t>
      </w:r>
      <w:r>
        <w:rPr>
          <w:sz w:val="24"/>
        </w:rPr>
        <w:t>earnings</w:t>
      </w:r>
      <w:r>
        <w:rPr>
          <w:spacing w:val="-11"/>
          <w:sz w:val="24"/>
        </w:rPr>
        <w:t> </w:t>
      </w:r>
      <w:r>
        <w:rPr>
          <w:sz w:val="24"/>
        </w:rPr>
        <w:t>quality.</w:t>
      </w:r>
      <w:r>
        <w:rPr>
          <w:spacing w:val="-7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 28</w:t>
      </w:r>
      <w:r>
        <w:rPr>
          <w:sz w:val="24"/>
        </w:rPr>
        <w:t>(5), 1610-1644.</w:t>
      </w:r>
    </w:p>
    <w:p>
      <w:pPr>
        <w:spacing w:before="202"/>
        <w:ind w:left="1542" w:right="832" w:hanging="720"/>
        <w:jc w:val="both"/>
        <w:rPr>
          <w:sz w:val="24"/>
        </w:rPr>
      </w:pPr>
      <w:r>
        <w:rPr>
          <w:sz w:val="24"/>
        </w:rPr>
        <w:t>Stickney, C., &amp; V. McGee. (1982). Effective corporate tax rates: The effect of size, capital</w:t>
      </w:r>
      <w:r>
        <w:rPr>
          <w:spacing w:val="1"/>
          <w:sz w:val="24"/>
        </w:rPr>
        <w:t> </w:t>
      </w:r>
      <w:r>
        <w:rPr>
          <w:sz w:val="24"/>
        </w:rPr>
        <w:t>intensity,</w:t>
      </w:r>
      <w:r>
        <w:rPr>
          <w:spacing w:val="-1"/>
          <w:sz w:val="24"/>
        </w:rPr>
        <w:t> </w:t>
      </w:r>
      <w:r>
        <w:rPr>
          <w:sz w:val="24"/>
        </w:rPr>
        <w:t>leverage,</w:t>
      </w:r>
      <w:r>
        <w:rPr>
          <w:spacing w:val="2"/>
          <w:sz w:val="24"/>
        </w:rPr>
        <w:t> </w:t>
      </w:r>
      <w:r>
        <w:rPr>
          <w:sz w:val="24"/>
        </w:rPr>
        <w:t>and other</w:t>
      </w:r>
      <w:r>
        <w:rPr>
          <w:spacing w:val="-3"/>
          <w:sz w:val="24"/>
        </w:rPr>
        <w:t> </w:t>
      </w:r>
      <w:r>
        <w:rPr>
          <w:sz w:val="24"/>
        </w:rPr>
        <w:t>factors.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Accounting and 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.</w:t>
      </w:r>
    </w:p>
    <w:p>
      <w:pPr>
        <w:spacing w:before="200"/>
        <w:ind w:left="1542" w:right="828" w:hanging="720"/>
        <w:jc w:val="both"/>
        <w:rPr>
          <w:sz w:val="24"/>
        </w:rPr>
      </w:pPr>
      <w:r>
        <w:rPr>
          <w:sz w:val="24"/>
        </w:rPr>
        <w:t>Stiglitz, J. E. (1986). The general theory of tax avoidance Cambridge. </w:t>
      </w:r>
      <w:r>
        <w:rPr>
          <w:i/>
          <w:sz w:val="24"/>
        </w:rPr>
        <w:t>National Bureau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1"/>
          <w:sz w:val="24"/>
        </w:rPr>
        <w:t> </w:t>
      </w:r>
      <w:r>
        <w:rPr>
          <w:sz w:val="24"/>
        </w:rPr>
        <w:t>4(2), 16-35.</w:t>
      </w:r>
    </w:p>
    <w:p>
      <w:pPr>
        <w:spacing w:before="199"/>
        <w:ind w:left="1542" w:right="836" w:hanging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85120">
            <wp:simplePos x="0" y="0"/>
            <wp:positionH relativeFrom="page">
              <wp:posOffset>1261605</wp:posOffset>
            </wp:positionH>
            <wp:positionV relativeFrom="paragraph">
              <wp:posOffset>471717</wp:posOffset>
            </wp:positionV>
            <wp:extent cx="5133225" cy="5265293"/>
            <wp:effectExtent l="0" t="0" r="0" b="0"/>
            <wp:wrapNone/>
            <wp:docPr id="30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Subramanian, S. (2006) Management control and differences in disclosure levels: the Indian</w:t>
      </w:r>
      <w:r>
        <w:rPr>
          <w:spacing w:val="1"/>
          <w:sz w:val="24"/>
        </w:rPr>
        <w:t> </w:t>
      </w:r>
      <w:r>
        <w:rPr>
          <w:sz w:val="24"/>
        </w:rPr>
        <w:t>scenario,</w:t>
      </w:r>
      <w:r>
        <w:rPr>
          <w:spacing w:val="-1"/>
          <w:sz w:val="24"/>
        </w:rPr>
        <w:t> </w:t>
      </w:r>
      <w:r>
        <w:rPr>
          <w:i/>
          <w:sz w:val="24"/>
        </w:rPr>
        <w:t>ICFAI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 Corporate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Governance</w:t>
      </w:r>
      <w:r>
        <w:rPr>
          <w:sz w:val="24"/>
        </w:rPr>
        <w:t>, Vol.</w:t>
      </w:r>
      <w:r>
        <w:rPr>
          <w:spacing w:val="-1"/>
          <w:sz w:val="24"/>
        </w:rPr>
        <w:t> </w:t>
      </w:r>
      <w:r>
        <w:rPr>
          <w:sz w:val="24"/>
        </w:rPr>
        <w:t>5, No. 1, pp.16–33.</w:t>
      </w:r>
    </w:p>
    <w:p>
      <w:pPr>
        <w:spacing w:before="201"/>
        <w:ind w:left="1542" w:right="833" w:hanging="720"/>
        <w:jc w:val="both"/>
        <w:rPr>
          <w:sz w:val="24"/>
        </w:rPr>
      </w:pPr>
      <w:r>
        <w:rPr>
          <w:sz w:val="24"/>
        </w:rPr>
        <w:t>Tang, T., &amp; Firth, M. (2011). Can book-tax differences capture earnings management and tax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management?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Empirical</w:t>
      </w:r>
      <w:r>
        <w:rPr>
          <w:spacing w:val="-13"/>
          <w:sz w:val="24"/>
        </w:rPr>
        <w:t> </w:t>
      </w:r>
      <w:r>
        <w:rPr>
          <w:sz w:val="24"/>
        </w:rPr>
        <w:t>evidence</w:t>
      </w:r>
      <w:r>
        <w:rPr>
          <w:spacing w:val="-15"/>
          <w:sz w:val="24"/>
        </w:rPr>
        <w:t> </w:t>
      </w:r>
      <w:r>
        <w:rPr>
          <w:sz w:val="24"/>
        </w:rPr>
        <w:t>from</w:t>
      </w:r>
      <w:r>
        <w:rPr>
          <w:spacing w:val="-14"/>
          <w:sz w:val="24"/>
        </w:rPr>
        <w:t> </w:t>
      </w:r>
      <w:r>
        <w:rPr>
          <w:sz w:val="24"/>
        </w:rPr>
        <w:t>China.</w:t>
      </w:r>
      <w:r>
        <w:rPr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6"/>
          <w:sz w:val="24"/>
        </w:rPr>
        <w:t> </w:t>
      </w:r>
      <w:r>
        <w:rPr>
          <w:i/>
          <w:sz w:val="24"/>
        </w:rPr>
        <w:t>Accounting,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46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175-204.</w:t>
      </w:r>
    </w:p>
    <w:p>
      <w:pPr>
        <w:spacing w:before="200"/>
        <w:ind w:left="1542" w:right="833" w:hanging="720"/>
        <w:jc w:val="both"/>
        <w:rPr>
          <w:sz w:val="24"/>
        </w:rPr>
      </w:pPr>
      <w:r>
        <w:rPr>
          <w:sz w:val="24"/>
        </w:rPr>
        <w:t>Tanko. (2003). Corporate governance and voluntary disclosure. </w:t>
      </w:r>
      <w:r>
        <w:rPr>
          <w:i/>
          <w:sz w:val="24"/>
        </w:rPr>
        <w:t>Journal of Accounting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Policy, </w:t>
      </w:r>
      <w:r>
        <w:rPr>
          <w:sz w:val="24"/>
        </w:rPr>
        <w:t>22(4), 325-345.</w:t>
      </w:r>
    </w:p>
    <w:p>
      <w:pPr>
        <w:spacing w:before="200"/>
        <w:ind w:left="1542" w:right="829" w:hanging="720"/>
        <w:jc w:val="both"/>
        <w:rPr>
          <w:sz w:val="24"/>
        </w:rPr>
      </w:pPr>
      <w:r>
        <w:rPr>
          <w:sz w:val="24"/>
        </w:rPr>
        <w:t>Taylor, G., &amp; Richardson, G. (2014). Incentives for corporate tax planning and reporting: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evidence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Australia.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10(2) 1-45.</w:t>
      </w:r>
    </w:p>
    <w:p>
      <w:pPr>
        <w:pStyle w:val="BodyText"/>
        <w:spacing w:before="201"/>
        <w:ind w:left="1542" w:right="829" w:hanging="720"/>
      </w:pPr>
      <w:r>
        <w:rPr/>
        <w:t>Tsamenyi, M, Enninful-Adu, E., &amp; Onumah, J. (2007). Disclosure and Corporate Governance</w:t>
      </w:r>
      <w:r>
        <w:rPr>
          <w:spacing w:val="1"/>
        </w:rPr>
        <w:t> </w:t>
      </w:r>
      <w:r>
        <w:rPr/>
        <w:t>in Developing Countries: Evidence from Ghana. </w:t>
      </w:r>
      <w:r>
        <w:rPr>
          <w:i/>
        </w:rPr>
        <w:t>Managerial Auditing Journal. 22</w:t>
      </w:r>
      <w:r>
        <w:rPr/>
        <w:t>(2)</w:t>
      </w:r>
      <w:r>
        <w:rPr>
          <w:spacing w:val="1"/>
        </w:rPr>
        <w:t> </w:t>
      </w:r>
      <w:r>
        <w:rPr/>
        <w:t>319-334.</w:t>
      </w:r>
    </w:p>
    <w:p>
      <w:pPr>
        <w:pStyle w:val="BodyText"/>
        <w:spacing w:before="199"/>
        <w:ind w:left="1542" w:right="830" w:hanging="720"/>
      </w:pPr>
      <w:r>
        <w:rPr/>
        <w:t>U.S.</w:t>
      </w:r>
      <w:r>
        <w:rPr>
          <w:spacing w:val="-6"/>
        </w:rPr>
        <w:t> </w:t>
      </w:r>
      <w:r>
        <w:rPr/>
        <w:t>Congress.</w:t>
      </w:r>
      <w:r>
        <w:rPr>
          <w:spacing w:val="-6"/>
        </w:rPr>
        <w:t> </w:t>
      </w:r>
      <w:r>
        <w:rPr/>
        <w:t>Joint</w:t>
      </w:r>
      <w:r>
        <w:rPr>
          <w:spacing w:val="-4"/>
        </w:rPr>
        <w:t> </w:t>
      </w:r>
      <w:r>
        <w:rPr/>
        <w:t>Committee</w:t>
      </w:r>
      <w:r>
        <w:rPr>
          <w:spacing w:val="-8"/>
        </w:rPr>
        <w:t> </w:t>
      </w:r>
      <w:r>
        <w:rPr/>
        <w:t>on</w:t>
      </w:r>
      <w:r>
        <w:rPr>
          <w:spacing w:val="-5"/>
        </w:rPr>
        <w:t> </w:t>
      </w:r>
      <w:r>
        <w:rPr/>
        <w:t>Taxation.</w:t>
      </w:r>
      <w:r>
        <w:rPr>
          <w:spacing w:val="-6"/>
        </w:rPr>
        <w:t> </w:t>
      </w:r>
      <w:r>
        <w:rPr/>
        <w:t>(1999).</w:t>
      </w:r>
      <w:r>
        <w:rPr>
          <w:spacing w:val="-7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present-law</w:t>
      </w:r>
      <w:r>
        <w:rPr>
          <w:spacing w:val="-4"/>
        </w:rPr>
        <w:t> </w:t>
      </w:r>
      <w:r>
        <w:rPr/>
        <w:t>penalty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interest</w:t>
      </w:r>
      <w:r>
        <w:rPr>
          <w:spacing w:val="-57"/>
        </w:rPr>
        <w:t> </w:t>
      </w:r>
      <w:r>
        <w:rPr/>
        <w:t>provisions as required by Section 3801 of the Internal Revenue Service restructuring</w:t>
      </w:r>
      <w:r>
        <w:rPr>
          <w:spacing w:val="1"/>
        </w:rPr>
        <w:t> </w:t>
      </w:r>
      <w:r>
        <w:rPr/>
        <w:t>and reform act of 1998 (Including provisions relating to corporate tax shelters). JCS 3-</w:t>
      </w:r>
      <w:r>
        <w:rPr>
          <w:spacing w:val="-57"/>
        </w:rPr>
        <w:t> </w:t>
      </w:r>
      <w:r>
        <w:rPr/>
        <w:t>99,</w:t>
      </w:r>
      <w:r>
        <w:rPr>
          <w:spacing w:val="-1"/>
        </w:rPr>
        <w:t> </w:t>
      </w:r>
      <w:r>
        <w:rPr/>
        <w:t>Washington, D.C.: Government Printing Office.</w:t>
      </w:r>
    </w:p>
    <w:p>
      <w:pPr>
        <w:spacing w:before="200"/>
        <w:ind w:left="1542" w:right="830" w:hanging="720"/>
        <w:jc w:val="both"/>
        <w:rPr>
          <w:sz w:val="24"/>
        </w:rPr>
      </w:pPr>
      <w:r>
        <w:rPr>
          <w:sz w:val="24"/>
        </w:rPr>
        <w:t>UNCTAD (2006). Guidance on good practices in corporate governance disclosure’, </w:t>
      </w:r>
      <w:r>
        <w:rPr>
          <w:i/>
          <w:sz w:val="24"/>
        </w:rPr>
        <w:t>United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Development</w:t>
      </w:r>
      <w:r>
        <w:rPr>
          <w:sz w:val="24"/>
        </w:rPr>
        <w:t>,</w:t>
      </w:r>
      <w:r>
        <w:rPr>
          <w:spacing w:val="-7"/>
          <w:sz w:val="24"/>
        </w:rPr>
        <w:t> </w:t>
      </w:r>
      <w:r>
        <w:rPr>
          <w:sz w:val="24"/>
        </w:rPr>
        <w:t>Geneva,</w:t>
      </w:r>
      <w:r>
        <w:rPr>
          <w:spacing w:val="-6"/>
          <w:sz w:val="24"/>
        </w:rPr>
        <w:t> </w:t>
      </w:r>
      <w:r>
        <w:rPr>
          <w:sz w:val="24"/>
        </w:rPr>
        <w:t>New</w:t>
      </w:r>
      <w:r>
        <w:rPr>
          <w:spacing w:val="-9"/>
          <w:sz w:val="24"/>
        </w:rPr>
        <w:t> </w:t>
      </w:r>
      <w:r>
        <w:rPr>
          <w:sz w:val="24"/>
        </w:rPr>
        <w:t>York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Geneva,</w:t>
      </w:r>
      <w:r>
        <w:rPr>
          <w:spacing w:val="-10"/>
          <w:sz w:val="24"/>
        </w:rPr>
        <w:t> </w:t>
      </w:r>
      <w:r>
        <w:rPr>
          <w:sz w:val="24"/>
        </w:rPr>
        <w:t>pp.1–</w:t>
      </w:r>
      <w:r>
        <w:rPr>
          <w:spacing w:val="-57"/>
          <w:sz w:val="24"/>
        </w:rPr>
        <w:t> </w:t>
      </w:r>
      <w:r>
        <w:rPr>
          <w:sz w:val="24"/>
        </w:rPr>
        <w:t>32.</w:t>
      </w:r>
    </w:p>
    <w:p>
      <w:pPr>
        <w:pStyle w:val="BodyText"/>
        <w:spacing w:before="202"/>
        <w:ind w:left="1542" w:right="835" w:hanging="720"/>
      </w:pPr>
      <w:r>
        <w:rPr/>
        <w:t>UNCTAD (2011). Corporate Governance in the Wake of the financial crisis. Retrieved from</w:t>
      </w:r>
      <w:r>
        <w:rPr>
          <w:spacing w:val="1"/>
        </w:rPr>
        <w:t> </w:t>
      </w:r>
      <w:hyperlink r:id="rId45">
        <w:r>
          <w:rPr/>
          <w:t>www.</w:t>
        </w:r>
        <w:r>
          <w:rPr>
            <w:spacing w:val="-2"/>
          </w:rPr>
          <w:t> </w:t>
        </w:r>
      </w:hyperlink>
      <w:hyperlink r:id="rId46">
        <w:r>
          <w:rPr/>
          <w:t>https://unctad.org/en/Docs/diaeed20102_en.pdf</w:t>
        </w:r>
      </w:hyperlink>
    </w:p>
    <w:p>
      <w:pPr>
        <w:spacing w:before="199"/>
        <w:ind w:left="1542" w:right="830" w:hanging="720"/>
        <w:jc w:val="both"/>
        <w:rPr>
          <w:sz w:val="24"/>
        </w:rPr>
      </w:pPr>
      <w:r>
        <w:rPr>
          <w:sz w:val="24"/>
        </w:rPr>
        <w:t>Uniamikogbo</w:t>
      </w:r>
      <w:r>
        <w:rPr>
          <w:spacing w:val="1"/>
          <w:sz w:val="24"/>
        </w:rPr>
        <w:t> </w:t>
      </w:r>
      <w:r>
        <w:rPr>
          <w:sz w:val="24"/>
        </w:rPr>
        <w:t>E,</w:t>
      </w:r>
      <w:r>
        <w:rPr>
          <w:spacing w:val="1"/>
          <w:sz w:val="24"/>
        </w:rPr>
        <w:t> </w:t>
      </w:r>
      <w:r>
        <w:rPr>
          <w:sz w:val="24"/>
        </w:rPr>
        <w:t>Bennee,</w:t>
      </w:r>
      <w:r>
        <w:rPr>
          <w:spacing w:val="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Adeusi.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(2019).</w:t>
      </w:r>
      <w:r>
        <w:rPr>
          <w:spacing w:val="1"/>
          <w:sz w:val="24"/>
        </w:rPr>
        <w:t> </w:t>
      </w:r>
      <w:r>
        <w:rPr>
          <w:sz w:val="24"/>
        </w:rPr>
        <w:t>Corporate-governance-and-tax-</w:t>
      </w:r>
      <w:r>
        <w:rPr>
          <w:spacing w:val="1"/>
          <w:sz w:val="24"/>
        </w:rPr>
        <w:t> </w:t>
      </w:r>
      <w:r>
        <w:rPr>
          <w:sz w:val="24"/>
        </w:rPr>
        <w:t>aggressiveness-in-Nigeria. </w:t>
      </w:r>
      <w:r>
        <w:rPr>
          <w:i/>
          <w:sz w:val="24"/>
        </w:rPr>
        <w:t>Ae-Funai Journal Of Accounting, Business And Finance</w:t>
      </w:r>
      <w:r>
        <w:rPr>
          <w:i/>
          <w:spacing w:val="1"/>
          <w:sz w:val="24"/>
        </w:rPr>
        <w:t> </w:t>
      </w:r>
      <w:r>
        <w:rPr>
          <w:sz w:val="24"/>
        </w:rPr>
        <w:t>4(1)</w:t>
      </w:r>
      <w:r>
        <w:rPr>
          <w:spacing w:val="-2"/>
          <w:sz w:val="24"/>
        </w:rPr>
        <w:t> </w:t>
      </w:r>
      <w:r>
        <w:rPr>
          <w:sz w:val="24"/>
        </w:rPr>
        <w:t>20-33.</w:t>
      </w:r>
    </w:p>
    <w:p>
      <w:pPr>
        <w:pStyle w:val="BodyText"/>
        <w:spacing w:before="200"/>
        <w:ind w:left="1542" w:right="830" w:hanging="720"/>
      </w:pPr>
      <w:r>
        <w:rPr/>
        <w:t>Uniamikogbo,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Atu,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Atu,</w:t>
      </w:r>
      <w:r>
        <w:rPr>
          <w:spacing w:val="1"/>
        </w:rPr>
        <w:t> </w:t>
      </w:r>
      <w:r>
        <w:rPr/>
        <w:t>Omimi-Ejoor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(2017).</w:t>
      </w:r>
      <w:r>
        <w:rPr>
          <w:spacing w:val="1"/>
        </w:rPr>
        <w:t> </w:t>
      </w:r>
      <w:r>
        <w:rPr/>
        <w:t>Firm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tax</w:t>
      </w:r>
      <w:r>
        <w:rPr>
          <w:spacing w:val="1"/>
        </w:rPr>
        <w:t> </w:t>
      </w:r>
      <w:r>
        <w:rPr/>
        <w:t>aggressiveness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 banking sector.</w:t>
      </w:r>
      <w:r>
        <w:rPr>
          <w:spacing w:val="-1"/>
        </w:rPr>
        <w:t> </w:t>
      </w:r>
      <w:r>
        <w:rPr/>
        <w:t>Retrieved from</w:t>
      </w:r>
      <w:r>
        <w:rPr>
          <w:spacing w:val="1"/>
        </w:rPr>
        <w:t> </w:t>
      </w:r>
      <w:hyperlink r:id="rId17">
        <w:r>
          <w:rPr/>
          <w:t>www.ssrn.com</w:t>
        </w:r>
      </w:hyperlink>
    </w:p>
    <w:p>
      <w:pPr>
        <w:pStyle w:val="BodyText"/>
        <w:spacing w:before="199"/>
        <w:ind w:left="1542" w:right="840" w:hanging="720"/>
      </w:pPr>
      <w:r>
        <w:rPr/>
        <w:t>Utkir, K. (2012). The relationship of corporate tax avoidance and cost of debt: Evidence from</w:t>
      </w:r>
      <w:r>
        <w:rPr>
          <w:spacing w:val="1"/>
        </w:rPr>
        <w:t> </w:t>
      </w:r>
      <w:r>
        <w:rPr/>
        <w:t>Malaysia,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Analysis Working Papers, 2002-2010.</w:t>
      </w:r>
    </w:p>
    <w:p>
      <w:pPr>
        <w:spacing w:before="202"/>
        <w:ind w:left="1542" w:right="831" w:hanging="720"/>
        <w:jc w:val="both"/>
        <w:rPr>
          <w:sz w:val="24"/>
        </w:rPr>
      </w:pPr>
      <w:r>
        <w:rPr>
          <w:sz w:val="24"/>
        </w:rPr>
        <w:t>Uwuigbe,</w:t>
      </w:r>
      <w:r>
        <w:rPr>
          <w:spacing w:val="-9"/>
          <w:sz w:val="24"/>
        </w:rPr>
        <w:t> </w:t>
      </w:r>
      <w:r>
        <w:rPr>
          <w:sz w:val="24"/>
        </w:rPr>
        <w:t>U.,</w:t>
      </w:r>
      <w:r>
        <w:rPr>
          <w:spacing w:val="-7"/>
          <w:sz w:val="24"/>
        </w:rPr>
        <w:t> </w:t>
      </w:r>
      <w:r>
        <w:rPr>
          <w:sz w:val="24"/>
        </w:rPr>
        <w:t>Olusanmi,</w:t>
      </w:r>
      <w:r>
        <w:rPr>
          <w:spacing w:val="-6"/>
          <w:sz w:val="24"/>
        </w:rPr>
        <w:t> </w:t>
      </w:r>
      <w:r>
        <w:rPr>
          <w:sz w:val="24"/>
        </w:rPr>
        <w:t>O.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5"/>
          <w:sz w:val="24"/>
        </w:rPr>
        <w:t> </w:t>
      </w:r>
      <w:r>
        <w:rPr>
          <w:sz w:val="24"/>
        </w:rPr>
        <w:t>Iyoha,</w:t>
      </w:r>
      <w:r>
        <w:rPr>
          <w:spacing w:val="-6"/>
          <w:sz w:val="24"/>
        </w:rPr>
        <w:t> </w:t>
      </w:r>
      <w:r>
        <w:rPr>
          <w:sz w:val="24"/>
        </w:rPr>
        <w:t>F.</w:t>
      </w:r>
      <w:r>
        <w:rPr>
          <w:spacing w:val="-8"/>
          <w:sz w:val="24"/>
        </w:rPr>
        <w:t> </w:t>
      </w:r>
      <w:r>
        <w:rPr>
          <w:sz w:val="24"/>
        </w:rPr>
        <w:t>(2015).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10"/>
          <w:sz w:val="24"/>
        </w:rPr>
        <w:t> </w:t>
      </w:r>
      <w:r>
        <w:rPr>
          <w:sz w:val="24"/>
        </w:rPr>
        <w:t>effect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corporate</w:t>
      </w:r>
      <w:r>
        <w:rPr>
          <w:spacing w:val="-7"/>
          <w:sz w:val="24"/>
        </w:rPr>
        <w:t> </w:t>
      </w:r>
      <w:r>
        <w:rPr>
          <w:sz w:val="24"/>
        </w:rPr>
        <w:t>governance</w:t>
      </w:r>
      <w:r>
        <w:rPr>
          <w:spacing w:val="-6"/>
          <w:sz w:val="24"/>
        </w:rPr>
        <w:t> </w:t>
      </w:r>
      <w:r>
        <w:rPr>
          <w:sz w:val="24"/>
        </w:rPr>
        <w:t>mechanism</w:t>
      </w:r>
      <w:r>
        <w:rPr>
          <w:spacing w:val="-58"/>
          <w:sz w:val="24"/>
        </w:rPr>
        <w:t> </w:t>
      </w:r>
      <w:r>
        <w:rPr>
          <w:sz w:val="24"/>
        </w:rPr>
        <w:t>on firms dividend payout policy in Nigeria.</w:t>
      </w:r>
      <w:r>
        <w:rPr>
          <w:spacing w:val="1"/>
          <w:sz w:val="24"/>
        </w:rPr>
        <w:t> </w:t>
      </w:r>
      <w:r>
        <w:rPr>
          <w:i/>
          <w:sz w:val="24"/>
        </w:rPr>
        <w:t>Journal of Accounting and Auditing: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&amp; Practice,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2015</w:t>
      </w:r>
      <w:r>
        <w:rPr>
          <w:sz w:val="24"/>
        </w:rPr>
        <w:t>(2015), 1-11.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BodyText"/>
        <w:spacing w:before="77"/>
        <w:ind w:left="1542" w:right="826" w:hanging="720"/>
        <w:jc w:val="left"/>
      </w:pPr>
      <w:r>
        <w:rPr/>
        <w:t>Verhaeghen,</w:t>
      </w:r>
      <w:r>
        <w:rPr>
          <w:spacing w:val="-14"/>
        </w:rPr>
        <w:t> </w:t>
      </w:r>
      <w:r>
        <w:rPr/>
        <w:t>P,</w:t>
      </w:r>
      <w:r>
        <w:rPr>
          <w:spacing w:val="-13"/>
        </w:rPr>
        <w:t> </w:t>
      </w:r>
      <w:r>
        <w:rPr/>
        <w:t>&amp;</w:t>
      </w:r>
      <w:r>
        <w:rPr>
          <w:spacing w:val="-13"/>
        </w:rPr>
        <w:t> </w:t>
      </w:r>
      <w:r>
        <w:rPr/>
        <w:t>Cerella,</w:t>
      </w:r>
      <w:r>
        <w:rPr>
          <w:spacing w:val="-13"/>
        </w:rPr>
        <w:t> </w:t>
      </w:r>
      <w:r>
        <w:rPr/>
        <w:t>J..</w:t>
      </w:r>
      <w:r>
        <w:rPr>
          <w:spacing w:val="-13"/>
        </w:rPr>
        <w:t> </w:t>
      </w:r>
      <w:r>
        <w:rPr/>
        <w:t>(2002).</w:t>
      </w:r>
      <w:r>
        <w:rPr>
          <w:spacing w:val="-14"/>
        </w:rPr>
        <w:t> </w:t>
      </w:r>
      <w:r>
        <w:rPr/>
        <w:t>Aging,</w:t>
      </w:r>
      <w:r>
        <w:rPr>
          <w:spacing w:val="-13"/>
        </w:rPr>
        <w:t> </w:t>
      </w:r>
      <w:r>
        <w:rPr/>
        <w:t>executive</w:t>
      </w:r>
      <w:r>
        <w:rPr>
          <w:spacing w:val="-15"/>
        </w:rPr>
        <w:t> </w:t>
      </w:r>
      <w:r>
        <w:rPr/>
        <w:t>control,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attention: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review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meta-</w:t>
      </w:r>
      <w:r>
        <w:rPr>
          <w:spacing w:val="-57"/>
        </w:rPr>
        <w:t> </w:t>
      </w:r>
      <w:r>
        <w:rPr/>
        <w:t>analyses.</w:t>
      </w:r>
      <w:r>
        <w:rPr>
          <w:spacing w:val="-1"/>
        </w:rPr>
        <w:t> </w:t>
      </w:r>
      <w:r>
        <w:rPr/>
        <w:t>Neuroscience</w:t>
      </w:r>
      <w:r>
        <w:rPr>
          <w:spacing w:val="-1"/>
        </w:rPr>
        <w:t> </w:t>
      </w:r>
      <w:r>
        <w:rPr/>
        <w:t>and biobehavioral reviews. 26(3) 1-4.</w:t>
      </w:r>
    </w:p>
    <w:p>
      <w:pPr>
        <w:pStyle w:val="BodyText"/>
        <w:spacing w:before="202"/>
        <w:ind w:left="1542" w:right="836" w:hanging="720"/>
        <w:jc w:val="left"/>
      </w:pPr>
      <w:r>
        <w:rPr/>
        <w:t>Viera,</w:t>
      </w:r>
      <w:r>
        <w:rPr>
          <w:spacing w:val="55"/>
        </w:rPr>
        <w:t> </w:t>
      </w:r>
      <w:r>
        <w:rPr/>
        <w:t>A.</w:t>
      </w:r>
      <w:r>
        <w:rPr>
          <w:spacing w:val="55"/>
        </w:rPr>
        <w:t> </w:t>
      </w:r>
      <w:r>
        <w:rPr/>
        <w:t>(2013).</w:t>
      </w:r>
      <w:r>
        <w:rPr>
          <w:spacing w:val="53"/>
        </w:rPr>
        <w:t> </w:t>
      </w:r>
      <w:r>
        <w:rPr/>
        <w:t>Corporate</w:t>
      </w:r>
      <w:r>
        <w:rPr>
          <w:spacing w:val="53"/>
        </w:rPr>
        <w:t> </w:t>
      </w:r>
      <w:r>
        <w:rPr/>
        <w:t>governance</w:t>
      </w:r>
      <w:r>
        <w:rPr>
          <w:spacing w:val="55"/>
        </w:rPr>
        <w:t> </w:t>
      </w:r>
      <w:r>
        <w:rPr/>
        <w:t>and</w:t>
      </w:r>
      <w:r>
        <w:rPr>
          <w:spacing w:val="56"/>
        </w:rPr>
        <w:t> </w:t>
      </w:r>
      <w:r>
        <w:rPr/>
        <w:t>tax.</w:t>
      </w:r>
      <w:r>
        <w:rPr>
          <w:spacing w:val="53"/>
        </w:rPr>
        <w:t> </w:t>
      </w:r>
      <w:r>
        <w:rPr/>
        <w:t>Dissertation,</w:t>
      </w:r>
      <w:r>
        <w:rPr>
          <w:spacing w:val="54"/>
        </w:rPr>
        <w:t> </w:t>
      </w:r>
      <w:r>
        <w:rPr/>
        <w:t>School</w:t>
      </w:r>
      <w:r>
        <w:rPr>
          <w:spacing w:val="59"/>
        </w:rPr>
        <w:t> </w:t>
      </w:r>
      <w:r>
        <w:rPr/>
        <w:t>of</w:t>
      </w:r>
      <w:r>
        <w:rPr>
          <w:spacing w:val="53"/>
        </w:rPr>
        <w:t> </w:t>
      </w:r>
      <w:r>
        <w:rPr/>
        <w:t>Economics</w:t>
      </w:r>
      <w:r>
        <w:rPr>
          <w:spacing w:val="55"/>
        </w:rPr>
        <w:t> </w:t>
      </w:r>
      <w:r>
        <w:rPr/>
        <w:t>and</w:t>
      </w:r>
      <w:r>
        <w:rPr>
          <w:spacing w:val="-57"/>
        </w:rPr>
        <w:t> </w:t>
      </w:r>
      <w:r>
        <w:rPr/>
        <w:t>Management:</w:t>
      </w:r>
      <w:r>
        <w:rPr>
          <w:spacing w:val="-1"/>
        </w:rPr>
        <w:t> </w:t>
      </w:r>
      <w:r>
        <w:rPr/>
        <w:t>University of Porto.</w:t>
      </w:r>
    </w:p>
    <w:p>
      <w:pPr>
        <w:pStyle w:val="BodyText"/>
        <w:spacing w:line="470" w:lineRule="atLeast" w:before="6"/>
        <w:ind w:right="826"/>
        <w:jc w:val="left"/>
      </w:pPr>
      <w:r>
        <w:rPr/>
        <w:t>Wang, X. (2010). Tax avoidance, corporate transparency, and firm value. Working Paper.</w:t>
      </w:r>
      <w:r>
        <w:rPr>
          <w:spacing w:val="1"/>
        </w:rPr>
        <w:t> </w:t>
      </w:r>
      <w:r>
        <w:rPr/>
        <w:t>Watts,</w:t>
      </w:r>
      <w:r>
        <w:rPr>
          <w:spacing w:val="14"/>
        </w:rPr>
        <w:t> </w:t>
      </w:r>
      <w:r>
        <w:rPr/>
        <w:t>R.,</w:t>
      </w:r>
      <w:r>
        <w:rPr>
          <w:spacing w:val="15"/>
        </w:rPr>
        <w:t> </w:t>
      </w:r>
      <w:r>
        <w:rPr/>
        <w:t>&amp;</w:t>
      </w:r>
      <w:r>
        <w:rPr>
          <w:spacing w:val="16"/>
        </w:rPr>
        <w:t> </w:t>
      </w:r>
      <w:r>
        <w:rPr/>
        <w:t>Zimmerman,</w:t>
      </w:r>
      <w:r>
        <w:rPr>
          <w:spacing w:val="15"/>
        </w:rPr>
        <w:t> </w:t>
      </w:r>
      <w:r>
        <w:rPr/>
        <w:t>J.</w:t>
      </w:r>
      <w:r>
        <w:rPr>
          <w:spacing w:val="15"/>
        </w:rPr>
        <w:t> </w:t>
      </w:r>
      <w:r>
        <w:rPr/>
        <w:t>(1986).</w:t>
      </w:r>
      <w:r>
        <w:rPr>
          <w:spacing w:val="14"/>
        </w:rPr>
        <w:t> </w:t>
      </w:r>
      <w:r>
        <w:rPr/>
        <w:t>Towards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positive</w:t>
      </w:r>
      <w:r>
        <w:rPr>
          <w:spacing w:val="14"/>
        </w:rPr>
        <w:t> </w:t>
      </w:r>
      <w:r>
        <w:rPr/>
        <w:t>theory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accounting,</w:t>
      </w:r>
      <w:r>
        <w:rPr>
          <w:spacing w:val="15"/>
        </w:rPr>
        <w:t> </w:t>
      </w:r>
      <w:r>
        <w:rPr/>
        <w:t>Prentice-Hall,</w:t>
      </w:r>
    </w:p>
    <w:p>
      <w:pPr>
        <w:pStyle w:val="BodyText"/>
        <w:spacing w:before="5"/>
        <w:ind w:left="1542"/>
        <w:jc w:val="left"/>
      </w:pPr>
      <w:r>
        <w:rPr/>
        <w:t>New</w:t>
      </w:r>
      <w:r>
        <w:rPr>
          <w:spacing w:val="-2"/>
        </w:rPr>
        <w:t> </w:t>
      </w:r>
      <w:r>
        <w:rPr/>
        <w:t>Jersey.</w:t>
      </w:r>
    </w:p>
    <w:p>
      <w:pPr>
        <w:spacing w:before="201"/>
        <w:ind w:left="822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54085632">
            <wp:simplePos x="0" y="0"/>
            <wp:positionH relativeFrom="page">
              <wp:posOffset>1261605</wp:posOffset>
            </wp:positionH>
            <wp:positionV relativeFrom="paragraph">
              <wp:posOffset>169711</wp:posOffset>
            </wp:positionV>
            <wp:extent cx="5133225" cy="5265293"/>
            <wp:effectExtent l="0" t="0" r="0" b="0"/>
            <wp:wrapNone/>
            <wp:docPr id="30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Weisbach,</w:t>
      </w:r>
      <w:r>
        <w:rPr>
          <w:spacing w:val="-1"/>
          <w:sz w:val="24"/>
        </w:rPr>
        <w:t> </w:t>
      </w:r>
      <w:r>
        <w:rPr>
          <w:sz w:val="24"/>
        </w:rPr>
        <w:t>D. (2002). Ten</w:t>
      </w:r>
      <w:r>
        <w:rPr>
          <w:spacing w:val="-1"/>
          <w:sz w:val="24"/>
        </w:rPr>
        <w:t> </w:t>
      </w:r>
      <w:r>
        <w:rPr>
          <w:sz w:val="24"/>
        </w:rPr>
        <w:t>Truths</w:t>
      </w:r>
      <w:r>
        <w:rPr>
          <w:spacing w:val="-1"/>
          <w:sz w:val="24"/>
        </w:rPr>
        <w:t> </w:t>
      </w:r>
      <w:r>
        <w:rPr>
          <w:sz w:val="24"/>
        </w:rPr>
        <w:t>about Tax</w:t>
      </w:r>
      <w:r>
        <w:rPr>
          <w:spacing w:val="-1"/>
          <w:sz w:val="24"/>
        </w:rPr>
        <w:t> </w:t>
      </w:r>
      <w:r>
        <w:rPr>
          <w:sz w:val="24"/>
        </w:rPr>
        <w:t>Shelters. </w:t>
      </w:r>
      <w:r>
        <w:rPr>
          <w:i/>
          <w:sz w:val="24"/>
        </w:rPr>
        <w:t>Tax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 </w:t>
      </w:r>
      <w:r>
        <w:rPr>
          <w:sz w:val="24"/>
        </w:rPr>
        <w:t>201.</w:t>
      </w:r>
    </w:p>
    <w:p>
      <w:pPr>
        <w:spacing w:before="200"/>
        <w:ind w:left="1542" w:right="826" w:hanging="720"/>
        <w:jc w:val="left"/>
        <w:rPr>
          <w:sz w:val="24"/>
        </w:rPr>
      </w:pPr>
      <w:r>
        <w:rPr>
          <w:sz w:val="24"/>
        </w:rPr>
        <w:t>Wells,</w:t>
      </w:r>
      <w:r>
        <w:rPr>
          <w:spacing w:val="8"/>
          <w:sz w:val="24"/>
        </w:rPr>
        <w:t> </w:t>
      </w:r>
      <w:r>
        <w:rPr>
          <w:sz w:val="24"/>
        </w:rPr>
        <w:t>P.</w:t>
      </w:r>
      <w:r>
        <w:rPr>
          <w:spacing w:val="9"/>
          <w:sz w:val="24"/>
        </w:rPr>
        <w:t> </w:t>
      </w:r>
      <w:r>
        <w:rPr>
          <w:sz w:val="24"/>
        </w:rPr>
        <w:t>(2010).</w:t>
      </w:r>
      <w:r>
        <w:rPr>
          <w:spacing w:val="10"/>
          <w:sz w:val="24"/>
        </w:rPr>
        <w:t> </w:t>
      </w:r>
      <w:r>
        <w:rPr>
          <w:sz w:val="24"/>
        </w:rPr>
        <w:t>Earnings</w:t>
      </w:r>
      <w:r>
        <w:rPr>
          <w:spacing w:val="9"/>
          <w:sz w:val="24"/>
        </w:rPr>
        <w:t> </w:t>
      </w:r>
      <w:r>
        <w:rPr>
          <w:sz w:val="24"/>
        </w:rPr>
        <w:t>management</w:t>
      </w:r>
      <w:r>
        <w:rPr>
          <w:spacing w:val="9"/>
          <w:sz w:val="24"/>
        </w:rPr>
        <w:t> </w:t>
      </w:r>
      <w:r>
        <w:rPr>
          <w:sz w:val="24"/>
        </w:rPr>
        <w:t>surrounding</w:t>
      </w:r>
      <w:r>
        <w:rPr>
          <w:spacing w:val="9"/>
          <w:sz w:val="24"/>
        </w:rPr>
        <w:t> </w:t>
      </w:r>
      <w:r>
        <w:rPr>
          <w:sz w:val="24"/>
        </w:rPr>
        <w:t>CEO</w:t>
      </w:r>
      <w:r>
        <w:rPr>
          <w:spacing w:val="8"/>
          <w:sz w:val="24"/>
        </w:rPr>
        <w:t> </w:t>
      </w:r>
      <w:r>
        <w:rPr>
          <w:sz w:val="24"/>
        </w:rPr>
        <w:t>changes.</w:t>
      </w:r>
      <w:r>
        <w:rPr>
          <w:spacing w:val="11"/>
          <w:sz w:val="24"/>
        </w:rPr>
        <w:t> </w:t>
      </w:r>
      <w:r>
        <w:rPr>
          <w:i/>
          <w:sz w:val="24"/>
        </w:rPr>
        <w:t>Accounting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Finance,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</w:t>
      </w:r>
      <w:r>
        <w:rPr>
          <w:sz w:val="24"/>
        </w:rPr>
        <w:t>(1).</w:t>
      </w:r>
    </w:p>
    <w:p>
      <w:pPr>
        <w:pStyle w:val="BodyText"/>
        <w:spacing w:before="199"/>
        <w:ind w:left="1542" w:right="834" w:hanging="720"/>
      </w:pPr>
      <w:r>
        <w:rPr/>
        <w:t>Werder,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Talaulicar,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Kolat,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German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governance code: an empirical analysis of the compliance statements by German listed</w:t>
      </w:r>
      <w:r>
        <w:rPr>
          <w:spacing w:val="-57"/>
        </w:rPr>
        <w:t> </w:t>
      </w:r>
      <w:r>
        <w:rPr/>
        <w:t>companies.</w:t>
      </w:r>
      <w:r>
        <w:rPr>
          <w:spacing w:val="-1"/>
        </w:rPr>
        <w:t> </w:t>
      </w:r>
      <w:r>
        <w:rPr/>
        <w:t>corporate governance:</w:t>
      </w:r>
      <w:r>
        <w:rPr>
          <w:spacing w:val="2"/>
        </w:rPr>
        <w:t> </w:t>
      </w:r>
      <w:r>
        <w:rPr>
          <w:i/>
        </w:rPr>
        <w:t>An International Review.</w:t>
      </w:r>
      <w:r>
        <w:rPr>
          <w:i/>
          <w:spacing w:val="-1"/>
        </w:rPr>
        <w:t> </w:t>
      </w:r>
      <w:r>
        <w:rPr>
          <w:i/>
        </w:rPr>
        <w:t>13</w:t>
      </w:r>
      <w:r>
        <w:rPr/>
        <w:t>(3)</w:t>
      </w:r>
      <w:r>
        <w:rPr>
          <w:spacing w:val="-2"/>
        </w:rPr>
        <w:t> </w:t>
      </w:r>
      <w:r>
        <w:rPr/>
        <w:t>178-187.</w:t>
      </w:r>
    </w:p>
    <w:p>
      <w:pPr>
        <w:spacing w:before="202"/>
        <w:ind w:left="1542" w:right="838" w:hanging="720"/>
        <w:jc w:val="both"/>
        <w:rPr>
          <w:sz w:val="24"/>
        </w:rPr>
      </w:pPr>
      <w:r>
        <w:rPr>
          <w:sz w:val="24"/>
        </w:rPr>
        <w:t>Wilkie, P. (1988). Corporate average effective tax rates and inferences about relative tax</w:t>
      </w:r>
      <w:r>
        <w:rPr>
          <w:spacing w:val="1"/>
          <w:sz w:val="24"/>
        </w:rPr>
        <w:t> </w:t>
      </w:r>
      <w:r>
        <w:rPr>
          <w:sz w:val="24"/>
        </w:rPr>
        <w:t>preferences.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Taxation Association,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(1), 75-88.</w:t>
      </w:r>
    </w:p>
    <w:p>
      <w:pPr>
        <w:pStyle w:val="BodyText"/>
        <w:spacing w:before="199"/>
        <w:ind w:left="1542" w:right="829" w:hanging="720"/>
      </w:pPr>
      <w:r>
        <w:rPr/>
        <w:t>Willekens, M., Bauwhede, H.V., Gaeremynck, A. and Van de Gucht, L. (2005), Internal and</w:t>
      </w:r>
      <w:r>
        <w:rPr>
          <w:spacing w:val="1"/>
        </w:rPr>
        <w:t> </w:t>
      </w:r>
      <w:r>
        <w:rPr/>
        <w:t>External Governance and the Voluntary Disclosure of Financial and Non-Financial</w:t>
      </w:r>
      <w:r>
        <w:rPr>
          <w:spacing w:val="1"/>
        </w:rPr>
        <w:t> </w:t>
      </w:r>
      <w:r>
        <w:rPr/>
        <w:t>Performance,</w:t>
      </w:r>
      <w:r>
        <w:rPr>
          <w:spacing w:val="-1"/>
        </w:rPr>
        <w:t> </w:t>
      </w:r>
      <w:r>
        <w:rPr/>
        <w:t>Social Science</w:t>
      </w:r>
      <w:r>
        <w:rPr>
          <w:spacing w:val="-1"/>
        </w:rPr>
        <w:t> </w:t>
      </w:r>
      <w:r>
        <w:rPr/>
        <w:t>Research Network, Toronto</w:t>
      </w:r>
    </w:p>
    <w:p>
      <w:pPr>
        <w:spacing w:before="200"/>
        <w:ind w:left="1542" w:right="832" w:hanging="720"/>
        <w:jc w:val="both"/>
        <w:rPr>
          <w:sz w:val="24"/>
        </w:rPr>
      </w:pPr>
      <w:r>
        <w:rPr>
          <w:sz w:val="24"/>
        </w:rPr>
        <w:t>Wilson, R. (2009). An examination of corporate tax shelter participants.</w:t>
      </w:r>
      <w:r>
        <w:rPr>
          <w:spacing w:val="1"/>
          <w:sz w:val="24"/>
        </w:rPr>
        <w:t> </w:t>
      </w:r>
      <w:r>
        <w:rPr>
          <w:i/>
          <w:sz w:val="24"/>
        </w:rPr>
        <w:t>The Accounting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84</w:t>
      </w:r>
      <w:r>
        <w:rPr>
          <w:sz w:val="24"/>
        </w:rPr>
        <w:t>(3), 969-999.</w:t>
      </w:r>
    </w:p>
    <w:p>
      <w:pPr>
        <w:pStyle w:val="BodyText"/>
        <w:spacing w:before="202"/>
        <w:ind w:left="1542" w:right="829" w:hanging="720"/>
      </w:pPr>
      <w:r>
        <w:rPr/>
        <w:t>Wrightsman, D. (1978). Tax shield valuation and the capital structure decision,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Finance</w:t>
      </w:r>
      <w:r>
        <w:rPr>
          <w:i/>
          <w:spacing w:val="-2"/>
        </w:rPr>
        <w:t> </w:t>
      </w:r>
      <w:r>
        <w:rPr/>
        <w:t>33 (2): 650-656.</w:t>
      </w:r>
    </w:p>
    <w:p>
      <w:pPr>
        <w:pStyle w:val="BodyText"/>
        <w:spacing w:before="199"/>
        <w:ind w:left="1542" w:right="829" w:hanging="720"/>
      </w:pPr>
      <w:r>
        <w:rPr/>
        <w:t>Yeung, C. T. (2010). Effects of corporate governance on tax aggressiveness, An Honours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Hong</w:t>
      </w:r>
      <w:r>
        <w:rPr>
          <w:spacing w:val="1"/>
        </w:rPr>
        <w:t> </w:t>
      </w:r>
      <w:r>
        <w:rPr/>
        <w:t>Kong</w:t>
      </w:r>
      <w:r>
        <w:rPr>
          <w:spacing w:val="1"/>
        </w:rPr>
        <w:t> </w:t>
      </w:r>
      <w:r>
        <w:rPr/>
        <w:t>Baptist</w:t>
      </w:r>
      <w:r>
        <w:rPr>
          <w:spacing w:val="1"/>
        </w:rPr>
        <w:t> </w:t>
      </w:r>
      <w:r>
        <w:rPr/>
        <w:t>University.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47">
        <w:r>
          <w:rPr/>
          <w:t>http://libproject.hkbu.edu.hk/</w:t>
        </w:r>
        <w:r>
          <w:rPr>
            <w:spacing w:val="-1"/>
          </w:rPr>
          <w:t> </w:t>
        </w:r>
      </w:hyperlink>
      <w:r>
        <w:rPr/>
        <w:t>trsimage/hp/07014341. pdf</w:t>
      </w:r>
    </w:p>
    <w:p>
      <w:pPr>
        <w:spacing w:before="199"/>
        <w:ind w:left="1542" w:right="832" w:hanging="720"/>
        <w:jc w:val="both"/>
        <w:rPr>
          <w:sz w:val="24"/>
        </w:rPr>
      </w:pPr>
      <w:r>
        <w:rPr>
          <w:sz w:val="24"/>
        </w:rPr>
        <w:t>Yim, S. (2013). The acquisitiveness of youth: CEO age and acquisition behavior.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Financial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1"/>
          <w:sz w:val="24"/>
        </w:rPr>
        <w:t> </w:t>
      </w:r>
      <w:r>
        <w:rPr>
          <w:sz w:val="24"/>
        </w:rPr>
        <w:t>108(1), 250-273.</w:t>
      </w:r>
    </w:p>
    <w:p>
      <w:pPr>
        <w:spacing w:before="199"/>
        <w:ind w:left="1542" w:right="828" w:hanging="720"/>
        <w:jc w:val="both"/>
        <w:rPr>
          <w:sz w:val="24"/>
        </w:rPr>
      </w:pPr>
      <w:r>
        <w:rPr>
          <w:sz w:val="24"/>
        </w:rPr>
        <w:t>Ying, T. (2015). </w:t>
      </w:r>
      <w:r>
        <w:rPr>
          <w:i/>
          <w:sz w:val="24"/>
        </w:rPr>
        <w:t>Corporate governance and tax strategies in Chinese listed firms. </w:t>
      </w:r>
      <w:r>
        <w:rPr>
          <w:sz w:val="24"/>
        </w:rPr>
        <w:t>(Master’s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Norttingham,</w:t>
      </w:r>
      <w:r>
        <w:rPr>
          <w:spacing w:val="1"/>
          <w:sz w:val="24"/>
        </w:rPr>
        <w:t> </w:t>
      </w:r>
      <w:r>
        <w:rPr>
          <w:sz w:val="24"/>
        </w:rPr>
        <w:t>Norttingham).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8">
        <w:r>
          <w:rPr>
            <w:sz w:val="24"/>
          </w:rPr>
          <w:t>http://eprints.nottingham.ac.uk/28838/.</w:t>
        </w:r>
      </w:hyperlink>
    </w:p>
    <w:p>
      <w:pPr>
        <w:spacing w:before="203"/>
        <w:ind w:left="1542" w:right="831" w:hanging="720"/>
        <w:jc w:val="both"/>
        <w:rPr>
          <w:sz w:val="24"/>
        </w:rPr>
      </w:pPr>
      <w:r>
        <w:rPr>
          <w:sz w:val="24"/>
        </w:rPr>
        <w:t>Zenzem, A., &amp; Ftouhi, K. (2013).</w:t>
      </w:r>
      <w:r>
        <w:rPr>
          <w:spacing w:val="1"/>
          <w:sz w:val="24"/>
        </w:rPr>
        <w:t> </w:t>
      </w:r>
      <w:r>
        <w:rPr>
          <w:sz w:val="24"/>
        </w:rPr>
        <w:t>The effects of board of directors’ characteristics on tax</w:t>
      </w:r>
      <w:r>
        <w:rPr>
          <w:spacing w:val="1"/>
          <w:sz w:val="24"/>
        </w:rPr>
        <w:t> </w:t>
      </w:r>
      <w:r>
        <w:rPr>
          <w:sz w:val="24"/>
        </w:rPr>
        <w:t>aggressiveness.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Finance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Accounting,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(4), 140-147.</w:t>
      </w:r>
    </w:p>
    <w:p>
      <w:pPr>
        <w:pStyle w:val="BodyText"/>
        <w:spacing w:before="199"/>
        <w:ind w:left="1542" w:right="834" w:hanging="720"/>
      </w:pPr>
      <w:r>
        <w:rPr/>
        <w:t>Zhang, B, Li, Y. and Zhang, L. (2011). An empirical research on the voluntary disclosure of</w:t>
      </w:r>
      <w:r>
        <w:rPr>
          <w:spacing w:val="1"/>
        </w:rPr>
        <w:t> </w:t>
      </w:r>
      <w:r>
        <w:rPr/>
        <w:t>non-financial</w:t>
      </w:r>
      <w:r>
        <w:rPr>
          <w:spacing w:val="-1"/>
        </w:rPr>
        <w:t> </w:t>
      </w:r>
      <w:r>
        <w:rPr/>
        <w:t>information. Retrieved from</w:t>
      </w:r>
      <w:r>
        <w:rPr>
          <w:spacing w:val="2"/>
        </w:rPr>
        <w:t> </w:t>
      </w:r>
      <w:hyperlink r:id="rId17">
        <w:r>
          <w:rPr>
            <w:color w:val="0000FF"/>
            <w:u w:val="single" w:color="0000FF"/>
          </w:rPr>
          <w:t>www.ssrn.com</w:t>
        </w:r>
      </w:hyperlink>
    </w:p>
    <w:p>
      <w:pPr>
        <w:spacing w:before="199"/>
        <w:ind w:left="1542" w:right="830" w:hanging="720"/>
        <w:jc w:val="both"/>
        <w:rPr>
          <w:sz w:val="24"/>
        </w:rPr>
      </w:pPr>
      <w:r>
        <w:rPr>
          <w:sz w:val="24"/>
        </w:rPr>
        <w:t>Zimmerman, J. (1983). Taxes and firm size. </w:t>
      </w:r>
      <w:r>
        <w:rPr>
          <w:i/>
          <w:sz w:val="24"/>
        </w:rPr>
        <w:t>Journal of Accounting and Economics</w:t>
      </w:r>
      <w:r>
        <w:rPr>
          <w:sz w:val="24"/>
        </w:rPr>
        <w:t>, 5(2), 119-</w:t>
      </w:r>
      <w:r>
        <w:rPr>
          <w:spacing w:val="-57"/>
          <w:sz w:val="24"/>
        </w:rPr>
        <w:t> </w:t>
      </w:r>
      <w:r>
        <w:rPr>
          <w:sz w:val="24"/>
        </w:rPr>
        <w:t>149.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1402" w:top="1120" w:bottom="1680" w:left="880" w:right="300"/>
        </w:sectPr>
      </w:pPr>
    </w:p>
    <w:p>
      <w:pPr>
        <w:pStyle w:val="Heading1"/>
        <w:spacing w:line="535" w:lineRule="auto"/>
        <w:ind w:left="4317" w:right="4328"/>
        <w:jc w:val="center"/>
      </w:pPr>
      <w:r>
        <w:rPr/>
        <w:pict>
          <v:shape style="position:absolute;margin-left:99.338997pt;margin-top:558.219971pt;width:57.15pt;height:57.2pt;mso-position-horizontal-relative:page;mso-position-vertical-relative:page;z-index:-4923033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86.664001pt;margin-top:283.970001pt;width:100.82pt;height:.71997pt;mso-position-horizontal-relative:page;mso-position-vertical-relative:page;z-index:-4922931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06.769989pt;width:100.82pt;height:.72pt;mso-position-horizontal-relative:page;mso-position-vertical-relative:page;z-index:-4922880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56.069977pt;width:100.82pt;height:.72pt;mso-position-horizontal-relative:page;mso-position-vertical-relative:page;z-index:-4922828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78.749969pt;width:100.82pt;height:.72pt;mso-position-horizontal-relative:page;mso-position-vertical-relative:page;z-index:-4922777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01.549988pt;width:100.82pt;height:.72pt;mso-position-horizontal-relative:page;mso-position-vertical-relative:page;z-index:-4922726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24.229980pt;width:100.82pt;height:.72003pt;mso-position-horizontal-relative:page;mso-position-vertical-relative:page;z-index:-4922675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93.019958pt;width:100.82pt;height:.72003pt;mso-position-horizontal-relative:page;mso-position-vertical-relative:page;z-index:-4922624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615.819946pt;width:100.82pt;height:.72003pt;mso-position-horizontal-relative:page;mso-position-vertical-relative:page;z-index:-4922572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650.019958pt;width:100.82pt;height:.72003pt;mso-position-horizontal-relative:page;mso-position-vertical-relative:page;z-index:-49225216" filled="true" fillcolor="#000000" stroked="false">
            <v:fill type="solid"/>
            <w10:wrap type="none"/>
          </v:rect>
        </w:pict>
      </w:r>
      <w:bookmarkStart w:name="_bookmark109" w:id="177"/>
      <w:bookmarkEnd w:id="177"/>
      <w:r>
        <w:rPr>
          <w:b w:val="0"/>
        </w:rPr>
      </w:r>
      <w:r>
        <w:rPr/>
        <w:t>APPENDICES</w:t>
      </w:r>
      <w:r>
        <w:rPr>
          <w:spacing w:val="-57"/>
        </w:rPr>
        <w:t> </w:t>
      </w:r>
      <w:bookmarkStart w:name="_bookmark110" w:id="178"/>
      <w:bookmarkEnd w:id="178"/>
      <w:r>
        <w:rPr/>
        <w:t>A</w:t>
      </w:r>
      <w:r>
        <w:rPr/>
        <w:t>PPENDIX</w:t>
      </w:r>
      <w:r>
        <w:rPr>
          <w:spacing w:val="-2"/>
        </w:rPr>
        <w:t> </w:t>
      </w:r>
      <w:r>
        <w:rPr/>
        <w:t>1</w:t>
      </w:r>
    </w:p>
    <w:p>
      <w:pPr>
        <w:spacing w:line="274" w:lineRule="exact" w:before="0"/>
        <w:ind w:left="2170" w:right="2174" w:firstLine="0"/>
        <w:jc w:val="center"/>
        <w:rPr>
          <w:b/>
          <w:sz w:val="24"/>
        </w:rPr>
      </w:pPr>
      <w:r>
        <w:rPr/>
        <w:pict>
          <v:group style="position:absolute;margin-left:113.07pt;margin-top:78.470337pt;width:390.5pt;height:393.9pt;mso-position-horizontal-relative:page;mso-position-vertical-relative:paragraph;z-index:-49229824" coordorigin="2261,1569" coordsize="7810,7878">
            <v:shape style="position:absolute;left:2261;top:7418;width:2154;height:2029" coordorigin="2261,7418" coordsize="2154,2029" path="m3691,9137l3689,9096,3682,9052,3670,9008,3654,8963,3632,8917,3605,8869,3574,8822,3538,8774,3496,8726,3450,8677,2792,8019,2787,8015,2777,8012,2772,8012,2766,8013,2761,8015,2747,8022,2732,8034,2715,8051,2703,8066,2696,8080,2694,8085,2693,8091,2693,8096,2696,8106,2700,8111,3359,8770,3393,8805,3424,8840,3450,8874,3474,8907,3493,8939,3509,8971,3521,9001,3531,9030,3536,9059,3538,9086,3537,9113,3532,9138,3524,9163,3512,9186,3497,9208,3478,9228,3458,9246,3437,9260,3414,9271,3389,9279,3364,9284,3337,9285,3309,9283,3280,9277,3250,9269,3219,9256,3187,9240,3154,9220,3120,9196,3085,9168,3049,9137,3012,9102,2360,8450,2356,8446,2346,8443,2341,8443,2336,8443,2330,8445,2316,8453,2301,8465,2284,8482,2272,8497,2265,8511,2263,8516,2261,8523,2262,8527,2265,8537,2269,8542,2938,9211,2987,9257,3035,9299,3083,9335,3130,9366,3176,9392,3221,9413,3265,9429,3307,9439,3348,9446,3388,9447,3427,9443,3464,9435,3500,9422,3533,9404,3565,9382,3594,9356,3623,9323,3647,9289,3666,9254,3679,9216,3687,9178,3691,9137xm4415,8361l4408,8307,4394,8251,4374,8195,4347,8136,4315,8077,4276,8015,4257,7989,4257,8339,4256,8377,4250,8414,4236,8450,4216,8483,4189,8514,4158,8541,4125,8562,4091,8576,4056,8583,4019,8585,3981,8582,3942,8573,3901,8558,3860,8540,3818,8516,3775,8488,3731,8456,3686,8419,3640,8380,3594,8338,3547,8292,3505,8249,3466,8206,3430,8162,3395,8118,3363,8075,3337,8032,3315,7989,3296,7947,3282,7906,3273,7866,3269,7826,3269,7788,3275,7751,3288,7716,3308,7683,3335,7652,3366,7626,3398,7605,3432,7591,3468,7584,3505,7582,3544,7586,3583,7594,3623,7608,3665,7627,3707,7650,3750,7677,3794,7709,3838,7745,3883,7783,3928,7824,3974,7869,4016,7912,4055,7956,4093,8000,4128,8044,4159,8088,4187,8132,4210,8175,4228,8217,4243,8258,4253,8299,4257,8339,4257,7989,4231,7953,4180,7890,4124,7826,4061,7761,3997,7699,3934,7643,3872,7592,3859,7582,3812,7548,3753,7510,3696,7479,3641,7454,3587,7436,3535,7424,3485,7418,3436,7420,3388,7427,3343,7441,3300,7462,3259,7490,3219,7525,3183,7566,3155,7609,3133,7655,3119,7703,3113,7753,3113,7805,3119,7859,3132,7914,3152,7971,3178,8029,3210,8089,3249,8149,3293,8211,3343,8274,3399,8336,3459,8399,3525,8463,3589,8520,3651,8571,3712,8616,3771,8654,3829,8686,3884,8711,3938,8730,3990,8743,4040,8748,4089,8747,4137,8740,4183,8727,4227,8706,4268,8677,4308,8642,4344,8601,4355,8585,4373,8557,4394,8511,4407,8463,4414,8413,4415,8361xe" filled="true" fillcolor="#c0c0c0" stroked="false">
              <v:path arrowok="t"/>
              <v:fill opacity="32896f" type="solid"/>
            </v:shape>
            <v:shape style="position:absolute;left:4237;top:7494;width:352;height:351" type="#_x0000_t75" stroked="false">
              <v:imagedata r:id="rId11" o:title=""/>
            </v:shape>
            <v:shape style="position:absolute;left:4030;top:1569;width:6040;height:6248" coordorigin="4031,1569" coordsize="6040,6248" path="m5174,7737l5173,7732,5170,7722,5166,7718,5162,7713,4130,6681,4125,6677,4115,6674,4110,6674,4104,6675,4099,6677,4093,6680,4085,6684,4070,6696,4053,6713,4042,6727,4034,6741,4032,6747,4031,6753,4031,6758,4034,6768,4037,6773,5074,7810,5079,7813,5088,7817,5093,7817,5099,7815,5105,7814,5119,7806,5134,7795,5151,7777,5163,7762,5170,7748,5171,7742,5174,7737xm5450,7455l5448,7450,5446,7446,5443,7441,5053,7051,5132,6972,5161,6940,5165,6934,5186,6906,5204,6872,5218,6836,5226,6800,5230,6765,5230,6726,5226,6688,5216,6649,5203,6609,5186,6569,5164,6529,5138,6488,5109,6448,5078,6411,5078,6720,5076,6743,5072,6765,5065,6787,5053,6809,5038,6830,5019,6851,4936,6934,4506,6505,4592,6419,4604,6408,4617,6397,4631,6386,4646,6376,4663,6368,4681,6362,4700,6357,4722,6355,4745,6356,4770,6361,4797,6370,4826,6382,4856,6398,4887,6419,4919,6445,4951,6475,4974,6500,4995,6524,5013,6549,5030,6574,5045,6599,5056,6624,5065,6648,5072,6672,5076,6696,5078,6720,5078,6411,5075,6407,5037,6367,5025,6355,5006,6338,4976,6312,4945,6288,4915,6267,4885,6249,4855,6233,4825,6221,4796,6210,4767,6203,4738,6197,4709,6195,4682,6195,4655,6198,4631,6202,4609,6209,4589,6217,4571,6227,4555,6236,4540,6245,4527,6253,4516,6263,4504,6273,4493,6283,4482,6294,4333,6443,4327,6450,4323,6460,4322,6470,4322,6482,4325,6495,4332,6509,4343,6524,4358,6540,5351,7533,5355,7537,5360,7538,5365,7540,5370,7540,5375,7538,5381,7537,5395,7530,5402,7525,5410,7518,5419,7509,5428,7500,5435,7492,5440,7485,5444,7478,5447,7472,5448,7465,5450,7461,5450,7455xm6146,6764l6146,6759,6143,6749,6139,6745,5206,5811,5404,5614,5406,5610,5406,5605,5404,5595,5399,5583,5393,5575,5371,5549,5360,5538,5349,5528,5323,5504,5315,5499,5302,5492,5296,5491,5292,5491,5286,5491,5283,5493,4795,5981,4793,5984,4794,5989,4793,5994,4795,5999,4802,6012,4807,6020,4814,6028,4821,6037,4830,6047,4852,6068,4861,6077,4870,6083,4878,6090,4886,6096,4898,6101,4903,6103,4908,6103,4913,6103,4916,6101,5114,5904,6047,6837,6052,6840,6061,6844,6066,6844,6072,6842,6078,6841,6092,6833,6107,6822,6125,6804,6136,6789,6143,6775,6144,6769,6146,6764xm6681,6229l6681,6224,6678,6214,6674,6210,5741,5276,5939,5079,5941,5075,5941,5070,5941,5065,5940,5060,5936,5053,5934,5048,5928,5040,5906,5014,5895,5003,5884,4993,5858,4969,5850,4964,5837,4957,5831,4956,5827,4956,5821,4956,5818,4958,5330,5446,5328,5449,5329,5454,5328,5459,5330,5464,5337,5477,5342,5485,5349,5493,5357,5502,5365,5512,5387,5533,5396,5542,5405,5548,5413,5555,5421,5561,5433,5566,5438,5568,5443,5568,5448,5568,5451,5566,5649,5369,6582,6302,6587,6305,6597,6309,6601,6309,6607,6307,6613,6306,6627,6298,6634,6293,6642,6287,6660,6269,6671,6254,6678,6240,6679,6234,6681,6229xm7391,5384l7385,5330,7371,5275,7351,5218,7324,5159,7292,5100,7253,5038,7234,5012,7234,5362,7233,5401,7227,5438,7213,5473,7193,5506,7166,5537,7135,5564,7102,5585,7068,5599,7033,5606,6996,5608,6958,5605,6919,5596,6878,5582,6837,5563,6795,5539,6752,5511,6708,5479,6663,5443,6617,5403,6571,5361,6524,5315,6482,5272,6443,5229,6406,5185,6371,5141,6340,5098,6314,5055,6291,5012,6273,4970,6259,4929,6250,4889,6245,4850,6246,4811,6252,4774,6265,4740,6285,4707,6312,4676,6343,4649,6375,4628,6409,4614,6445,4607,6482,4606,6521,4609,6560,4617,6600,4631,6641,4650,6684,4673,6727,4701,6771,4732,6815,4768,6860,4806,6905,4848,6951,4892,6993,4935,7032,4979,7069,5023,7104,5067,7136,5111,7163,5155,7186,5198,7205,5240,7220,5281,7229,5322,7234,5362,7234,5012,7208,4976,7157,4913,7100,4849,7038,4784,6974,4722,6911,4666,6849,4616,6835,4606,6789,4571,6730,4533,6673,4502,6618,4477,6564,4459,6512,4447,6461,4442,6413,4443,6365,4450,6320,4464,6277,4485,6235,4513,6196,4548,6160,4589,6131,4632,6110,4678,6096,4726,6090,4776,6090,4828,6096,4882,6109,4937,6129,4994,6155,5052,6187,5112,6226,5173,6270,5234,6320,5297,6375,5359,6436,5423,6502,5486,6566,5543,6628,5594,6689,5639,6748,5677,6806,5709,6861,5735,6915,5753,6967,5766,7017,5772,7066,5771,7114,5763,7160,5750,7204,5729,7245,5700,7285,5665,7321,5624,7331,5608,7350,5580,7371,5535,7384,5486,7391,5436,7391,5384xm8349,4452l8349,4424,8348,4413,8347,4405,8344,4395,8342,4389,8337,4377,8334,4372,8330,4366,8321,4354,8308,4340,8292,4324,8274,4307,8251,4285,8243,4280,8232,4273,8227,4271,8220,4271,8217,4272,8209,4280,8206,4293,8208,4313,8209,4328,8209,4345,8209,4363,8208,4383,8206,4404,8202,4426,8197,4448,8190,4472,8181,4495,8169,4517,8153,4539,8134,4560,8108,4582,8080,4600,8050,4612,8018,4620,7985,4624,7949,4623,7912,4617,7873,4606,7833,4591,7791,4571,7747,4546,7702,4516,7655,4482,7607,4443,7558,4399,7508,4351,7459,4300,7414,4250,7375,4201,7340,4153,7310,4107,7284,4062,7263,4019,7246,3977,7234,3937,7227,3898,7224,3862,7227,3827,7233,3796,7245,3766,7262,3739,7283,3715,7305,3695,7326,3679,7349,3666,7372,3657,7395,3651,7417,3646,7439,3643,7459,3641,7479,3641,7514,3641,7529,3642,7549,3644,7562,3643,7569,3635,7570,3631,7570,3626,7568,3617,7560,3603,7548,3587,7529,3566,7503,3540,7487,3526,7480,3521,7474,3516,7468,3512,7462,3509,7451,3504,7442,3501,7430,3498,7420,3497,7407,3496,7376,3496,7358,3497,7339,3500,7321,3504,7302,3508,7283,3514,7264,3521,7246,3529,7227,3539,7209,3549,7192,3561,7176,3574,7161,3589,7129,3625,7105,3663,7086,3705,7075,3751,7069,3799,7069,3850,7075,3902,7088,3957,7108,4015,7134,4074,7165,4134,7203,4197,7248,4260,7298,4325,7355,4391,7419,4457,7483,4519,7546,4574,7608,4623,7669,4665,7728,4702,7786,4732,7842,4756,7896,4774,7948,4786,7998,4792,8045,4791,8091,4784,8134,4772,8175,4753,8213,4728,8248,4697,8266,4677,8283,4657,8297,4636,8309,4614,8319,4592,8327,4570,8334,4549,8340,4528,8343,4507,8347,4488,8348,4470,8349,4452xm8952,3823l8945,3769,8932,3714,8911,3657,8885,3599,8852,3539,8813,3478,8794,3451,8794,3801,8794,3840,8787,3877,8774,3912,8754,3945,8727,3977,8695,4004,8663,4025,8629,4039,8593,4046,8556,4048,8518,4044,8479,4036,8439,4021,8398,4002,8356,3979,8312,3951,8268,3918,8223,3882,8177,3843,8131,3800,8084,3755,8043,3712,8004,3668,7967,3625,7932,3581,7901,3537,7874,3494,7852,3452,7833,3409,7819,3368,7810,3328,7806,3289,7807,3251,7813,3214,7826,3179,7846,3146,7873,3115,7903,3088,7936,3068,7970,3054,8006,3047,8043,3045,8081,3048,8120,3057,8161,3071,8202,3090,8244,3113,8287,3140,8331,3172,8376,3207,8421,3246,8466,3287,8511,3331,8553,3375,8593,3418,8630,3462,8665,3506,8697,3551,8724,3594,8747,3637,8766,3679,8781,3721,8790,3762,8794,3801,8794,3451,8768,3415,8717,3352,8661,3288,8599,3224,8534,3161,8471,3105,8410,3055,8396,3045,8350,3011,8291,2973,8234,2942,8178,2917,8124,2898,8072,2886,8022,2881,7973,2882,7926,2890,7880,2903,7837,2924,7796,2953,7757,2987,7721,3028,7692,3072,7671,3117,7657,3165,7650,3216,7650,3268,7656,3321,7670,3376,7690,3433,7716,3491,7748,3551,7786,3612,7831,3674,7881,3736,7936,3799,7997,3862,8062,3925,8126,3982,8188,4033,8249,4078,8308,4117,8366,4149,8422,4174,8476,4193,8527,4205,8578,4211,8627,4210,8674,4203,8720,4189,8764,4168,8806,4140,8846,4104,8882,4063,8892,4048,8910,4020,8931,3974,8945,3926,8952,3875,8952,3823xm9374,3531l9373,3526,9371,3521,9367,3516,8977,3126,9056,3048,9086,3015,9090,3010,9110,2981,9129,2947,9142,2912,9151,2876,9155,2840,9155,2802,9150,2763,9141,2724,9128,2685,9111,2645,9089,2604,9063,2564,9033,2523,9002,2486,9002,2795,9001,2818,8997,2840,8989,2862,8978,2884,8963,2905,8944,2926,8861,3010,8431,2580,8517,2495,8528,2483,8542,2472,8556,2461,8571,2452,8587,2443,8605,2437,8625,2433,8646,2431,8670,2432,8695,2436,8722,2445,8751,2457,8781,2474,8812,2495,8843,2520,8876,2551,8899,2575,8919,2599,8938,2624,8955,2649,8969,2674,8981,2699,8990,2724,8997,2748,9001,2772,9002,2795,9002,2486,8999,2483,8961,2442,8949,2431,8931,2413,8900,2387,8870,2363,8840,2342,8809,2324,8779,2309,8750,2296,8720,2286,8691,2278,8662,2273,8634,2270,8606,2270,8580,2273,8555,2278,8533,2284,8513,2292,8496,2302,8479,2311,8465,2320,8452,2329,8441,2338,8429,2348,8418,2359,8406,2370,8258,2518,8252,2526,8248,2535,8246,2546,8247,2557,8250,2570,8257,2584,8268,2600,8282,2616,9275,3608,9280,3612,9285,3614,9290,3616,9294,3616,9300,3614,9306,3613,9312,3609,9320,3605,9335,3594,9353,3576,9360,3567,9365,3561,9369,3553,9371,3547,9373,3541,9374,3536,9374,3531xm10071,2840l10070,2835,10067,2825,10063,2820,9664,2421,9590,2276,9368,1839,9256,1621,9250,1609,9239,1591,9235,1584,9228,1576,9222,1572,9208,1569,9200,1572,9191,1578,9185,1583,9169,1598,9150,1616,9133,1638,9129,1644,9128,1649,9127,1656,9127,1661,9129,1667,9131,1673,9134,1679,9138,1685,9174,1753,9351,2092,9401,2180,9468,2300,9486,2330,9485,2331,9242,2196,9175,2160,8838,1984,8831,1979,8825,1978,8819,1975,8814,1974,8802,1976,8796,1978,8789,1982,8782,1987,8765,2001,8742,2024,8734,2034,8722,2049,8719,2056,8722,2070,8726,2076,8741,2088,8750,2093,8771,2105,8917,2180,9354,2402,9572,2513,9971,2913,9976,2916,9981,2918,9985,2920,9990,2920,9996,2918,10002,2917,10016,2909,10030,2898,10048,2880,10060,2865,10067,2851,10069,2845,10071,2840xe" filled="true" fillcolor="#c0c0c0" stroked="false">
              <v:path arrowok="t"/>
              <v:fill opacity="32896f" type="solid"/>
            </v:shape>
            <w10:wrap type="none"/>
          </v:group>
        </w:pict>
      </w:r>
      <w:bookmarkStart w:name="_bookmark111" w:id="179"/>
      <w:bookmarkEnd w:id="179"/>
      <w:r>
        <w:rPr/>
      </w:r>
      <w:r>
        <w:rPr>
          <w:b/>
          <w:sz w:val="24"/>
        </w:rPr>
        <w:t>Result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Output</w: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0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206"/>
        <w:gridCol w:w="1246"/>
        <w:gridCol w:w="1136"/>
        <w:gridCol w:w="929"/>
      </w:tblGrid>
      <w:tr>
        <w:trPr>
          <w:trHeight w:val="226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06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TAG</w:t>
            </w:r>
          </w:p>
        </w:tc>
      </w:tr>
      <w:tr>
        <w:trPr>
          <w:trHeight w:val="229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Method: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Panel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EGLS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(Cross-section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weights)</w:t>
            </w:r>
          </w:p>
        </w:tc>
      </w:tr>
      <w:tr>
        <w:trPr>
          <w:trHeight w:val="229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Date: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11/02/20</w:t>
            </w:r>
            <w:r>
              <w:rPr>
                <w:rFonts w:ascii="Arial MT"/>
                <w:spacing w:val="52"/>
                <w:sz w:val="20"/>
              </w:rPr>
              <w:t> </w:t>
            </w:r>
            <w:r>
              <w:rPr>
                <w:rFonts w:ascii="Arial MT"/>
                <w:sz w:val="20"/>
              </w:rPr>
              <w:t>Time: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13:06</w:t>
            </w:r>
          </w:p>
        </w:tc>
      </w:tr>
      <w:tr>
        <w:trPr>
          <w:trHeight w:val="230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Sample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(adjusted):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2005</w:t>
            </w:r>
            <w:r>
              <w:rPr>
                <w:rFonts w:ascii="Arial MT"/>
                <w:spacing w:val="53"/>
                <w:sz w:val="20"/>
              </w:rPr>
              <w:t> </w:t>
            </w:r>
            <w:r>
              <w:rPr>
                <w:rFonts w:ascii="Arial MT"/>
                <w:sz w:val="20"/>
              </w:rPr>
              <w:t>2019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Periods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included: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Cross-sections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included: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80</w:t>
            </w:r>
          </w:p>
        </w:tc>
      </w:tr>
      <w:tr>
        <w:trPr>
          <w:trHeight w:val="229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panel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(unbalanced)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observations: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1200</w:t>
            </w:r>
          </w:p>
        </w:tc>
      </w:tr>
      <w:tr>
        <w:trPr>
          <w:trHeight w:val="229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Iterate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coefficients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after one-step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weighting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matrix</w:t>
            </w:r>
          </w:p>
        </w:tc>
      </w:tr>
      <w:tr>
        <w:trPr>
          <w:trHeight w:val="230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11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White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cross-section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standard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errors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&amp;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covariance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(d.f.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corrected)</w:t>
            </w:r>
          </w:p>
        </w:tc>
      </w:tr>
      <w:tr>
        <w:trPr>
          <w:trHeight w:val="230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Convergence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achieved after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16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coef iterations</w:t>
            </w:r>
          </w:p>
        </w:tc>
      </w:tr>
      <w:tr>
        <w:trPr>
          <w:trHeight w:val="329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WARNING: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estimated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coefficient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covariance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matrix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is of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reduced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rank</w:t>
            </w:r>
          </w:p>
        </w:tc>
      </w:tr>
      <w:tr>
        <w:trPr>
          <w:trHeight w:val="410" w:hRule="atLeast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78"/>
              <w:ind w:left="638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Variable</w:t>
            </w:r>
          </w:p>
        </w:tc>
        <w:tc>
          <w:tcPr>
            <w:tcW w:w="120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8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Coefficient</w:t>
            </w:r>
          </w:p>
        </w:tc>
        <w:tc>
          <w:tcPr>
            <w:tcW w:w="124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8"/>
              <w:ind w:right="15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Std.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Error</w:t>
            </w:r>
          </w:p>
        </w:tc>
        <w:tc>
          <w:tcPr>
            <w:tcW w:w="113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8"/>
              <w:ind w:right="8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t-Statistic</w:t>
            </w:r>
          </w:p>
        </w:tc>
        <w:tc>
          <w:tcPr>
            <w:tcW w:w="9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8"/>
              <w:ind w:left="327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Prob.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0.743173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0.095793</w:t>
            </w:r>
          </w:p>
        </w:tc>
        <w:tc>
          <w:tcPr>
            <w:tcW w:w="113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7.758138</w:t>
            </w:r>
          </w:p>
        </w:tc>
        <w:tc>
          <w:tcPr>
            <w:tcW w:w="9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BDIND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-0.041871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0.012698</w:t>
            </w:r>
          </w:p>
        </w:tc>
        <w:tc>
          <w:tcPr>
            <w:tcW w:w="1136" w:type="dxa"/>
          </w:tcPr>
          <w:p>
            <w:pPr>
              <w:pStyle w:val="TableParagraph"/>
              <w:spacing w:line="210" w:lineRule="exact" w:before="0"/>
              <w:ind w:left="15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-3.297488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0.0011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21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BDOWN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-0.051262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0.022089</w:t>
            </w:r>
          </w:p>
        </w:tc>
        <w:tc>
          <w:tcPr>
            <w:tcW w:w="1136" w:type="dxa"/>
          </w:tcPr>
          <w:p>
            <w:pPr>
              <w:pStyle w:val="TableParagraph"/>
              <w:spacing w:line="210" w:lineRule="exact" w:before="0"/>
              <w:ind w:left="15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-2.320699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0.0208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BDS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-0.004619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0.001368</w:t>
            </w:r>
          </w:p>
        </w:tc>
        <w:tc>
          <w:tcPr>
            <w:tcW w:w="1136" w:type="dxa"/>
          </w:tcPr>
          <w:p>
            <w:pPr>
              <w:pStyle w:val="TableParagraph"/>
              <w:spacing w:line="209" w:lineRule="exact" w:before="0"/>
              <w:ind w:left="15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-3.376258</w:t>
            </w:r>
          </w:p>
        </w:tc>
        <w:tc>
          <w:tcPr>
            <w:tcW w:w="929" w:type="dxa"/>
          </w:tcPr>
          <w:p>
            <w:pPr>
              <w:pStyle w:val="TableParagraph"/>
              <w:spacing w:line="209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0.0008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BGD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0.055365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0.032910</w:t>
            </w:r>
          </w:p>
        </w:tc>
        <w:tc>
          <w:tcPr>
            <w:tcW w:w="1136" w:type="dxa"/>
          </w:tcPr>
          <w:p>
            <w:pPr>
              <w:pStyle w:val="TableParagraph"/>
              <w:spacing w:line="209" w:lineRule="exact" w:before="0"/>
              <w:ind w:right="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1.682312</w:t>
            </w:r>
          </w:p>
        </w:tc>
        <w:tc>
          <w:tcPr>
            <w:tcW w:w="929" w:type="dxa"/>
          </w:tcPr>
          <w:p>
            <w:pPr>
              <w:pStyle w:val="TableParagraph"/>
              <w:spacing w:line="209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0.0933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-1.02E-06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0.000103</w:t>
            </w:r>
          </w:p>
        </w:tc>
        <w:tc>
          <w:tcPr>
            <w:tcW w:w="1136" w:type="dxa"/>
          </w:tcPr>
          <w:p>
            <w:pPr>
              <w:pStyle w:val="TableParagraph"/>
              <w:spacing w:line="210" w:lineRule="exact" w:before="0"/>
              <w:ind w:left="15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-0.009897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0.9921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544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CEOOWN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0.000758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0.000378</w:t>
            </w:r>
          </w:p>
        </w:tc>
        <w:tc>
          <w:tcPr>
            <w:tcW w:w="1136" w:type="dxa"/>
          </w:tcPr>
          <w:p>
            <w:pPr>
              <w:pStyle w:val="TableParagraph"/>
              <w:spacing w:line="210" w:lineRule="exact" w:before="0"/>
              <w:ind w:right="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2.005285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0.0456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2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CEOT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0.002701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0.005328</w:t>
            </w:r>
          </w:p>
        </w:tc>
        <w:tc>
          <w:tcPr>
            <w:tcW w:w="1136" w:type="dxa"/>
          </w:tcPr>
          <w:p>
            <w:pPr>
              <w:pStyle w:val="TableParagraph"/>
              <w:spacing w:line="210" w:lineRule="exact" w:before="0"/>
              <w:ind w:right="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0.507032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0.6124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1" w:lineRule="exact" w:before="0"/>
              <w:ind w:left="663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FSIZE</w:t>
            </w:r>
          </w:p>
        </w:tc>
        <w:tc>
          <w:tcPr>
            <w:tcW w:w="1206" w:type="dxa"/>
          </w:tcPr>
          <w:p>
            <w:pPr>
              <w:pStyle w:val="TableParagraph"/>
              <w:spacing w:line="211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-0.011069</w:t>
            </w:r>
          </w:p>
        </w:tc>
        <w:tc>
          <w:tcPr>
            <w:tcW w:w="1246" w:type="dxa"/>
          </w:tcPr>
          <w:p>
            <w:pPr>
              <w:pStyle w:val="TableParagraph"/>
              <w:spacing w:line="211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0.013440</w:t>
            </w:r>
          </w:p>
        </w:tc>
        <w:tc>
          <w:tcPr>
            <w:tcW w:w="1136" w:type="dxa"/>
          </w:tcPr>
          <w:p>
            <w:pPr>
              <w:pStyle w:val="TableParagraph"/>
              <w:spacing w:line="211" w:lineRule="exact" w:before="0"/>
              <w:ind w:left="15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-0.823608</w:t>
            </w:r>
          </w:p>
        </w:tc>
        <w:tc>
          <w:tcPr>
            <w:tcW w:w="929" w:type="dxa"/>
          </w:tcPr>
          <w:p>
            <w:pPr>
              <w:pStyle w:val="TableParagraph"/>
              <w:spacing w:line="211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0.4107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4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-0.000489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0.000171</w:t>
            </w:r>
          </w:p>
        </w:tc>
        <w:tc>
          <w:tcPr>
            <w:tcW w:w="1136" w:type="dxa"/>
          </w:tcPr>
          <w:p>
            <w:pPr>
              <w:pStyle w:val="TableParagraph"/>
              <w:spacing w:line="209" w:lineRule="exact" w:before="0"/>
              <w:ind w:left="15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-2.861266</w:t>
            </w:r>
          </w:p>
        </w:tc>
        <w:tc>
          <w:tcPr>
            <w:tcW w:w="929" w:type="dxa"/>
          </w:tcPr>
          <w:p>
            <w:pPr>
              <w:pStyle w:val="TableParagraph"/>
              <w:spacing w:line="209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0.0044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ROA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0.090051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0.041003</w:t>
            </w:r>
          </w:p>
        </w:tc>
        <w:tc>
          <w:tcPr>
            <w:tcW w:w="1136" w:type="dxa"/>
          </w:tcPr>
          <w:p>
            <w:pPr>
              <w:pStyle w:val="TableParagraph"/>
              <w:spacing w:line="209" w:lineRule="exact" w:before="0"/>
              <w:ind w:right="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2.196194</w:t>
            </w:r>
          </w:p>
        </w:tc>
        <w:tc>
          <w:tcPr>
            <w:tcW w:w="929" w:type="dxa"/>
          </w:tcPr>
          <w:p>
            <w:pPr>
              <w:pStyle w:val="TableParagraph"/>
              <w:spacing w:line="209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0.0287</w:t>
            </w:r>
          </w:p>
        </w:tc>
      </w:tr>
      <w:tr>
        <w:trPr>
          <w:trHeight w:val="332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662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AR(3)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-0.005091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0.023102</w:t>
            </w:r>
          </w:p>
        </w:tc>
        <w:tc>
          <w:tcPr>
            <w:tcW w:w="113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15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-0.220368</w:t>
            </w:r>
          </w:p>
        </w:tc>
        <w:tc>
          <w:tcPr>
            <w:tcW w:w="9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0.8257</w:t>
            </w:r>
          </w:p>
        </w:tc>
      </w:tr>
      <w:tr>
        <w:trPr>
          <w:trHeight w:val="408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0" w:lineRule="auto" w:before="75"/>
              <w:ind w:left="2195" w:right="23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Effects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Specification</w:t>
            </w:r>
          </w:p>
        </w:tc>
      </w:tr>
      <w:tr>
        <w:trPr>
          <w:trHeight w:val="411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0" w:lineRule="auto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Cross-section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fixed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(dummy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variables)</w:t>
            </w:r>
          </w:p>
        </w:tc>
      </w:tr>
      <w:tr>
        <w:trPr>
          <w:trHeight w:val="408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0" w:lineRule="auto" w:before="75"/>
              <w:ind w:left="2196" w:right="23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Weighted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Statistics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0.920806</w:t>
            </w:r>
          </w:p>
        </w:tc>
        <w:tc>
          <w:tcPr>
            <w:tcW w:w="2382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Mean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1.216922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Adjusted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0.904414</w:t>
            </w:r>
          </w:p>
        </w:tc>
        <w:tc>
          <w:tcPr>
            <w:tcW w:w="2382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S.D.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0.883309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S.E.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0.138690</w:t>
            </w:r>
          </w:p>
        </w:tc>
        <w:tc>
          <w:tcPr>
            <w:tcW w:w="2382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squared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resid</w:t>
            </w:r>
          </w:p>
        </w:tc>
        <w:tc>
          <w:tcPr>
            <w:tcW w:w="929" w:type="dxa"/>
          </w:tcPr>
          <w:p>
            <w:pPr>
              <w:pStyle w:val="TableParagraph"/>
              <w:spacing w:line="210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7.713150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1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F-statistic</w:t>
            </w:r>
          </w:p>
        </w:tc>
        <w:tc>
          <w:tcPr>
            <w:tcW w:w="1206" w:type="dxa"/>
          </w:tcPr>
          <w:p>
            <w:pPr>
              <w:pStyle w:val="TableParagraph"/>
              <w:spacing w:line="211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56.17478</w:t>
            </w:r>
          </w:p>
        </w:tc>
        <w:tc>
          <w:tcPr>
            <w:tcW w:w="2382" w:type="dxa"/>
            <w:gridSpan w:val="2"/>
          </w:tcPr>
          <w:p>
            <w:pPr>
              <w:pStyle w:val="TableParagraph"/>
              <w:spacing w:line="211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Durbin-Watson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stat</w:t>
            </w:r>
          </w:p>
        </w:tc>
        <w:tc>
          <w:tcPr>
            <w:tcW w:w="929" w:type="dxa"/>
          </w:tcPr>
          <w:p>
            <w:pPr>
              <w:pStyle w:val="TableParagraph"/>
              <w:spacing w:line="211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1.567453</w:t>
            </w:r>
          </w:p>
        </w:tc>
      </w:tr>
      <w:tr>
        <w:trPr>
          <w:trHeight w:val="330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Prob(F-statistic)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0.000000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13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411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0" w:lineRule="auto" w:before="75"/>
              <w:ind w:left="2196" w:right="2387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Unweighted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Statistics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0.652368</w:t>
            </w:r>
          </w:p>
        </w:tc>
        <w:tc>
          <w:tcPr>
            <w:tcW w:w="2382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Mean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0.614305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squared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resid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8.788491</w:t>
            </w:r>
          </w:p>
        </w:tc>
        <w:tc>
          <w:tcPr>
            <w:tcW w:w="2382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Durbin-Watson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stat</w:t>
            </w:r>
          </w:p>
        </w:tc>
        <w:tc>
          <w:tcPr>
            <w:tcW w:w="9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1.279412</w:t>
            </w:r>
          </w:p>
        </w:tc>
      </w:tr>
      <w:tr>
        <w:trPr>
          <w:trHeight w:val="396" w:hRule="atLeast"/>
        </w:trPr>
        <w:tc>
          <w:tcPr>
            <w:tcW w:w="2016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Inverted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AR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Roots</w:t>
            </w:r>
          </w:p>
        </w:tc>
        <w:tc>
          <w:tcPr>
            <w:tcW w:w="120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5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.09+.15i</w:t>
            </w:r>
          </w:p>
        </w:tc>
        <w:tc>
          <w:tcPr>
            <w:tcW w:w="124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172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.09-.15i</w:t>
            </w:r>
          </w:p>
        </w:tc>
        <w:tc>
          <w:tcPr>
            <w:tcW w:w="113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244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-.17</w:t>
            </w:r>
          </w:p>
        </w:tc>
        <w:tc>
          <w:tcPr>
            <w:tcW w:w="9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</w:tbl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402" w:top="1120" w:bottom="168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206"/>
        <w:gridCol w:w="1152"/>
        <w:gridCol w:w="1229"/>
        <w:gridCol w:w="928"/>
      </w:tblGrid>
      <w:tr>
        <w:trPr>
          <w:trHeight w:val="226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TAG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1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Method: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Panel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EGLS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(Cross-section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weights)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Date: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11/02/20</w:t>
            </w:r>
            <w:r>
              <w:rPr>
                <w:rFonts w:ascii="Arial MT"/>
                <w:spacing w:val="52"/>
                <w:sz w:val="20"/>
              </w:rPr>
              <w:t> </w:t>
            </w:r>
            <w:r>
              <w:rPr>
                <w:rFonts w:ascii="Arial MT"/>
                <w:sz w:val="20"/>
              </w:rPr>
              <w:t>Time: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13:12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Sample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(adjusted):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2005</w:t>
            </w:r>
            <w:r>
              <w:rPr>
                <w:rFonts w:ascii="Arial MT"/>
                <w:spacing w:val="54"/>
                <w:sz w:val="20"/>
              </w:rPr>
              <w:t> </w:t>
            </w:r>
            <w:r>
              <w:rPr>
                <w:rFonts w:ascii="Arial MT"/>
                <w:sz w:val="20"/>
              </w:rPr>
              <w:t>2019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Periods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included: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5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Cross-sections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included: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80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panel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(unbalanced)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observations: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1200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Iterate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coefficients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after one-step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weighting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matrix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White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cross-section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standard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errors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&amp;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covariance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(d.f.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corrected)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Convergence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achieved after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15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coef iterations</w:t>
            </w:r>
          </w:p>
        </w:tc>
      </w:tr>
      <w:tr>
        <w:trPr>
          <w:trHeight w:val="329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WARNING: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estimated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coefficient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covariance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matrix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is of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reduced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rank</w:t>
            </w:r>
          </w:p>
        </w:tc>
      </w:tr>
      <w:tr>
        <w:trPr>
          <w:trHeight w:val="411" w:hRule="atLeast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638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Variable</w:t>
            </w:r>
          </w:p>
        </w:tc>
        <w:tc>
          <w:tcPr>
            <w:tcW w:w="120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Coefficient</w:t>
            </w:r>
          </w:p>
        </w:tc>
        <w:tc>
          <w:tcPr>
            <w:tcW w:w="115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5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Std.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Error</w:t>
            </w:r>
          </w:p>
        </w:tc>
        <w:tc>
          <w:tcPr>
            <w:tcW w:w="12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8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t-Statistic</w:t>
            </w:r>
          </w:p>
        </w:tc>
        <w:tc>
          <w:tcPr>
            <w:tcW w:w="92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328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Prob.</w:t>
            </w:r>
          </w:p>
        </w:tc>
      </w:tr>
      <w:tr>
        <w:trPr>
          <w:trHeight w:val="308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3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3" w:lineRule="exact" w:before="75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0.734566</w:t>
            </w:r>
          </w:p>
        </w:tc>
        <w:tc>
          <w:tcPr>
            <w:tcW w:w="115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3" w:lineRule="exact" w:before="75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0.091459</w:t>
            </w:r>
          </w:p>
        </w:tc>
        <w:tc>
          <w:tcPr>
            <w:tcW w:w="122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3" w:lineRule="exact" w:before="75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8.031596</w:t>
            </w:r>
          </w:p>
        </w:tc>
        <w:tc>
          <w:tcPr>
            <w:tcW w:w="9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3" w:lineRule="exact" w:before="75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BDIND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-0.031849</w:t>
            </w:r>
          </w:p>
        </w:tc>
        <w:tc>
          <w:tcPr>
            <w:tcW w:w="1152" w:type="dxa"/>
          </w:tcPr>
          <w:p>
            <w:pPr>
              <w:pStyle w:val="TableParagraph"/>
              <w:spacing w:line="210" w:lineRule="exact" w:before="0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0.012554</w:t>
            </w:r>
          </w:p>
        </w:tc>
        <w:tc>
          <w:tcPr>
            <w:tcW w:w="1229" w:type="dxa"/>
          </w:tcPr>
          <w:p>
            <w:pPr>
              <w:pStyle w:val="TableParagraph"/>
              <w:spacing w:line="210" w:lineRule="exact" w:before="0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-2.536844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0.0116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1" w:lineRule="exact" w:before="0"/>
              <w:ind w:left="621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BDOWN</w:t>
            </w:r>
          </w:p>
        </w:tc>
        <w:tc>
          <w:tcPr>
            <w:tcW w:w="1206" w:type="dxa"/>
          </w:tcPr>
          <w:p>
            <w:pPr>
              <w:pStyle w:val="TableParagraph"/>
              <w:spacing w:line="211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-0.056077</w:t>
            </w:r>
          </w:p>
        </w:tc>
        <w:tc>
          <w:tcPr>
            <w:tcW w:w="1152" w:type="dxa"/>
          </w:tcPr>
          <w:p>
            <w:pPr>
              <w:pStyle w:val="TableParagraph"/>
              <w:spacing w:line="211" w:lineRule="exact" w:before="0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0.021201</w:t>
            </w:r>
          </w:p>
        </w:tc>
        <w:tc>
          <w:tcPr>
            <w:tcW w:w="1229" w:type="dxa"/>
          </w:tcPr>
          <w:p>
            <w:pPr>
              <w:pStyle w:val="TableParagraph"/>
              <w:spacing w:line="211" w:lineRule="exact" w:before="0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-2.645032</w:t>
            </w:r>
          </w:p>
        </w:tc>
        <w:tc>
          <w:tcPr>
            <w:tcW w:w="928" w:type="dxa"/>
          </w:tcPr>
          <w:p>
            <w:pPr>
              <w:pStyle w:val="TableParagraph"/>
              <w:spacing w:line="211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0.0085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BDS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-0.004242</w:t>
            </w:r>
          </w:p>
        </w:tc>
        <w:tc>
          <w:tcPr>
            <w:tcW w:w="1152" w:type="dxa"/>
          </w:tcPr>
          <w:p>
            <w:pPr>
              <w:pStyle w:val="TableParagraph"/>
              <w:spacing w:line="210" w:lineRule="exact" w:before="0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0.001448</w:t>
            </w:r>
          </w:p>
        </w:tc>
        <w:tc>
          <w:tcPr>
            <w:tcW w:w="1229" w:type="dxa"/>
          </w:tcPr>
          <w:p>
            <w:pPr>
              <w:pStyle w:val="TableParagraph"/>
              <w:spacing w:line="210" w:lineRule="exact" w:before="0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-2.928715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0.0036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BGD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0.060088</w:t>
            </w:r>
          </w:p>
        </w:tc>
        <w:tc>
          <w:tcPr>
            <w:tcW w:w="1152" w:type="dxa"/>
          </w:tcPr>
          <w:p>
            <w:pPr>
              <w:pStyle w:val="TableParagraph"/>
              <w:spacing w:line="210" w:lineRule="exact" w:before="0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0.035531</w:t>
            </w:r>
          </w:p>
        </w:tc>
        <w:tc>
          <w:tcPr>
            <w:tcW w:w="1229" w:type="dxa"/>
          </w:tcPr>
          <w:p>
            <w:pPr>
              <w:pStyle w:val="TableParagraph"/>
              <w:spacing w:line="210" w:lineRule="exact" w:before="0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1.691147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0.0916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3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FSIZE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-0.012178</w:t>
            </w:r>
          </w:p>
        </w:tc>
        <w:tc>
          <w:tcPr>
            <w:tcW w:w="1152" w:type="dxa"/>
          </w:tcPr>
          <w:p>
            <w:pPr>
              <w:pStyle w:val="TableParagraph"/>
              <w:spacing w:line="210" w:lineRule="exact" w:before="0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0.012504</w:t>
            </w:r>
          </w:p>
        </w:tc>
        <w:tc>
          <w:tcPr>
            <w:tcW w:w="1229" w:type="dxa"/>
          </w:tcPr>
          <w:p>
            <w:pPr>
              <w:pStyle w:val="TableParagraph"/>
              <w:spacing w:line="210" w:lineRule="exact" w:before="0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-0.973932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0.3307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4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right="11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-0.000479</w:t>
            </w:r>
          </w:p>
        </w:tc>
        <w:tc>
          <w:tcPr>
            <w:tcW w:w="1152" w:type="dxa"/>
          </w:tcPr>
          <w:p>
            <w:pPr>
              <w:pStyle w:val="TableParagraph"/>
              <w:spacing w:line="209" w:lineRule="exact" w:before="0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0.000153</w:t>
            </w:r>
          </w:p>
        </w:tc>
        <w:tc>
          <w:tcPr>
            <w:tcW w:w="1229" w:type="dxa"/>
          </w:tcPr>
          <w:p>
            <w:pPr>
              <w:pStyle w:val="TableParagraph"/>
              <w:spacing w:line="209" w:lineRule="exact" w:before="0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-3.127056</w:t>
            </w:r>
          </w:p>
        </w:tc>
        <w:tc>
          <w:tcPr>
            <w:tcW w:w="928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0.0019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ROA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0.104196</w:t>
            </w:r>
          </w:p>
        </w:tc>
        <w:tc>
          <w:tcPr>
            <w:tcW w:w="1152" w:type="dxa"/>
          </w:tcPr>
          <w:p>
            <w:pPr>
              <w:pStyle w:val="TableParagraph"/>
              <w:spacing w:line="209" w:lineRule="exact" w:before="0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0.038074</w:t>
            </w:r>
          </w:p>
        </w:tc>
        <w:tc>
          <w:tcPr>
            <w:tcW w:w="1229" w:type="dxa"/>
          </w:tcPr>
          <w:p>
            <w:pPr>
              <w:pStyle w:val="TableParagraph"/>
              <w:spacing w:line="209" w:lineRule="exact" w:before="0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2.736632</w:t>
            </w:r>
          </w:p>
        </w:tc>
        <w:tc>
          <w:tcPr>
            <w:tcW w:w="928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0.0065</w:t>
            </w:r>
          </w:p>
        </w:tc>
      </w:tr>
      <w:tr>
        <w:trPr>
          <w:trHeight w:val="332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662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AR(3)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0.003457</w:t>
            </w:r>
          </w:p>
        </w:tc>
        <w:tc>
          <w:tcPr>
            <w:tcW w:w="115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5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0.020467</w:t>
            </w:r>
          </w:p>
        </w:tc>
        <w:tc>
          <w:tcPr>
            <w:tcW w:w="12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80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0.168906</w:t>
            </w:r>
          </w:p>
        </w:tc>
        <w:tc>
          <w:tcPr>
            <w:tcW w:w="9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0.8660</w:t>
            </w:r>
          </w:p>
        </w:tc>
      </w:tr>
      <w:tr>
        <w:trPr>
          <w:trHeight w:val="408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826" w:right="10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Effects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Specification</w:t>
            </w:r>
          </w:p>
        </w:tc>
      </w:tr>
      <w:tr>
        <w:trPr>
          <w:trHeight w:val="411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Cross-section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fixed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(dummy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variables)</w:t>
            </w:r>
          </w:p>
        </w:tc>
      </w:tr>
      <w:tr>
        <w:trPr>
          <w:trHeight w:val="408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827" w:right="10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Weighted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Statistics</w:t>
            </w:r>
          </w:p>
        </w:tc>
      </w:tr>
      <w:tr>
        <w:trPr>
          <w:trHeight w:val="310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3" w:lineRule="exact" w:before="78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3" w:lineRule="exact" w:before="78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0.919616</w:t>
            </w:r>
          </w:p>
        </w:tc>
        <w:tc>
          <w:tcPr>
            <w:tcW w:w="2381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13" w:lineRule="exact" w:before="78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Mean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3" w:lineRule="exact" w:before="78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1.202628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Adjusted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0.904046</w:t>
            </w:r>
          </w:p>
        </w:tc>
        <w:tc>
          <w:tcPr>
            <w:tcW w:w="2381" w:type="dxa"/>
            <w:gridSpan w:val="2"/>
          </w:tcPr>
          <w:p>
            <w:pPr>
              <w:pStyle w:val="TableParagraph"/>
              <w:spacing w:line="209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S.D.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28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0.855449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S.E.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0.137879</w:t>
            </w:r>
          </w:p>
        </w:tc>
        <w:tc>
          <w:tcPr>
            <w:tcW w:w="2381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squared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resid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7.851419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F-statistic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59.06067</w:t>
            </w:r>
          </w:p>
        </w:tc>
        <w:tc>
          <w:tcPr>
            <w:tcW w:w="2381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Durbin-Watson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stat</w:t>
            </w:r>
          </w:p>
        </w:tc>
        <w:tc>
          <w:tcPr>
            <w:tcW w:w="928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1.542554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Prob(F-statistic)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0.000000</w:t>
            </w:r>
          </w:p>
        </w:tc>
        <w:tc>
          <w:tcPr>
            <w:tcW w:w="115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22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411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827" w:right="10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Unweighted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Statistics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0.657096</w:t>
            </w:r>
          </w:p>
        </w:tc>
        <w:tc>
          <w:tcPr>
            <w:tcW w:w="2381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Mean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2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0.610704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squared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resid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1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8.839849</w:t>
            </w:r>
          </w:p>
        </w:tc>
        <w:tc>
          <w:tcPr>
            <w:tcW w:w="2381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Durbin-Watson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stat</w:t>
            </w:r>
          </w:p>
        </w:tc>
        <w:tc>
          <w:tcPr>
            <w:tcW w:w="92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1.285129</w:t>
            </w:r>
          </w:p>
        </w:tc>
      </w:tr>
      <w:tr>
        <w:trPr>
          <w:trHeight w:val="396" w:hRule="atLeast"/>
        </w:trPr>
        <w:tc>
          <w:tcPr>
            <w:tcW w:w="2016" w:type="dxa"/>
            <w:tcBorders>
              <w:top w:val="single" w:sz="6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Inverted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AR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Roots</w:t>
            </w:r>
          </w:p>
        </w:tc>
        <w:tc>
          <w:tcPr>
            <w:tcW w:w="120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331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.15</w:t>
            </w:r>
          </w:p>
        </w:tc>
        <w:tc>
          <w:tcPr>
            <w:tcW w:w="115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-.08-.13i</w:t>
            </w:r>
          </w:p>
        </w:tc>
        <w:tc>
          <w:tcPr>
            <w:tcW w:w="1229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62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-.08+.13i</w:t>
            </w:r>
          </w:p>
        </w:tc>
        <w:tc>
          <w:tcPr>
            <w:tcW w:w="92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22470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3.070007pt;margin-top:493.260956pt;width:107.7pt;height:101.45pt;mso-position-horizontal-relative:page;mso-position-vertical-relative:page;z-index:-49224192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201.539993pt;margin-top:200.809982pt;width:302pt;height:313.8pt;mso-position-horizontal-relative:page;mso-position-vertical-relative:page;z-index:-49223680" coordorigin="4031,4016" coordsize="6040,6276"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91.899979pt;width:100.82pt;height:.72pt;mso-position-horizontal-relative:page;mso-position-vertical-relative:page;z-index:-4922316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14.699982pt;width:100.82pt;height:.72pt;mso-position-horizontal-relative:page;mso-position-vertical-relative:page;z-index:-4922265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29.449982pt;width:100.82pt;height:.72pt;mso-position-horizontal-relative:page;mso-position-vertical-relative:page;z-index:-4922214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52.129974pt;width:100.82pt;height:.72pt;mso-position-horizontal-relative:page;mso-position-vertical-relative:page;z-index:-4922163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74.929993pt;width:100.82pt;height:.72pt;mso-position-horizontal-relative:page;mso-position-vertical-relative:page;z-index:-4922112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97.609985pt;width:100.82pt;height:.72pt;mso-position-horizontal-relative:page;mso-position-vertical-relative:page;z-index:-4922060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66.389984pt;width:100.82pt;height:.72pt;mso-position-horizontal-relative:page;mso-position-vertical-relative:page;z-index:-4922009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89.189972pt;width:100.82pt;height:.72pt;mso-position-horizontal-relative:page;mso-position-vertical-relative:page;z-index:-4921958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23.390015pt;width:100.82pt;height:.71997pt;mso-position-horizontal-relative:page;mso-position-vertical-relative:page;z-index:-49219072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p>
      <w:pPr>
        <w:pStyle w:val="BodyText"/>
        <w:spacing w:before="7" w:after="1"/>
        <w:ind w:left="0"/>
        <w:jc w:val="left"/>
        <w:rPr>
          <w:b/>
          <w:sz w:val="11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21856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396.879974pt;width:194.25pt;height:197.8pt;mso-position-horizontal-relative:page;mso-position-vertical-relative:page;z-index:-49218048" coordorigin="2261,7938" coordsize="3885,3956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7937;width:2116;height:2327" coordorigin="4031,7938" coordsize="2116,2327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shape style="position:absolute;margin-left:266.410004pt;margin-top:200.809952pt;width:237.15pt;height:237pt;mso-position-horizontal-relative:page;mso-position-vertical-relative:page;z-index:-49217536" coordorigin="5328,4016" coordsize="4743,4740" path="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rect style="position:absolute;margin-left:86.664001pt;margin-top:182.899979pt;width:100.82pt;height:.72pt;mso-position-horizontal-relative:page;mso-position-vertical-relative:page;z-index:-4921702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05.579987pt;width:100.82pt;height:.72pt;mso-position-horizontal-relative:page;mso-position-vertical-relative:page;z-index:-4921651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97.409973pt;width:100.82pt;height:.72pt;mso-position-horizontal-relative:page;mso-position-vertical-relative:page;z-index:-4921600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20.089996pt;width:100.82pt;height:.72pt;mso-position-horizontal-relative:page;mso-position-vertical-relative:page;z-index:-4921548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42.889984pt;width:100.82pt;height:.72pt;mso-position-horizontal-relative:page;mso-position-vertical-relative:page;z-index:-49214976" filled="true" fillcolor="#000000" stroked="false">
            <v:fill type="solid"/>
            <w10:wrap type="none"/>
          </v:rect>
        </w:pict>
      </w: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206"/>
        <w:gridCol w:w="1246"/>
        <w:gridCol w:w="1103"/>
        <w:gridCol w:w="960"/>
      </w:tblGrid>
      <w:tr>
        <w:trPr>
          <w:trHeight w:val="226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6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TAG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Method: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Panel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Least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Squares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Date: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11/02/20</w:t>
            </w:r>
            <w:r>
              <w:rPr>
                <w:rFonts w:ascii="Arial MT"/>
                <w:spacing w:val="52"/>
                <w:sz w:val="20"/>
              </w:rPr>
              <w:t> </w:t>
            </w:r>
            <w:r>
              <w:rPr>
                <w:rFonts w:ascii="Arial MT"/>
                <w:sz w:val="20"/>
              </w:rPr>
              <w:t>Time: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13:15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Sample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(adjusted):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2005</w:t>
            </w:r>
            <w:r>
              <w:rPr>
                <w:rFonts w:ascii="Arial MT"/>
                <w:spacing w:val="54"/>
                <w:sz w:val="20"/>
              </w:rPr>
              <w:t> </w:t>
            </w:r>
            <w:r>
              <w:rPr>
                <w:rFonts w:ascii="Arial MT"/>
                <w:sz w:val="20"/>
              </w:rPr>
              <w:t>2019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Periods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included: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15</w:t>
            </w:r>
          </w:p>
        </w:tc>
        <w:tc>
          <w:tcPr>
            <w:tcW w:w="120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0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Cross-sections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included: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80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Total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panel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(unbalanced)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observations: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1200</w:t>
            </w:r>
          </w:p>
        </w:tc>
      </w:tr>
      <w:tr>
        <w:trPr>
          <w:trHeight w:val="332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White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cross-section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standard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errors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&amp;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covariance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(d.f.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corrected)</w:t>
            </w:r>
          </w:p>
        </w:tc>
      </w:tr>
      <w:tr>
        <w:trPr>
          <w:trHeight w:val="408" w:hRule="atLeast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638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Variable</w:t>
            </w:r>
          </w:p>
        </w:tc>
        <w:tc>
          <w:tcPr>
            <w:tcW w:w="120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1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Coefficient</w:t>
            </w:r>
          </w:p>
        </w:tc>
        <w:tc>
          <w:tcPr>
            <w:tcW w:w="124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15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Std.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Error</w:t>
            </w:r>
          </w:p>
        </w:tc>
        <w:tc>
          <w:tcPr>
            <w:tcW w:w="110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t-Statistic</w:t>
            </w:r>
          </w:p>
        </w:tc>
        <w:tc>
          <w:tcPr>
            <w:tcW w:w="96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12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Prob.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1.226484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0.177440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6.912088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0.001047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0.000449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2.334460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0.0199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1" w:lineRule="exact" w:before="0"/>
              <w:ind w:left="544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CEOOWN</w:t>
            </w:r>
          </w:p>
        </w:tc>
        <w:tc>
          <w:tcPr>
            <w:tcW w:w="1206" w:type="dxa"/>
          </w:tcPr>
          <w:p>
            <w:pPr>
              <w:pStyle w:val="TableParagraph"/>
              <w:spacing w:line="211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-0.001187</w:t>
            </w:r>
          </w:p>
        </w:tc>
        <w:tc>
          <w:tcPr>
            <w:tcW w:w="1246" w:type="dxa"/>
          </w:tcPr>
          <w:p>
            <w:pPr>
              <w:pStyle w:val="TableParagraph"/>
              <w:spacing w:line="211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0.000577</w:t>
            </w:r>
          </w:p>
        </w:tc>
        <w:tc>
          <w:tcPr>
            <w:tcW w:w="1103" w:type="dxa"/>
          </w:tcPr>
          <w:p>
            <w:pPr>
              <w:pStyle w:val="TableParagraph"/>
              <w:spacing w:line="211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-2.055937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0.0402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1" w:lineRule="exact" w:before="0"/>
              <w:ind w:left="662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CEOT</w:t>
            </w:r>
          </w:p>
        </w:tc>
        <w:tc>
          <w:tcPr>
            <w:tcW w:w="1206" w:type="dxa"/>
          </w:tcPr>
          <w:p>
            <w:pPr>
              <w:pStyle w:val="TableParagraph"/>
              <w:spacing w:line="211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-0.004972</w:t>
            </w:r>
          </w:p>
        </w:tc>
        <w:tc>
          <w:tcPr>
            <w:tcW w:w="1246" w:type="dxa"/>
          </w:tcPr>
          <w:p>
            <w:pPr>
              <w:pStyle w:val="TableParagraph"/>
              <w:spacing w:line="211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0.016551</w:t>
            </w:r>
          </w:p>
        </w:tc>
        <w:tc>
          <w:tcPr>
            <w:tcW w:w="1103" w:type="dxa"/>
          </w:tcPr>
          <w:p>
            <w:pPr>
              <w:pStyle w:val="TableParagraph"/>
              <w:spacing w:line="211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-0.300377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0.7640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3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FSIZE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-0.103456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0.030924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-3.345461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0.0009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4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-0.000485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0.000354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-1.371074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0.1708</w:t>
            </w:r>
          </w:p>
        </w:tc>
      </w:tr>
      <w:tr>
        <w:trPr>
          <w:trHeight w:val="332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ROA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0.198009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0.047848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4.138292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</w:t>
            </w:r>
          </w:p>
        </w:tc>
      </w:tr>
      <w:tr>
        <w:trPr>
          <w:trHeight w:val="408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826" w:right="10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Effects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Specification</w:t>
            </w:r>
          </w:p>
        </w:tc>
      </w:tr>
      <w:tr>
        <w:trPr>
          <w:trHeight w:val="41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Cross-section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fixed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(dummy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variables)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0.571177</w:t>
            </w:r>
          </w:p>
        </w:tc>
        <w:tc>
          <w:tcPr>
            <w:tcW w:w="2349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Mean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0.608844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Adjusted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0.518996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S.D.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0.231596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S.E.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0.160622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09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Akaike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info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criterion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-0.716305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squared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resid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16.53741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09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Schwarz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criterion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-0.213859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1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Log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likelihood</w:t>
            </w:r>
          </w:p>
        </w:tc>
        <w:tc>
          <w:tcPr>
            <w:tcW w:w="1206" w:type="dxa"/>
          </w:tcPr>
          <w:p>
            <w:pPr>
              <w:pStyle w:val="TableParagraph"/>
              <w:spacing w:line="211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336.8696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1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Hannan-Quinn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criter.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-0.522333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1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F-statistic</w:t>
            </w:r>
          </w:p>
        </w:tc>
        <w:tc>
          <w:tcPr>
            <w:tcW w:w="1206" w:type="dxa"/>
          </w:tcPr>
          <w:p>
            <w:pPr>
              <w:pStyle w:val="TableParagraph"/>
              <w:spacing w:line="211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10.94602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1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Durbin-Watson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stat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1.001917</w:t>
            </w:r>
          </w:p>
        </w:tc>
      </w:tr>
      <w:tr>
        <w:trPr>
          <w:trHeight w:val="315" w:hRule="atLeast"/>
        </w:trPr>
        <w:tc>
          <w:tcPr>
            <w:tcW w:w="20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Prob(F-statistic)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0.000000</w:t>
            </w:r>
          </w:p>
        </w:tc>
        <w:tc>
          <w:tcPr>
            <w:tcW w:w="2349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1910" w:h="16840"/>
          <w:pgMar w:header="0" w:footer="1402" w:top="158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207"/>
        <w:gridCol w:w="1244"/>
        <w:gridCol w:w="1103"/>
        <w:gridCol w:w="960"/>
      </w:tblGrid>
      <w:tr>
        <w:trPr>
          <w:trHeight w:val="226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0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TAG</w:t>
            </w:r>
          </w:p>
        </w:tc>
      </w:tr>
      <w:tr>
        <w:trPr>
          <w:trHeight w:val="230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11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Method: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Discrete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</w:tr>
      <w:tr>
        <w:trPr>
          <w:trHeight w:val="230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Date: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11/02/20</w:t>
            </w:r>
            <w:r>
              <w:rPr>
                <w:rFonts w:ascii="Arial MT"/>
                <w:spacing w:val="52"/>
                <w:sz w:val="20"/>
              </w:rPr>
              <w:t> </w:t>
            </w:r>
            <w:r>
              <w:rPr>
                <w:rFonts w:ascii="Arial MT"/>
                <w:sz w:val="20"/>
              </w:rPr>
              <w:t>Time: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20:55</w:t>
            </w:r>
          </w:p>
        </w:tc>
      </w:tr>
      <w:tr>
        <w:trPr>
          <w:trHeight w:val="230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Sample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(adjusted):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47 1200</w:t>
            </w:r>
          </w:p>
        </w:tc>
      </w:tr>
      <w:tr>
        <w:trPr>
          <w:trHeight w:val="229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Included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observations: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1197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after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adjustments</w:t>
            </w:r>
          </w:p>
        </w:tc>
      </w:tr>
      <w:tr>
        <w:trPr>
          <w:trHeight w:val="229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TAG(-46)</w:t>
            </w:r>
          </w:p>
        </w:tc>
      </w:tr>
      <w:tr>
        <w:trPr>
          <w:trHeight w:val="332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Allow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heterogeneous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error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distributions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across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breaks</w:t>
            </w:r>
          </w:p>
        </w:tc>
      </w:tr>
      <w:tr>
        <w:trPr>
          <w:trHeight w:val="408" w:hRule="atLeast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638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Variable</w:t>
            </w:r>
          </w:p>
        </w:tc>
        <w:tc>
          <w:tcPr>
            <w:tcW w:w="1207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124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Coefficient</w:t>
            </w:r>
          </w:p>
        </w:tc>
        <w:tc>
          <w:tcPr>
            <w:tcW w:w="124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Std.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Error</w:t>
            </w:r>
          </w:p>
        </w:tc>
        <w:tc>
          <w:tcPr>
            <w:tcW w:w="110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t-Statistic</w:t>
            </w:r>
          </w:p>
        </w:tc>
        <w:tc>
          <w:tcPr>
            <w:tcW w:w="96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12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Prob.</w:t>
            </w:r>
          </w:p>
        </w:tc>
      </w:tr>
      <w:tr>
        <w:trPr>
          <w:trHeight w:val="410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40" w:lineRule="auto" w:before="75"/>
              <w:ind w:left="172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TAG(-46)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0.46999999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--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183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0.365293</w:t>
            </w:r>
          </w:p>
        </w:tc>
        <w:tc>
          <w:tcPr>
            <w:tcW w:w="12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0.103345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3.534707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0.0004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125" w:right="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-0.000419</w:t>
            </w:r>
          </w:p>
        </w:tc>
        <w:tc>
          <w:tcPr>
            <w:tcW w:w="12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0.000670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-0.625535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0.5318</w:t>
            </w:r>
          </w:p>
        </w:tc>
      </w:tr>
      <w:tr>
        <w:trPr>
          <w:trHeight w:val="411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40" w:lineRule="auto" w:before="75"/>
              <w:ind w:left="1010" w:right="10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0.46999999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&lt;=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TAG(-46)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0.56999999 --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116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0.280348</w:t>
            </w:r>
          </w:p>
        </w:tc>
        <w:tc>
          <w:tcPr>
            <w:tcW w:w="12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0.113398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2.472245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0.0137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0.002224</w:t>
            </w:r>
          </w:p>
        </w:tc>
        <w:tc>
          <w:tcPr>
            <w:tcW w:w="12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0.001071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2.075946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0.0383</w:t>
            </w:r>
          </w:p>
        </w:tc>
      </w:tr>
      <w:tr>
        <w:trPr>
          <w:trHeight w:val="411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40" w:lineRule="auto" w:before="75"/>
              <w:ind w:left="1010" w:right="101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0.56999999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&lt;=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TAG(-46)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0.68999999 --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135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0.234808</w:t>
            </w:r>
          </w:p>
        </w:tc>
        <w:tc>
          <w:tcPr>
            <w:tcW w:w="12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0.105082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2.234518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0.0258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0.001604</w:t>
            </w:r>
          </w:p>
        </w:tc>
        <w:tc>
          <w:tcPr>
            <w:tcW w:w="12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0.000619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2.592095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0.0098</w:t>
            </w:r>
          </w:p>
        </w:tc>
      </w:tr>
      <w:tr>
        <w:trPr>
          <w:trHeight w:val="411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40" w:lineRule="auto" w:before="75"/>
              <w:ind w:left="1667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0.68999999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&lt;=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TAG(-46)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-- 237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0.275512</w:t>
            </w:r>
          </w:p>
        </w:tc>
        <w:tc>
          <w:tcPr>
            <w:tcW w:w="12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0.104142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2.645536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0.0084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0.001076</w:t>
            </w:r>
          </w:p>
        </w:tc>
        <w:tc>
          <w:tcPr>
            <w:tcW w:w="12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0.000538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1.999551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0.0460</w:t>
            </w:r>
          </w:p>
        </w:tc>
      </w:tr>
      <w:tr>
        <w:trPr>
          <w:trHeight w:val="411" w:hRule="atLeast"/>
        </w:trPr>
        <w:tc>
          <w:tcPr>
            <w:tcW w:w="6530" w:type="dxa"/>
            <w:gridSpan w:val="5"/>
          </w:tcPr>
          <w:p>
            <w:pPr>
              <w:pStyle w:val="TableParagraph"/>
              <w:spacing w:line="240" w:lineRule="auto" w:before="75"/>
              <w:ind w:left="1010" w:right="10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Non-Threshold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BDIND</w:t>
            </w:r>
          </w:p>
        </w:tc>
        <w:tc>
          <w:tcPr>
            <w:tcW w:w="12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125" w:right="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-0.026123</w:t>
            </w:r>
          </w:p>
        </w:tc>
        <w:tc>
          <w:tcPr>
            <w:tcW w:w="124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0.057285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-0.456013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0.6485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21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BDOWN</w:t>
            </w:r>
          </w:p>
        </w:tc>
        <w:tc>
          <w:tcPr>
            <w:tcW w:w="1207" w:type="dxa"/>
          </w:tcPr>
          <w:p>
            <w:pPr>
              <w:pStyle w:val="TableParagraph"/>
              <w:spacing w:line="209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0.104713</w:t>
            </w:r>
          </w:p>
        </w:tc>
        <w:tc>
          <w:tcPr>
            <w:tcW w:w="1244" w:type="dxa"/>
          </w:tcPr>
          <w:p>
            <w:pPr>
              <w:pStyle w:val="TableParagraph"/>
              <w:spacing w:line="209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0.048306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2.167706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0.0305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BDS</w:t>
            </w:r>
          </w:p>
        </w:tc>
        <w:tc>
          <w:tcPr>
            <w:tcW w:w="1207" w:type="dxa"/>
          </w:tcPr>
          <w:p>
            <w:pPr>
              <w:pStyle w:val="TableParagraph"/>
              <w:spacing w:line="209" w:lineRule="exact" w:before="0"/>
              <w:ind w:left="125" w:right="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-0.013742</w:t>
            </w:r>
          </w:p>
        </w:tc>
        <w:tc>
          <w:tcPr>
            <w:tcW w:w="1244" w:type="dxa"/>
          </w:tcPr>
          <w:p>
            <w:pPr>
              <w:pStyle w:val="TableParagraph"/>
              <w:spacing w:line="209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0.003963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-3.467668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0.0006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BGD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0"/>
              <w:ind w:left="125" w:right="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-0.047822</w:t>
            </w:r>
          </w:p>
        </w:tc>
        <w:tc>
          <w:tcPr>
            <w:tcW w:w="1244" w:type="dxa"/>
          </w:tcPr>
          <w:p>
            <w:pPr>
              <w:pStyle w:val="TableParagraph"/>
              <w:spacing w:line="210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0.092951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-0.514486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0.6071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544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CEOOWN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0.002017</w:t>
            </w:r>
          </w:p>
        </w:tc>
        <w:tc>
          <w:tcPr>
            <w:tcW w:w="1244" w:type="dxa"/>
          </w:tcPr>
          <w:p>
            <w:pPr>
              <w:pStyle w:val="TableParagraph"/>
              <w:spacing w:line="210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0.000871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2.316038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0.0209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2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CEOT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0"/>
              <w:ind w:left="125" w:right="5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-0.070211</w:t>
            </w:r>
          </w:p>
        </w:tc>
        <w:tc>
          <w:tcPr>
            <w:tcW w:w="1244" w:type="dxa"/>
          </w:tcPr>
          <w:p>
            <w:pPr>
              <w:pStyle w:val="TableParagraph"/>
              <w:spacing w:line="210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0.017639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-3.980549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0.0001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3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FSIZE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0.047588</w:t>
            </w:r>
          </w:p>
        </w:tc>
        <w:tc>
          <w:tcPr>
            <w:tcW w:w="1244" w:type="dxa"/>
          </w:tcPr>
          <w:p>
            <w:pPr>
              <w:pStyle w:val="TableParagraph"/>
              <w:spacing w:line="210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0.013665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3.482482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4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</w:t>
            </w:r>
          </w:p>
        </w:tc>
        <w:tc>
          <w:tcPr>
            <w:tcW w:w="1207" w:type="dxa"/>
          </w:tcPr>
          <w:p>
            <w:pPr>
              <w:pStyle w:val="TableParagraph"/>
              <w:spacing w:line="209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0.000512</w:t>
            </w:r>
          </w:p>
        </w:tc>
        <w:tc>
          <w:tcPr>
            <w:tcW w:w="1244" w:type="dxa"/>
          </w:tcPr>
          <w:p>
            <w:pPr>
              <w:pStyle w:val="TableParagraph"/>
              <w:spacing w:line="209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0.000344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1.488389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0.1371</w:t>
            </w:r>
          </w:p>
        </w:tc>
      </w:tr>
      <w:tr>
        <w:trPr>
          <w:trHeight w:val="330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5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ROA</w:t>
            </w:r>
          </w:p>
        </w:tc>
        <w:tc>
          <w:tcPr>
            <w:tcW w:w="120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5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0.121101</w:t>
            </w:r>
          </w:p>
        </w:tc>
        <w:tc>
          <w:tcPr>
            <w:tcW w:w="124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5" w:lineRule="exact" w:before="0"/>
              <w:ind w:right="15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0.036607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5" w:lineRule="exact" w:before="0"/>
              <w:ind w:right="47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3.308159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5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0.0010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0.116592</w:t>
            </w:r>
          </w:p>
        </w:tc>
        <w:tc>
          <w:tcPr>
            <w:tcW w:w="2347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11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Mean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0.607046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Adjusted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0.094979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line="210" w:lineRule="exact" w:before="0"/>
              <w:ind w:left="11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S.D.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0.235712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S.E.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  <w:tc>
          <w:tcPr>
            <w:tcW w:w="1207" w:type="dxa"/>
          </w:tcPr>
          <w:p>
            <w:pPr>
              <w:pStyle w:val="TableParagraph"/>
              <w:spacing w:line="209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0.224239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line="209" w:lineRule="exact" w:before="0"/>
              <w:ind w:left="11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Akaike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info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criterion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-0.127201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squared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resid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32.88512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line="210" w:lineRule="exact" w:before="0"/>
              <w:ind w:left="11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Schwarz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criterion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-0.012970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Log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likelihood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0"/>
              <w:ind w:left="23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59.67600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line="210" w:lineRule="exact" w:before="0"/>
              <w:ind w:left="11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Hannan-Quinn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criter.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-0.082958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F-statistic</w:t>
            </w:r>
          </w:p>
        </w:tc>
        <w:tc>
          <w:tcPr>
            <w:tcW w:w="1207" w:type="dxa"/>
          </w:tcPr>
          <w:p>
            <w:pPr>
              <w:pStyle w:val="TableParagraph"/>
              <w:spacing w:line="210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5.394649</w:t>
            </w:r>
          </w:p>
        </w:tc>
        <w:tc>
          <w:tcPr>
            <w:tcW w:w="2347" w:type="dxa"/>
            <w:gridSpan w:val="2"/>
          </w:tcPr>
          <w:p>
            <w:pPr>
              <w:pStyle w:val="TableParagraph"/>
              <w:spacing w:line="210" w:lineRule="exact" w:before="0"/>
              <w:ind w:left="11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Durbin-Watson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stat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0.777604</w:t>
            </w:r>
          </w:p>
        </w:tc>
      </w:tr>
      <w:tr>
        <w:trPr>
          <w:trHeight w:val="315" w:hRule="atLeast"/>
        </w:trPr>
        <w:tc>
          <w:tcPr>
            <w:tcW w:w="20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Prob(F-statistic)</w:t>
            </w:r>
          </w:p>
        </w:tc>
        <w:tc>
          <w:tcPr>
            <w:tcW w:w="120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 w:right="9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0.000000</w:t>
            </w:r>
          </w:p>
        </w:tc>
        <w:tc>
          <w:tcPr>
            <w:tcW w:w="2347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21446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21395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45.939987pt;width:100.82pt;height:.72pt;mso-position-horizontal-relative:page;mso-position-vertical-relative:page;z-index:-4921344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168.619995pt;width:100.82pt;height:.71999pt;mso-position-horizontal-relative:page;mso-position-vertical-relative:page;z-index:-4921292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191.419983pt;width:100.82pt;height:.72pt;mso-position-horizontal-relative:page;mso-position-vertical-relative:page;z-index:-4921241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25.61998pt;width:100.82pt;height:.72pt;mso-position-horizontal-relative:page;mso-position-vertical-relative:page;z-index:-4921190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48.449982pt;width:100.82pt;height:.72pt;mso-position-horizontal-relative:page;mso-position-vertical-relative:page;z-index:-4921139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82.649994pt;width:100.82pt;height:.72pt;mso-position-horizontal-relative:page;mso-position-vertical-relative:page;z-index:-4921088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05.449982pt;width:100.82pt;height:.72pt;mso-position-horizontal-relative:page;mso-position-vertical-relative:page;z-index:-4921036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39.649994pt;width:100.82pt;height:.72pt;mso-position-horizontal-relative:page;mso-position-vertical-relative:page;z-index:-4920985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62.449982pt;width:100.82pt;height:.72pt;mso-position-horizontal-relative:page;mso-position-vertical-relative:page;z-index:-4920934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96.649994pt;width:100.82pt;height:.72pt;mso-position-horizontal-relative:page;mso-position-vertical-relative:page;z-index:-4920883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19.469971pt;width:100.82pt;height:.72pt;mso-position-horizontal-relative:page;mso-position-vertical-relative:page;z-index:-4920832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34.190002pt;width:100.82pt;height:.71997pt;mso-position-horizontal-relative:page;mso-position-vertical-relative:page;z-index:-49207808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206"/>
        <w:gridCol w:w="1246"/>
        <w:gridCol w:w="1103"/>
        <w:gridCol w:w="960"/>
      </w:tblGrid>
      <w:tr>
        <w:trPr>
          <w:trHeight w:val="226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TAG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1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Method: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Discrete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Date: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11/02/20</w:t>
            </w:r>
            <w:r>
              <w:rPr>
                <w:rFonts w:ascii="Arial MT"/>
                <w:spacing w:val="52"/>
                <w:sz w:val="20"/>
              </w:rPr>
              <w:t> </w:t>
            </w:r>
            <w:r>
              <w:rPr>
                <w:rFonts w:ascii="Arial MT"/>
                <w:sz w:val="20"/>
              </w:rPr>
              <w:t>Time: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21:00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Sample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(adjusted):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47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1200</w:t>
            </w:r>
          </w:p>
        </w:tc>
      </w:tr>
      <w:tr>
        <w:trPr>
          <w:trHeight w:val="229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Included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observations: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671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after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adjustments</w:t>
            </w:r>
          </w:p>
        </w:tc>
      </w:tr>
      <w:tr>
        <w:trPr>
          <w:trHeight w:val="3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25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TAG(-46)</w:t>
            </w:r>
          </w:p>
        </w:tc>
      </w:tr>
      <w:tr>
        <w:trPr>
          <w:trHeight w:val="408" w:hRule="atLeast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75"/>
              <w:ind w:left="638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Variable</w:t>
            </w:r>
          </w:p>
        </w:tc>
        <w:tc>
          <w:tcPr>
            <w:tcW w:w="120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1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Coefficient</w:t>
            </w:r>
          </w:p>
        </w:tc>
        <w:tc>
          <w:tcPr>
            <w:tcW w:w="124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15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Std.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Error</w:t>
            </w:r>
          </w:p>
        </w:tc>
        <w:tc>
          <w:tcPr>
            <w:tcW w:w="110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t-Statistic</w:t>
            </w:r>
          </w:p>
        </w:tc>
        <w:tc>
          <w:tcPr>
            <w:tcW w:w="96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right="12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Prob.</w:t>
            </w:r>
          </w:p>
        </w:tc>
      </w:tr>
      <w:tr>
        <w:trPr>
          <w:trHeight w:val="41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8"/>
              <w:ind w:left="172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TAG(-46)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0.46999999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--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183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0.365293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0.103586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3.526482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-0.000419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0.000659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-0.636036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0.5250</w:t>
            </w:r>
          </w:p>
        </w:tc>
      </w:tr>
      <w:tr>
        <w:trPr>
          <w:trHeight w:val="411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8"/>
              <w:ind w:left="1010" w:right="10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0.46999999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&lt;=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TAG(-46)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0.56999999 --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116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6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6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0.280348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6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0.108891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6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2.574583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6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0.0103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0.002224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0.000871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2.555153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0.0108</w:t>
            </w:r>
          </w:p>
        </w:tc>
      </w:tr>
      <w:tr>
        <w:trPr>
          <w:trHeight w:val="41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1010" w:right="10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0.56999999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&lt;=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TAG(-46)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0.68999999 --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135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0.234808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0.107880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2.176563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0.0299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0.001604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0.000736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2.177379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0.0298</w:t>
            </w:r>
          </w:p>
        </w:tc>
      </w:tr>
      <w:tr>
        <w:trPr>
          <w:trHeight w:val="411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1667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0.68999999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&lt;=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TAG(-46)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-- 237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0.275512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0.105084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2.621835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0.0089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0.001076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0.000569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1.890173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0.0592</w:t>
            </w:r>
          </w:p>
        </w:tc>
      </w:tr>
      <w:tr>
        <w:trPr>
          <w:trHeight w:val="411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5"/>
              <w:ind w:left="1010" w:right="101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Non-Threshold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6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BDIND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6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-0.026123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6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0.056365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6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-0.463464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6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0.6432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21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BDOWN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0.104713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0.047152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2.220779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0.0267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BDS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-0.013742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0.003920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-3.505539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BGD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-0.047822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0.092864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-0.514968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0.6067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544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CEOOWN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0.002017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0.000855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2.359405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0.0186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2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CEOT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-0.070211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0.017594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-3.990646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0.0001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3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FSIZE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0.047588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0.013666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3.482277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4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0.000512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0.000345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1.484502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0.1382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7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ROA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0.121101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0.036896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3.282244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0.0011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4" w:lineRule="exact" w:before="75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0.116592</w:t>
            </w:r>
          </w:p>
        </w:tc>
        <w:tc>
          <w:tcPr>
            <w:tcW w:w="2349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Mean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75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0.607046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Adjusted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0.094979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S.D.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0.235712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S.E.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0.224239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Akaike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info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criterion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-0.127201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squared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resid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32.88512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09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Schwarz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criterion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-0.012970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Log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likelihood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59.67600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Hannan-Quinn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criter.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-0.082958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F-statistic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5.394649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Durbin-Watson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stat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0.777604</w:t>
            </w:r>
          </w:p>
        </w:tc>
      </w:tr>
      <w:tr>
        <w:trPr>
          <w:trHeight w:val="317" w:hRule="atLeast"/>
        </w:trPr>
        <w:tc>
          <w:tcPr>
            <w:tcW w:w="20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Prob(F-statistic)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0.000000</w:t>
            </w:r>
          </w:p>
        </w:tc>
        <w:tc>
          <w:tcPr>
            <w:tcW w:w="2349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20729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206784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34.419983pt;width:100.82pt;height:.72pt;mso-position-horizontal-relative:page;mso-position-vertical-relative:page;z-index:-4920627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157.099976pt;width:100.82pt;height:.72pt;mso-position-horizontal-relative:page;mso-position-vertical-relative:page;z-index:-4920576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179.899979pt;width:100.82pt;height:.72pt;mso-position-horizontal-relative:page;mso-position-vertical-relative:page;z-index:-4920524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14.099976pt;width:100.82pt;height:.72pt;mso-position-horizontal-relative:page;mso-position-vertical-relative:page;z-index:-4920473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36.899979pt;width:100.82pt;height:.72pt;mso-position-horizontal-relative:page;mso-position-vertical-relative:page;z-index:-4920422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71.129974pt;width:100.82pt;height:.72pt;mso-position-horizontal-relative:page;mso-position-vertical-relative:page;z-index:-4920371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93.929993pt;width:100.82pt;height:.72pt;mso-position-horizontal-relative:page;mso-position-vertical-relative:page;z-index:-4920320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28.129974pt;width:100.82pt;height:.72pt;mso-position-horizontal-relative:page;mso-position-vertical-relative:page;z-index:-4920268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50.929993pt;width:100.82pt;height:.72pt;mso-position-horizontal-relative:page;mso-position-vertical-relative:page;z-index:-4920217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85.129974pt;width:100.82pt;height:.72pt;mso-position-horizontal-relative:page;mso-position-vertical-relative:page;z-index:-4920166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07.929993pt;width:100.82pt;height:.72pt;mso-position-horizontal-relative:page;mso-position-vertical-relative:page;z-index:-4920115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22.669983pt;width:100.82pt;height:.72003pt;mso-position-horizontal-relative:page;mso-position-vertical-relative:page;z-index:-49200640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206"/>
        <w:gridCol w:w="1246"/>
        <w:gridCol w:w="1103"/>
        <w:gridCol w:w="960"/>
      </w:tblGrid>
      <w:tr>
        <w:trPr>
          <w:trHeight w:val="226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6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TAG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Method: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Discrete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</w:tr>
      <w:tr>
        <w:trPr>
          <w:trHeight w:val="230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Date: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11/02/20</w:t>
            </w:r>
            <w:r>
              <w:rPr>
                <w:rFonts w:ascii="Arial MT"/>
                <w:spacing w:val="52"/>
                <w:sz w:val="20"/>
              </w:rPr>
              <w:t> </w:t>
            </w:r>
            <w:r>
              <w:rPr>
                <w:rFonts w:ascii="Arial MT"/>
                <w:sz w:val="20"/>
              </w:rPr>
              <w:t>Time: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21:28</w:t>
            </w:r>
          </w:p>
        </w:tc>
      </w:tr>
      <w:tr>
        <w:trPr>
          <w:trHeight w:val="229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Sample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(adjusted):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7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1200</w:t>
            </w:r>
          </w:p>
        </w:tc>
      </w:tr>
      <w:tr>
        <w:trPr>
          <w:trHeight w:val="229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Included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observations: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709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after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adjustments</w:t>
            </w:r>
          </w:p>
        </w:tc>
      </w:tr>
      <w:tr>
        <w:trPr>
          <w:trHeight w:val="332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23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TAG(-6)</w:t>
            </w:r>
          </w:p>
        </w:tc>
      </w:tr>
      <w:tr>
        <w:trPr>
          <w:trHeight w:val="391" w:hRule="atLeast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638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Variable</w:t>
            </w:r>
          </w:p>
        </w:tc>
        <w:tc>
          <w:tcPr>
            <w:tcW w:w="120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left="12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Coefficient</w:t>
            </w:r>
          </w:p>
        </w:tc>
        <w:tc>
          <w:tcPr>
            <w:tcW w:w="1246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right="153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Std.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Error</w:t>
            </w:r>
          </w:p>
        </w:tc>
        <w:tc>
          <w:tcPr>
            <w:tcW w:w="1103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right="4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t-Statistic</w:t>
            </w:r>
          </w:p>
        </w:tc>
        <w:tc>
          <w:tcPr>
            <w:tcW w:w="960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right="12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Prob.</w:t>
            </w:r>
          </w:p>
        </w:tc>
      </w:tr>
      <w:tr>
        <w:trPr>
          <w:trHeight w:val="408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1"/>
              <w:ind w:left="178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TAG(-6)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0.53999999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--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281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 w:before="71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0.438251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0.104359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4.199467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</w:t>
            </w:r>
          </w:p>
        </w:tc>
      </w:tr>
      <w:tr>
        <w:trPr>
          <w:trHeight w:val="332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BDS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-0.016982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0.005976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-2.841584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0.0046</w:t>
            </w:r>
          </w:p>
        </w:tc>
      </w:tr>
      <w:tr>
        <w:trPr>
          <w:trHeight w:val="409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1"/>
              <w:ind w:left="1010" w:right="1016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0.53999999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&lt;=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TAG(-6)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 0.81999999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--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312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 w:before="71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0.340585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0.102812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3.312711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0.0010</w:t>
            </w:r>
          </w:p>
        </w:tc>
      </w:tr>
      <w:tr>
        <w:trPr>
          <w:trHeight w:val="332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BDS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-0.002165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0.005314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-0.407318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0.6839</w:t>
            </w:r>
          </w:p>
        </w:tc>
      </w:tr>
      <w:tr>
        <w:trPr>
          <w:trHeight w:val="408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1"/>
              <w:ind w:left="172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0.81999999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&lt;=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TAG(-6)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--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116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obs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 w:before="71"/>
              <w:ind w:right="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C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0.570711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0.127112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4.489840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</w:t>
            </w:r>
          </w:p>
        </w:tc>
      </w:tr>
      <w:tr>
        <w:trPr>
          <w:trHeight w:val="332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BDS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-0.024414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0.008113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-3.009231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0.0027</w:t>
            </w:r>
          </w:p>
        </w:tc>
      </w:tr>
      <w:tr>
        <w:trPr>
          <w:trHeight w:val="408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1"/>
              <w:ind w:left="1010" w:right="1014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Non-Threshold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Variables</w:t>
            </w:r>
          </w:p>
        </w:tc>
      </w:tr>
      <w:tr>
        <w:trPr>
          <w:trHeight w:val="30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 w:before="71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BDIND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-0.047311</w:t>
            </w:r>
          </w:p>
        </w:tc>
        <w:tc>
          <w:tcPr>
            <w:tcW w:w="124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0.054937</w:t>
            </w:r>
          </w:p>
        </w:tc>
        <w:tc>
          <w:tcPr>
            <w:tcW w:w="110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-0.861191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8" w:lineRule="exact" w:before="71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0.3894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21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BDOWN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0.051283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0.044713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1.146933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0.2518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57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0.000958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0.000342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2.799462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0.0053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1" w:lineRule="exact" w:before="0"/>
              <w:ind w:left="660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BGD</w:t>
            </w:r>
          </w:p>
        </w:tc>
        <w:tc>
          <w:tcPr>
            <w:tcW w:w="1206" w:type="dxa"/>
          </w:tcPr>
          <w:p>
            <w:pPr>
              <w:pStyle w:val="TableParagraph"/>
              <w:spacing w:line="211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-0.030285</w:t>
            </w:r>
          </w:p>
        </w:tc>
        <w:tc>
          <w:tcPr>
            <w:tcW w:w="1246" w:type="dxa"/>
          </w:tcPr>
          <w:p>
            <w:pPr>
              <w:pStyle w:val="TableParagraph"/>
              <w:spacing w:line="211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0.090887</w:t>
            </w:r>
          </w:p>
        </w:tc>
        <w:tc>
          <w:tcPr>
            <w:tcW w:w="1103" w:type="dxa"/>
          </w:tcPr>
          <w:p>
            <w:pPr>
              <w:pStyle w:val="TableParagraph"/>
              <w:spacing w:line="211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-0.333222</w:t>
            </w:r>
          </w:p>
        </w:tc>
        <w:tc>
          <w:tcPr>
            <w:tcW w:w="960" w:type="dxa"/>
          </w:tcPr>
          <w:p>
            <w:pPr>
              <w:pStyle w:val="TableParagraph"/>
              <w:spacing w:line="211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0.7391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544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CEOOWN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0.001821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0.000823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2.211676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0.0273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662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CEOT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125" w:right="4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-0.064944</w:t>
            </w:r>
          </w:p>
        </w:tc>
        <w:tc>
          <w:tcPr>
            <w:tcW w:w="1246" w:type="dxa"/>
          </w:tcPr>
          <w:p>
            <w:pPr>
              <w:pStyle w:val="TableParagraph"/>
              <w:spacing w:line="209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0.017105</w:t>
            </w:r>
          </w:p>
        </w:tc>
        <w:tc>
          <w:tcPr>
            <w:tcW w:w="1103" w:type="dxa"/>
          </w:tcPr>
          <w:p>
            <w:pPr>
              <w:pStyle w:val="TableParagraph"/>
              <w:spacing w:line="209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-3.796857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0.0002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3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FSIZE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0.033945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0.013394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2.534441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0.0115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664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0.000342</w:t>
            </w:r>
          </w:p>
        </w:tc>
        <w:tc>
          <w:tcPr>
            <w:tcW w:w="1246" w:type="dxa"/>
          </w:tcPr>
          <w:p>
            <w:pPr>
              <w:pStyle w:val="TableParagraph"/>
              <w:spacing w:line="210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0.000335</w:t>
            </w:r>
          </w:p>
        </w:tc>
        <w:tc>
          <w:tcPr>
            <w:tcW w:w="1103" w:type="dxa"/>
          </w:tcPr>
          <w:p>
            <w:pPr>
              <w:pStyle w:val="TableParagraph"/>
              <w:spacing w:line="210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1.020470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0.3079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3" w:lineRule="exact" w:before="0"/>
              <w:ind w:left="661" w:right="668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ROA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0.086893</w:t>
            </w:r>
          </w:p>
        </w:tc>
        <w:tc>
          <w:tcPr>
            <w:tcW w:w="124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152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0.035738</w:t>
            </w:r>
          </w:p>
        </w:tc>
        <w:tc>
          <w:tcPr>
            <w:tcW w:w="110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48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2.431393</w:t>
            </w: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3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0.0153</w:t>
            </w:r>
          </w:p>
        </w:tc>
      </w:tr>
      <w:tr>
        <w:trPr>
          <w:trHeight w:val="310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6" w:lineRule="exact" w:before="74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6" w:lineRule="exact" w:before="74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0.094710</w:t>
            </w:r>
          </w:p>
        </w:tc>
        <w:tc>
          <w:tcPr>
            <w:tcW w:w="2349" w:type="dxa"/>
            <w:gridSpan w:val="2"/>
            <w:tcBorders>
              <w:top w:val="double" w:sz="2" w:space="0" w:color="000000"/>
            </w:tcBorders>
          </w:tcPr>
          <w:p>
            <w:pPr>
              <w:pStyle w:val="TableParagraph"/>
              <w:spacing w:line="216" w:lineRule="exact" w:before="74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Mean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6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6" w:lineRule="exact" w:before="74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0.606795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Adjusted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R-squared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0.076448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09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S.D.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dependent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0.232754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S.E.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regression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0.223680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Akaike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info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criterion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-0.136267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squared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resid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34.72287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Schwarz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criterion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-0.039711</w:t>
            </w:r>
          </w:p>
        </w:tc>
      </w:tr>
      <w:tr>
        <w:trPr>
          <w:trHeight w:val="230" w:hRule="atLeast"/>
        </w:trPr>
        <w:tc>
          <w:tcPr>
            <w:tcW w:w="2016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Log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likelihood</w:t>
            </w:r>
          </w:p>
        </w:tc>
        <w:tc>
          <w:tcPr>
            <w:tcW w:w="1206" w:type="dxa"/>
          </w:tcPr>
          <w:p>
            <w:pPr>
              <w:pStyle w:val="TableParagraph"/>
              <w:spacing w:line="210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63.30657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10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Hannan-Quinn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criter.</w:t>
            </w:r>
          </w:p>
        </w:tc>
        <w:tc>
          <w:tcPr>
            <w:tcW w:w="960" w:type="dxa"/>
          </w:tcPr>
          <w:p>
            <w:pPr>
              <w:pStyle w:val="TableParagraph"/>
              <w:spacing w:line="210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-0.098964</w:t>
            </w:r>
          </w:p>
        </w:tc>
      </w:tr>
      <w:tr>
        <w:trPr>
          <w:trHeight w:val="229" w:hRule="atLeast"/>
        </w:trPr>
        <w:tc>
          <w:tcPr>
            <w:tcW w:w="2016" w:type="dxa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F-statistic</w:t>
            </w:r>
          </w:p>
        </w:tc>
        <w:tc>
          <w:tcPr>
            <w:tcW w:w="1206" w:type="dxa"/>
          </w:tcPr>
          <w:p>
            <w:pPr>
              <w:pStyle w:val="TableParagraph"/>
              <w:spacing w:line="209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5.186114</w:t>
            </w:r>
          </w:p>
        </w:tc>
        <w:tc>
          <w:tcPr>
            <w:tcW w:w="2349" w:type="dxa"/>
            <w:gridSpan w:val="2"/>
          </w:tcPr>
          <w:p>
            <w:pPr>
              <w:pStyle w:val="TableParagraph"/>
              <w:spacing w:line="209" w:lineRule="exact" w:before="0"/>
              <w:ind w:left="116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Durbin-Watson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stat</w:t>
            </w:r>
          </w:p>
        </w:tc>
        <w:tc>
          <w:tcPr>
            <w:tcW w:w="960" w:type="dxa"/>
          </w:tcPr>
          <w:p>
            <w:pPr>
              <w:pStyle w:val="TableParagraph"/>
              <w:spacing w:line="209" w:lineRule="exact" w:before="0"/>
              <w:ind w:right="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0.749016</w:t>
            </w:r>
          </w:p>
        </w:tc>
      </w:tr>
      <w:tr>
        <w:trPr>
          <w:trHeight w:val="316" w:hRule="atLeast"/>
        </w:trPr>
        <w:tc>
          <w:tcPr>
            <w:tcW w:w="20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2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Prob(F-statistic)</w:t>
            </w:r>
          </w:p>
        </w:tc>
        <w:tc>
          <w:tcPr>
            <w:tcW w:w="120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2" w:lineRule="exact" w:before="0"/>
              <w:ind w:left="235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0.000000</w:t>
            </w:r>
          </w:p>
        </w:tc>
        <w:tc>
          <w:tcPr>
            <w:tcW w:w="2349" w:type="dxa"/>
            <w:gridSpan w:val="2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6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20012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3.07pt;margin-top:522.940002pt;width:71.5pt;height:71.75pt;mso-position-horizontal-relative:page;mso-position-vertical-relative:page;z-index:-49199616" coordorigin="2261,10459" coordsize="1430,1435" path="m2777,10459l2715,10498,2693,10538,2693,10543,2696,10553,2700,10557,3359,11216,3393,11252,3450,11321,3493,11386,3521,11448,3538,11533,3537,11559,3512,11632,3458,11693,3389,11726,3337,11732,3309,11730,3250,11715,3187,11687,3120,11643,3049,11584,2360,10897,2356,10893,2284,10929,2261,10969,2262,10974,2938,11657,2987,11704,3035,11745,3083,11782,3176,11839,3265,11875,3348,11892,3388,11893,3427,11890,3500,11869,3565,11829,3623,11770,3666,11701,3687,11624,3691,11584,3689,11542,3670,11455,3632,11363,3574,11269,3538,11221,3496,11173,3450,11124,2792,10466,2787,10462,2777,1045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5.633743pt;margin-top:200.809982pt;width:347.9pt;height:359pt;mso-position-horizontal-relative:page;mso-position-vertical-relative:page;z-index:-49199104" coordorigin="3113,4016" coordsize="6958,7180">
            <v:shape style="position:absolute;left:3112;top:9865;width:1302;height:1331" coordorigin="3113,9865" coordsize="1302,1331" path="m3485,9865l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019,11032,3981,11029,3942,11020,3901,11005,3860,10986,3818,10963,3775,10935,3731,10902,3686,10866,3640,10827,3594,10784,3547,10739,3505,10696,3466,10653,3430,10609,3395,10565,3363,10521,3337,10478,3314,10436,3296,10394,3282,10352,3273,10312,3269,10273,3269,10235,3275,10198,3288,10163,3308,10130,3335,10099,3366,10072,3398,10052,3432,10038,3468,10031,3505,10029,3859,10029,3812,9995,3753,9957,3696,9926,3641,9901,3587,9882,3535,9870,3485,9865xm3859,10029l3505,10029,3544,10033,3583,10041,3623,10055,3665,10074,3707,10097,3750,10124,3794,10156,3838,10191,3883,10230,3928,10271,3974,10315,4016,10359,4055,10403,4093,10447,4128,10491,4159,10535,4187,10578,4210,10621,4228,10663,4243,10705,4253,10746,4257,10786,4256,10824,4250,10861,4236,10896,4216,10930,4189,10961,4158,10988,4125,11009,4091,11023,4056,11030,4019,11032,4355,11032,4373,11004,4394,10958,4407,10910,4414,10860,4414,10808,4408,10754,4394,10698,4374,10641,4347,10583,4315,10523,4276,10462,4231,10400,4180,10336,4124,10273,4061,10208,3997,10146,3934,10089,3872,10039,3859,10029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45.939987pt;width:100.82pt;height:.72pt;mso-position-horizontal-relative:page;mso-position-vertical-relative:page;z-index:-4919859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167.779984pt;width:100.82pt;height:.72pt;mso-position-horizontal-relative:page;mso-position-vertical-relative:page;z-index:-4919808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190.459976pt;width:100.82pt;height:.72pt;mso-position-horizontal-relative:page;mso-position-vertical-relative:page;z-index:-4919756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24.779984pt;width:100.82pt;height:.72pt;mso-position-horizontal-relative:page;mso-position-vertical-relative:page;z-index:-4919705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47.48999pt;width:100.82pt;height:.72pt;mso-position-horizontal-relative:page;mso-position-vertical-relative:page;z-index:-4919654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81.809998pt;width:100.82pt;height:.72pt;mso-position-horizontal-relative:page;mso-position-vertical-relative:page;z-index:-4919603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04.489990pt;width:100.82pt;height:.72pt;mso-position-horizontal-relative:page;mso-position-vertical-relative:page;z-index:-4919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38.809998pt;width:100.82pt;height:.72pt;mso-position-horizontal-relative:page;mso-position-vertical-relative:page;z-index:-4919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61.48999pt;width:100.82pt;height:.72pt;mso-position-horizontal-relative:page;mso-position-vertical-relative:page;z-index:-4919449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76.22998pt;width:100.82pt;height:.72pt;mso-position-horizontal-relative:page;mso-position-vertical-relative:page;z-index:-49193984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44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6"/>
        <w:gridCol w:w="1182"/>
        <w:gridCol w:w="1564"/>
        <w:gridCol w:w="1032"/>
        <w:gridCol w:w="737"/>
      </w:tblGrid>
      <w:tr>
        <w:trPr>
          <w:trHeight w:val="170" w:hRule="atLeast"/>
        </w:trPr>
        <w:tc>
          <w:tcPr>
            <w:tcW w:w="2016" w:type="dxa"/>
          </w:tcPr>
          <w:p>
            <w:pPr>
              <w:pStyle w:val="TableParagraph"/>
              <w:spacing w:line="151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Dependent Variable: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TAG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</w:tr>
      <w:tr>
        <w:trPr>
          <w:trHeight w:val="172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153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Method: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Discrete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Threshold</w:t>
            </w:r>
            <w:r>
              <w:rPr>
                <w:rFonts w:ascii="Arial MT"/>
                <w:spacing w:val="-4"/>
                <w:sz w:val="15"/>
              </w:rPr>
              <w:t> </w:t>
            </w:r>
            <w:r>
              <w:rPr>
                <w:rFonts w:ascii="Arial MT"/>
                <w:sz w:val="15"/>
              </w:rPr>
              <w:t>Regression</w:t>
            </w:r>
          </w:p>
        </w:tc>
      </w:tr>
      <w:tr>
        <w:trPr>
          <w:trHeight w:val="172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153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Date: 11/03/20</w:t>
            </w:r>
            <w:r>
              <w:rPr>
                <w:rFonts w:ascii="Arial MT"/>
                <w:spacing w:val="37"/>
                <w:sz w:val="15"/>
              </w:rPr>
              <w:t> </w:t>
            </w:r>
            <w:r>
              <w:rPr>
                <w:rFonts w:ascii="Arial MT"/>
                <w:sz w:val="15"/>
              </w:rPr>
              <w:t>Time: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03:47</w:t>
            </w:r>
          </w:p>
        </w:tc>
      </w:tr>
      <w:tr>
        <w:trPr>
          <w:trHeight w:val="171" w:hRule="atLeast"/>
        </w:trPr>
        <w:tc>
          <w:tcPr>
            <w:tcW w:w="2016" w:type="dxa"/>
          </w:tcPr>
          <w:p>
            <w:pPr>
              <w:pStyle w:val="TableParagraph"/>
              <w:spacing w:line="152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Sample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(adjusted): 3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1200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</w:tr>
      <w:tr>
        <w:trPr>
          <w:trHeight w:val="171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152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Included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observations: 713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after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adjustments</w:t>
            </w:r>
          </w:p>
        </w:tc>
      </w:tr>
      <w:tr>
        <w:trPr>
          <w:trHeight w:val="172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153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Selection: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Trimming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0.15,</w:t>
            </w:r>
            <w:r>
              <w:rPr>
                <w:rFonts w:ascii="Arial MT"/>
                <w:spacing w:val="-4"/>
                <w:sz w:val="15"/>
              </w:rPr>
              <w:t> </w:t>
            </w:r>
            <w:r>
              <w:rPr>
                <w:rFonts w:ascii="Arial MT"/>
                <w:sz w:val="15"/>
              </w:rPr>
              <w:t>,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Sig.</w:t>
            </w:r>
            <w:r>
              <w:rPr>
                <w:rFonts w:ascii="Arial MT"/>
                <w:spacing w:val="1"/>
                <w:sz w:val="15"/>
              </w:rPr>
              <w:t> </w:t>
            </w:r>
            <w:r>
              <w:rPr>
                <w:rFonts w:ascii="Arial MT"/>
                <w:sz w:val="15"/>
              </w:rPr>
              <w:t>level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0.05</w:t>
            </w:r>
          </w:p>
        </w:tc>
      </w:tr>
      <w:tr>
        <w:trPr>
          <w:trHeight w:val="255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Threshold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variable: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TAG(-2)</w:t>
            </w:r>
          </w:p>
        </w:tc>
        <w:tc>
          <w:tcPr>
            <w:tcW w:w="118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5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7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336" w:hRule="atLeast"/>
        </w:trPr>
        <w:tc>
          <w:tcPr>
            <w:tcW w:w="201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665" w:right="667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Variable</w:t>
            </w:r>
          </w:p>
        </w:tc>
        <w:tc>
          <w:tcPr>
            <w:tcW w:w="118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right="86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Coefficient</w:t>
            </w:r>
          </w:p>
        </w:tc>
        <w:tc>
          <w:tcPr>
            <w:tcW w:w="1564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left="476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Std.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Error</w:t>
            </w:r>
          </w:p>
        </w:tc>
        <w:tc>
          <w:tcPr>
            <w:tcW w:w="1032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left="14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t-Statistic</w:t>
            </w:r>
          </w:p>
        </w:tc>
        <w:tc>
          <w:tcPr>
            <w:tcW w:w="737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left="286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Prob.</w:t>
            </w:r>
          </w:p>
        </w:tc>
      </w:tr>
      <w:tr>
        <w:trPr>
          <w:trHeight w:val="339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3"/>
              <w:ind w:left="2093" w:right="209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TAG(-2)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&lt;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0.46999999 --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199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obs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21"/>
              <w:ind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0"/>
                <w:sz w:val="15"/>
              </w:rPr>
              <w:t>C</w:t>
            </w:r>
          </w:p>
        </w:tc>
        <w:tc>
          <w:tcPr>
            <w:tcW w:w="118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0.375091</w:t>
            </w:r>
          </w:p>
        </w:tc>
        <w:tc>
          <w:tcPr>
            <w:tcW w:w="15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0.111300</w:t>
            </w: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3.370097</w:t>
            </w:r>
          </w:p>
        </w:tc>
        <w:tc>
          <w:tcPr>
            <w:tcW w:w="73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0.0008</w:t>
            </w:r>
          </w:p>
        </w:tc>
      </w:tr>
      <w:tr>
        <w:trPr>
          <w:trHeight w:val="224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5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BDIND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5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0.019572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0.098516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5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0.198668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5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0.8426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BDOWN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0.044111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0.076884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0.573727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0.5663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BDS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-0.013161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0.007050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-1.866663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0.0624</w:t>
            </w:r>
          </w:p>
        </w:tc>
      </w:tr>
      <w:tr>
        <w:trPr>
          <w:trHeight w:val="224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4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BGD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0.187052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0.128111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1.460076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0.1447</w:t>
            </w:r>
          </w:p>
        </w:tc>
      </w:tr>
      <w:tr>
        <w:trPr>
          <w:trHeight w:val="224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5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CEOAGE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5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0.000547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0.000643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5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0.851417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5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0.3948</w:t>
            </w:r>
          </w:p>
        </w:tc>
      </w:tr>
      <w:tr>
        <w:trPr>
          <w:trHeight w:val="199" w:hRule="atLeast"/>
        </w:trPr>
        <w:tc>
          <w:tcPr>
            <w:tcW w:w="2016" w:type="dxa"/>
          </w:tcPr>
          <w:p>
            <w:pPr>
              <w:pStyle w:val="TableParagraph"/>
              <w:spacing w:before="16"/>
              <w:ind w:left="659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CEOOWN</w:t>
            </w:r>
          </w:p>
        </w:tc>
        <w:tc>
          <w:tcPr>
            <w:tcW w:w="1182" w:type="dxa"/>
          </w:tcPr>
          <w:p>
            <w:pPr>
              <w:pStyle w:val="TableParagraph"/>
              <w:spacing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-0.001234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0.001767</w:t>
            </w:r>
          </w:p>
        </w:tc>
        <w:tc>
          <w:tcPr>
            <w:tcW w:w="1032" w:type="dxa"/>
          </w:tcPr>
          <w:p>
            <w:pPr>
              <w:pStyle w:val="TableParagraph"/>
              <w:spacing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-0.698463</w:t>
            </w:r>
          </w:p>
        </w:tc>
        <w:tc>
          <w:tcPr>
            <w:tcW w:w="737" w:type="dxa"/>
          </w:tcPr>
          <w:p>
            <w:pPr>
              <w:pStyle w:val="TableParagraph"/>
              <w:spacing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0.4851</w:t>
            </w:r>
          </w:p>
        </w:tc>
      </w:tr>
      <w:tr>
        <w:trPr>
          <w:trHeight w:val="255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0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CEOT</w:t>
            </w:r>
          </w:p>
        </w:tc>
        <w:tc>
          <w:tcPr>
            <w:tcW w:w="118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-0.029279</w:t>
            </w:r>
          </w:p>
        </w:tc>
        <w:tc>
          <w:tcPr>
            <w:tcW w:w="15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0.028694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-1.020382</w:t>
            </w:r>
          </w:p>
        </w:tc>
        <w:tc>
          <w:tcPr>
            <w:tcW w:w="7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0.3079</w:t>
            </w:r>
          </w:p>
        </w:tc>
      </w:tr>
      <w:tr>
        <w:trPr>
          <w:trHeight w:val="336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1"/>
              <w:ind w:left="1627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0.46999999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&lt;=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TAG(-2)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&lt; 0.66999999</w:t>
            </w:r>
            <w:r>
              <w:rPr>
                <w:rFonts w:ascii="Arial MT"/>
                <w:spacing w:val="2"/>
                <w:sz w:val="15"/>
              </w:rPr>
              <w:t> </w:t>
            </w:r>
            <w:r>
              <w:rPr>
                <w:rFonts w:ascii="Arial MT"/>
                <w:sz w:val="15"/>
              </w:rPr>
              <w:t>--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247 obs</w:t>
            </w:r>
          </w:p>
        </w:tc>
      </w:tr>
      <w:tr>
        <w:trPr>
          <w:trHeight w:val="280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0"/>
                <w:sz w:val="15"/>
              </w:rPr>
              <w:t>C</w:t>
            </w:r>
          </w:p>
        </w:tc>
        <w:tc>
          <w:tcPr>
            <w:tcW w:w="118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0.590883</w:t>
            </w:r>
          </w:p>
        </w:tc>
        <w:tc>
          <w:tcPr>
            <w:tcW w:w="15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0.102612</w:t>
            </w: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5.758407</w:t>
            </w:r>
          </w:p>
        </w:tc>
        <w:tc>
          <w:tcPr>
            <w:tcW w:w="73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0.0000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BDIND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-0.229237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0.084273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-2.720171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0.0067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BDOWN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0.066135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0.066773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0.990440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0.3223</w:t>
            </w:r>
          </w:p>
        </w:tc>
      </w:tr>
      <w:tr>
        <w:trPr>
          <w:trHeight w:val="224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BDS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0.000814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0.004967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0.163773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0.8700</w:t>
            </w:r>
          </w:p>
        </w:tc>
      </w:tr>
      <w:tr>
        <w:trPr>
          <w:trHeight w:val="224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5"/>
              <w:ind w:left="664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BGD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5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-0.197132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0.128874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5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-1.529654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5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0.1266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CEOAGE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0.000415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0.000481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0.862119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0.3889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59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CEOOWN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0.001418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0.001137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1.246910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0.2129</w:t>
            </w:r>
          </w:p>
        </w:tc>
      </w:tr>
      <w:tr>
        <w:trPr>
          <w:trHeight w:val="281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CEOT</w:t>
            </w:r>
          </w:p>
        </w:tc>
        <w:tc>
          <w:tcPr>
            <w:tcW w:w="118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-0.017516</w:t>
            </w:r>
          </w:p>
        </w:tc>
        <w:tc>
          <w:tcPr>
            <w:tcW w:w="15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0.025442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-0.688455</w:t>
            </w:r>
          </w:p>
        </w:tc>
        <w:tc>
          <w:tcPr>
            <w:tcW w:w="7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0.4914</w:t>
            </w:r>
          </w:p>
        </w:tc>
      </w:tr>
      <w:tr>
        <w:trPr>
          <w:trHeight w:val="336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1"/>
              <w:ind w:left="1627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0.66999999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&lt;=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TAG(-2)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&lt; 0.82999999</w:t>
            </w:r>
            <w:r>
              <w:rPr>
                <w:rFonts w:ascii="Arial MT"/>
                <w:spacing w:val="2"/>
                <w:sz w:val="15"/>
              </w:rPr>
              <w:t> </w:t>
            </w:r>
            <w:r>
              <w:rPr>
                <w:rFonts w:ascii="Arial MT"/>
                <w:sz w:val="15"/>
              </w:rPr>
              <w:t>--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157 obs</w:t>
            </w:r>
          </w:p>
        </w:tc>
      </w:tr>
      <w:tr>
        <w:trPr>
          <w:trHeight w:val="329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21"/>
              <w:ind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0"/>
                <w:sz w:val="15"/>
              </w:rPr>
              <w:t>C</w:t>
            </w:r>
          </w:p>
        </w:tc>
        <w:tc>
          <w:tcPr>
            <w:tcW w:w="118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0.462441</w:t>
            </w:r>
          </w:p>
        </w:tc>
        <w:tc>
          <w:tcPr>
            <w:tcW w:w="15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0.126098</w:t>
            </w: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3.667309</w:t>
            </w:r>
          </w:p>
        </w:tc>
        <w:tc>
          <w:tcPr>
            <w:tcW w:w="73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0.0003</w:t>
            </w:r>
          </w:p>
        </w:tc>
      </w:tr>
      <w:tr>
        <w:trPr>
          <w:trHeight w:val="224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5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BDIND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5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0.139658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0.091465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5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1.526902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5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0.1273</w:t>
            </w:r>
          </w:p>
        </w:tc>
      </w:tr>
      <w:tr>
        <w:trPr>
          <w:trHeight w:val="199" w:hRule="atLeast"/>
        </w:trPr>
        <w:tc>
          <w:tcPr>
            <w:tcW w:w="2016" w:type="dxa"/>
          </w:tcPr>
          <w:p>
            <w:pPr>
              <w:pStyle w:val="TableParagraph"/>
              <w:spacing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BDOWN</w:t>
            </w:r>
          </w:p>
        </w:tc>
        <w:tc>
          <w:tcPr>
            <w:tcW w:w="1182" w:type="dxa"/>
          </w:tcPr>
          <w:p>
            <w:pPr>
              <w:pStyle w:val="TableParagraph"/>
              <w:spacing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-0.081189</w:t>
            </w:r>
          </w:p>
        </w:tc>
        <w:tc>
          <w:tcPr>
            <w:tcW w:w="1564" w:type="dxa"/>
          </w:tcPr>
          <w:p>
            <w:pPr>
              <w:pStyle w:val="TableParagraph"/>
              <w:spacing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0.077879</w:t>
            </w:r>
          </w:p>
        </w:tc>
        <w:tc>
          <w:tcPr>
            <w:tcW w:w="1032" w:type="dxa"/>
          </w:tcPr>
          <w:p>
            <w:pPr>
              <w:pStyle w:val="TableParagraph"/>
              <w:spacing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-1.042511</w:t>
            </w:r>
          </w:p>
        </w:tc>
        <w:tc>
          <w:tcPr>
            <w:tcW w:w="737" w:type="dxa"/>
          </w:tcPr>
          <w:p>
            <w:pPr>
              <w:pStyle w:val="TableParagraph"/>
              <w:spacing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0.2975</w:t>
            </w:r>
          </w:p>
        </w:tc>
      </w:tr>
      <w:tr>
        <w:trPr>
          <w:trHeight w:val="199" w:hRule="atLeast"/>
        </w:trPr>
        <w:tc>
          <w:tcPr>
            <w:tcW w:w="2016" w:type="dxa"/>
          </w:tcPr>
          <w:p>
            <w:pPr>
              <w:pStyle w:val="TableParagraph"/>
              <w:spacing w:before="0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BDS</w:t>
            </w:r>
          </w:p>
        </w:tc>
        <w:tc>
          <w:tcPr>
            <w:tcW w:w="1182" w:type="dxa"/>
          </w:tcPr>
          <w:p>
            <w:pPr>
              <w:pStyle w:val="TableParagraph"/>
              <w:spacing w:before="0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-0.011573</w:t>
            </w:r>
          </w:p>
        </w:tc>
        <w:tc>
          <w:tcPr>
            <w:tcW w:w="1564" w:type="dxa"/>
          </w:tcPr>
          <w:p>
            <w:pPr>
              <w:pStyle w:val="TableParagraph"/>
              <w:spacing w:before="0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0.006385</w:t>
            </w:r>
          </w:p>
        </w:tc>
        <w:tc>
          <w:tcPr>
            <w:tcW w:w="1032" w:type="dxa"/>
          </w:tcPr>
          <w:p>
            <w:pPr>
              <w:pStyle w:val="TableParagraph"/>
              <w:spacing w:before="0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-1.812428</w:t>
            </w:r>
          </w:p>
        </w:tc>
        <w:tc>
          <w:tcPr>
            <w:tcW w:w="737" w:type="dxa"/>
          </w:tcPr>
          <w:p>
            <w:pPr>
              <w:pStyle w:val="TableParagraph"/>
              <w:spacing w:before="0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0.0704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4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BGD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0.096091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0.221794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0.433242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0.6650</w:t>
            </w:r>
          </w:p>
        </w:tc>
      </w:tr>
      <w:tr>
        <w:trPr>
          <w:trHeight w:val="197" w:hRule="atLeast"/>
        </w:trPr>
        <w:tc>
          <w:tcPr>
            <w:tcW w:w="2016" w:type="dxa"/>
          </w:tcPr>
          <w:p>
            <w:pPr>
              <w:pStyle w:val="TableParagraph"/>
              <w:spacing w:line="162" w:lineRule="exact" w:before="16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CEOAGE</w:t>
            </w:r>
          </w:p>
        </w:tc>
        <w:tc>
          <w:tcPr>
            <w:tcW w:w="1182" w:type="dxa"/>
          </w:tcPr>
          <w:p>
            <w:pPr>
              <w:pStyle w:val="TableParagraph"/>
              <w:spacing w:line="162" w:lineRule="exact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0.001791</w:t>
            </w:r>
          </w:p>
        </w:tc>
        <w:tc>
          <w:tcPr>
            <w:tcW w:w="1564" w:type="dxa"/>
          </w:tcPr>
          <w:p>
            <w:pPr>
              <w:pStyle w:val="TableParagraph"/>
              <w:spacing w:line="162" w:lineRule="exact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0.000670</w:t>
            </w:r>
          </w:p>
        </w:tc>
        <w:tc>
          <w:tcPr>
            <w:tcW w:w="1032" w:type="dxa"/>
          </w:tcPr>
          <w:p>
            <w:pPr>
              <w:pStyle w:val="TableParagraph"/>
              <w:spacing w:line="162" w:lineRule="exact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2.673476</w:t>
            </w:r>
          </w:p>
        </w:tc>
        <w:tc>
          <w:tcPr>
            <w:tcW w:w="737" w:type="dxa"/>
          </w:tcPr>
          <w:p>
            <w:pPr>
              <w:pStyle w:val="TableParagraph"/>
              <w:spacing w:line="162" w:lineRule="exact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0.0077</w:t>
            </w:r>
          </w:p>
        </w:tc>
      </w:tr>
      <w:tr>
        <w:trPr>
          <w:trHeight w:val="198" w:hRule="atLeast"/>
        </w:trPr>
        <w:tc>
          <w:tcPr>
            <w:tcW w:w="2016" w:type="dxa"/>
          </w:tcPr>
          <w:p>
            <w:pPr>
              <w:pStyle w:val="TableParagraph"/>
              <w:spacing w:line="161" w:lineRule="exact" w:before="0"/>
              <w:ind w:left="659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CEOOWN</w:t>
            </w:r>
          </w:p>
        </w:tc>
        <w:tc>
          <w:tcPr>
            <w:tcW w:w="1182" w:type="dxa"/>
          </w:tcPr>
          <w:p>
            <w:pPr>
              <w:pStyle w:val="TableParagraph"/>
              <w:spacing w:line="161" w:lineRule="exact" w:before="0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0.004639</w:t>
            </w:r>
          </w:p>
        </w:tc>
        <w:tc>
          <w:tcPr>
            <w:tcW w:w="1564" w:type="dxa"/>
          </w:tcPr>
          <w:p>
            <w:pPr>
              <w:pStyle w:val="TableParagraph"/>
              <w:spacing w:line="161" w:lineRule="exact" w:before="0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0.001412</w:t>
            </w:r>
          </w:p>
        </w:tc>
        <w:tc>
          <w:tcPr>
            <w:tcW w:w="1032" w:type="dxa"/>
          </w:tcPr>
          <w:p>
            <w:pPr>
              <w:pStyle w:val="TableParagraph"/>
              <w:spacing w:line="161" w:lineRule="exact" w:before="0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3.284623</w:t>
            </w:r>
          </w:p>
        </w:tc>
        <w:tc>
          <w:tcPr>
            <w:tcW w:w="737" w:type="dxa"/>
          </w:tcPr>
          <w:p>
            <w:pPr>
              <w:pStyle w:val="TableParagraph"/>
              <w:spacing w:line="161" w:lineRule="exact" w:before="0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0.0011</w:t>
            </w:r>
          </w:p>
        </w:tc>
      </w:tr>
      <w:tr>
        <w:trPr>
          <w:trHeight w:val="281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CEOT</w:t>
            </w:r>
          </w:p>
        </w:tc>
        <w:tc>
          <w:tcPr>
            <w:tcW w:w="118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-0.046737</w:t>
            </w:r>
          </w:p>
        </w:tc>
        <w:tc>
          <w:tcPr>
            <w:tcW w:w="15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0.032298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-1.447075</w:t>
            </w:r>
          </w:p>
        </w:tc>
        <w:tc>
          <w:tcPr>
            <w:tcW w:w="7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0.1483</w:t>
            </w:r>
          </w:p>
        </w:tc>
      </w:tr>
      <w:tr>
        <w:trPr>
          <w:trHeight w:val="336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1"/>
              <w:ind w:left="2093" w:right="209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0.82999999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&lt;=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TAG(-2) --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110 obs</w:t>
            </w:r>
          </w:p>
        </w:tc>
      </w:tr>
      <w:tr>
        <w:trPr>
          <w:trHeight w:val="330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21"/>
              <w:ind w:right="4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w w:val="100"/>
                <w:sz w:val="15"/>
              </w:rPr>
              <w:t>C</w:t>
            </w:r>
          </w:p>
        </w:tc>
        <w:tc>
          <w:tcPr>
            <w:tcW w:w="118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1.034181</w:t>
            </w:r>
          </w:p>
        </w:tc>
        <w:tc>
          <w:tcPr>
            <w:tcW w:w="15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0.142261</w:t>
            </w: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7.269607</w:t>
            </w:r>
          </w:p>
        </w:tc>
        <w:tc>
          <w:tcPr>
            <w:tcW w:w="73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21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0.0000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BDIND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-0.139889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0.113888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-1.228305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0.2198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BDOWN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0.067229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0.092152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0.729552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0.4659</w:t>
            </w:r>
          </w:p>
        </w:tc>
      </w:tr>
      <w:tr>
        <w:trPr>
          <w:trHeight w:val="224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BDS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-0.025671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0.007993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-3.211695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0.0014</w:t>
            </w:r>
          </w:p>
        </w:tc>
      </w:tr>
      <w:tr>
        <w:trPr>
          <w:trHeight w:val="224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5"/>
              <w:ind w:left="664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BGD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5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0.670760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5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0.254813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5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2.632361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5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0.0087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CEOAGE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-0.001550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0.000848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-1.827361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0.0681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59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CEOOWN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-0.001756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0.001804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-0.973044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0.3309</w:t>
            </w:r>
          </w:p>
        </w:tc>
      </w:tr>
      <w:tr>
        <w:trPr>
          <w:trHeight w:val="298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6"/>
              <w:ind w:left="665" w:right="666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CEOT</w:t>
            </w:r>
          </w:p>
        </w:tc>
        <w:tc>
          <w:tcPr>
            <w:tcW w:w="118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-0.104995</w:t>
            </w:r>
          </w:p>
        </w:tc>
        <w:tc>
          <w:tcPr>
            <w:tcW w:w="15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0.037415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left="8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-2.806185</w:t>
            </w:r>
          </w:p>
        </w:tc>
        <w:tc>
          <w:tcPr>
            <w:tcW w:w="7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0.0052</w:t>
            </w:r>
          </w:p>
        </w:tc>
      </w:tr>
      <w:tr>
        <w:trPr>
          <w:trHeight w:val="336" w:hRule="atLeast"/>
        </w:trPr>
        <w:tc>
          <w:tcPr>
            <w:tcW w:w="6531" w:type="dxa"/>
            <w:gridSpan w:val="5"/>
          </w:tcPr>
          <w:p>
            <w:pPr>
              <w:pStyle w:val="TableParagraph"/>
              <w:spacing w:line="240" w:lineRule="auto" w:before="71"/>
              <w:ind w:left="2092" w:right="2093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Non-Threshold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Variables</w:t>
            </w:r>
          </w:p>
        </w:tc>
      </w:tr>
      <w:tr>
        <w:trPr>
          <w:trHeight w:val="280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71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FSIZE</w:t>
            </w:r>
          </w:p>
        </w:tc>
        <w:tc>
          <w:tcPr>
            <w:tcW w:w="118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0.015301</w:t>
            </w:r>
          </w:p>
        </w:tc>
        <w:tc>
          <w:tcPr>
            <w:tcW w:w="15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0.011895</w:t>
            </w: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1.286310</w:t>
            </w:r>
          </w:p>
        </w:tc>
        <w:tc>
          <w:tcPr>
            <w:tcW w:w="73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1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0.1988</w:t>
            </w:r>
          </w:p>
        </w:tc>
      </w:tr>
      <w:tr>
        <w:trPr>
          <w:trHeight w:val="225" w:hRule="atLeast"/>
        </w:trPr>
        <w:tc>
          <w:tcPr>
            <w:tcW w:w="2016" w:type="dxa"/>
          </w:tcPr>
          <w:p>
            <w:pPr>
              <w:pStyle w:val="TableParagraph"/>
              <w:spacing w:line="240" w:lineRule="auto" w:before="16"/>
              <w:ind w:left="665" w:right="665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LEV</w:t>
            </w:r>
          </w:p>
        </w:tc>
        <w:tc>
          <w:tcPr>
            <w:tcW w:w="1182" w:type="dxa"/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0.000280</w:t>
            </w:r>
          </w:p>
        </w:tc>
        <w:tc>
          <w:tcPr>
            <w:tcW w:w="1564" w:type="dxa"/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0.000301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0.927624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0.3539</w:t>
            </w:r>
          </w:p>
        </w:tc>
      </w:tr>
      <w:tr>
        <w:trPr>
          <w:trHeight w:val="298" w:hRule="atLeast"/>
        </w:trPr>
        <w:tc>
          <w:tcPr>
            <w:tcW w:w="201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6"/>
              <w:ind w:left="665" w:right="668"/>
              <w:jc w:val="center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ROA</w:t>
            </w:r>
          </w:p>
        </w:tc>
        <w:tc>
          <w:tcPr>
            <w:tcW w:w="118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0.051839</w:t>
            </w:r>
          </w:p>
        </w:tc>
        <w:tc>
          <w:tcPr>
            <w:tcW w:w="15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left="491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0.031607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left="134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1.640116</w:t>
            </w:r>
          </w:p>
        </w:tc>
        <w:tc>
          <w:tcPr>
            <w:tcW w:w="7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16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0.1014</w:t>
            </w:r>
          </w:p>
        </w:tc>
      </w:tr>
      <w:tr>
        <w:trPr>
          <w:trHeight w:val="252" w:hRule="atLeast"/>
        </w:trPr>
        <w:tc>
          <w:tcPr>
            <w:tcW w:w="201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62" w:lineRule="exact" w:before="71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R-squared</w:t>
            </w:r>
          </w:p>
        </w:tc>
        <w:tc>
          <w:tcPr>
            <w:tcW w:w="118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62" w:lineRule="exact" w:before="71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0.341541</w:t>
            </w:r>
          </w:p>
        </w:tc>
        <w:tc>
          <w:tcPr>
            <w:tcW w:w="15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62" w:lineRule="exact" w:before="71"/>
              <w:ind w:left="88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Mean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dependent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var</w:t>
            </w: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737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62" w:lineRule="exact" w:before="71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0.607669</w:t>
            </w:r>
          </w:p>
        </w:tc>
      </w:tr>
      <w:tr>
        <w:trPr>
          <w:trHeight w:val="171" w:hRule="atLeast"/>
        </w:trPr>
        <w:tc>
          <w:tcPr>
            <w:tcW w:w="2016" w:type="dxa"/>
          </w:tcPr>
          <w:p>
            <w:pPr>
              <w:pStyle w:val="TableParagraph"/>
              <w:spacing w:line="152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Adjusted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R-squared</w:t>
            </w:r>
          </w:p>
        </w:tc>
        <w:tc>
          <w:tcPr>
            <w:tcW w:w="1182" w:type="dxa"/>
          </w:tcPr>
          <w:p>
            <w:pPr>
              <w:pStyle w:val="TableParagraph"/>
              <w:spacing w:line="152" w:lineRule="exact" w:before="0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0.308520</w:t>
            </w:r>
          </w:p>
        </w:tc>
        <w:tc>
          <w:tcPr>
            <w:tcW w:w="1564" w:type="dxa"/>
          </w:tcPr>
          <w:p>
            <w:pPr>
              <w:pStyle w:val="TableParagraph"/>
              <w:spacing w:line="152" w:lineRule="exact" w:before="0"/>
              <w:ind w:left="88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S.D. dependent</w:t>
            </w:r>
            <w:r>
              <w:rPr>
                <w:rFonts w:ascii="Arial MT"/>
                <w:spacing w:val="-3"/>
                <w:sz w:val="15"/>
              </w:rPr>
              <w:t> </w:t>
            </w:r>
            <w:r>
              <w:rPr>
                <w:rFonts w:ascii="Arial MT"/>
                <w:sz w:val="15"/>
              </w:rPr>
              <w:t>var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52" w:lineRule="exact" w:before="0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0.232397</w:t>
            </w:r>
          </w:p>
        </w:tc>
      </w:tr>
      <w:tr>
        <w:trPr>
          <w:trHeight w:val="172" w:hRule="atLeast"/>
        </w:trPr>
        <w:tc>
          <w:tcPr>
            <w:tcW w:w="2016" w:type="dxa"/>
          </w:tcPr>
          <w:p>
            <w:pPr>
              <w:pStyle w:val="TableParagraph"/>
              <w:spacing w:line="153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S.E.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of regression</w:t>
            </w:r>
          </w:p>
        </w:tc>
        <w:tc>
          <w:tcPr>
            <w:tcW w:w="1182" w:type="dxa"/>
          </w:tcPr>
          <w:p>
            <w:pPr>
              <w:pStyle w:val="TableParagraph"/>
              <w:spacing w:line="153" w:lineRule="exact" w:before="0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0.193250</w:t>
            </w:r>
          </w:p>
        </w:tc>
        <w:tc>
          <w:tcPr>
            <w:tcW w:w="1564" w:type="dxa"/>
          </w:tcPr>
          <w:p>
            <w:pPr>
              <w:pStyle w:val="TableParagraph"/>
              <w:spacing w:line="153" w:lineRule="exact" w:before="0"/>
              <w:ind w:left="88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Akaike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info</w:t>
            </w:r>
            <w:r>
              <w:rPr>
                <w:rFonts w:ascii="Arial MT"/>
                <w:spacing w:val="-1"/>
                <w:sz w:val="15"/>
              </w:rPr>
              <w:t> </w:t>
            </w:r>
            <w:r>
              <w:rPr>
                <w:rFonts w:ascii="Arial MT"/>
                <w:sz w:val="15"/>
              </w:rPr>
              <w:t>criterion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53" w:lineRule="exact" w:before="0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-0.401821</w:t>
            </w:r>
          </w:p>
        </w:tc>
      </w:tr>
      <w:tr>
        <w:trPr>
          <w:trHeight w:val="172" w:hRule="atLeast"/>
        </w:trPr>
        <w:tc>
          <w:tcPr>
            <w:tcW w:w="2016" w:type="dxa"/>
          </w:tcPr>
          <w:p>
            <w:pPr>
              <w:pStyle w:val="TableParagraph"/>
              <w:spacing w:line="153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Sum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squared resid</w:t>
            </w:r>
          </w:p>
        </w:tc>
        <w:tc>
          <w:tcPr>
            <w:tcW w:w="1182" w:type="dxa"/>
          </w:tcPr>
          <w:p>
            <w:pPr>
              <w:pStyle w:val="TableParagraph"/>
              <w:spacing w:line="153" w:lineRule="exact" w:before="0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25.32030</w:t>
            </w:r>
          </w:p>
        </w:tc>
        <w:tc>
          <w:tcPr>
            <w:tcW w:w="1564" w:type="dxa"/>
          </w:tcPr>
          <w:p>
            <w:pPr>
              <w:pStyle w:val="TableParagraph"/>
              <w:spacing w:line="153" w:lineRule="exact" w:before="0"/>
              <w:ind w:left="88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Schwarz</w:t>
            </w:r>
            <w:r>
              <w:rPr>
                <w:rFonts w:ascii="Arial MT"/>
                <w:spacing w:val="-2"/>
                <w:sz w:val="15"/>
              </w:rPr>
              <w:t> </w:t>
            </w:r>
            <w:r>
              <w:rPr>
                <w:rFonts w:ascii="Arial MT"/>
                <w:sz w:val="15"/>
              </w:rPr>
              <w:t>criterion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53" w:lineRule="exact" w:before="0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-0.177513</w:t>
            </w:r>
          </w:p>
        </w:tc>
      </w:tr>
      <w:tr>
        <w:trPr>
          <w:trHeight w:val="172" w:hRule="atLeast"/>
        </w:trPr>
        <w:tc>
          <w:tcPr>
            <w:tcW w:w="2016" w:type="dxa"/>
          </w:tcPr>
          <w:p>
            <w:pPr>
              <w:pStyle w:val="TableParagraph"/>
              <w:spacing w:line="153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Log likelihood</w:t>
            </w:r>
          </w:p>
        </w:tc>
        <w:tc>
          <w:tcPr>
            <w:tcW w:w="1182" w:type="dxa"/>
          </w:tcPr>
          <w:p>
            <w:pPr>
              <w:pStyle w:val="TableParagraph"/>
              <w:spacing w:line="153" w:lineRule="exact" w:before="0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178.2492</w:t>
            </w:r>
          </w:p>
        </w:tc>
        <w:tc>
          <w:tcPr>
            <w:tcW w:w="1564" w:type="dxa"/>
          </w:tcPr>
          <w:p>
            <w:pPr>
              <w:pStyle w:val="TableParagraph"/>
              <w:spacing w:line="153" w:lineRule="exact" w:before="0"/>
              <w:ind w:left="88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Hannan-Quinn</w:t>
            </w:r>
            <w:r>
              <w:rPr>
                <w:rFonts w:ascii="Arial MT"/>
                <w:spacing w:val="-4"/>
                <w:sz w:val="15"/>
              </w:rPr>
              <w:t> </w:t>
            </w:r>
            <w:r>
              <w:rPr>
                <w:rFonts w:ascii="Arial MT"/>
                <w:sz w:val="15"/>
              </w:rPr>
              <w:t>criter.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53" w:lineRule="exact" w:before="0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-0.315187</w:t>
            </w:r>
          </w:p>
        </w:tc>
      </w:tr>
      <w:tr>
        <w:trPr>
          <w:trHeight w:val="172" w:hRule="atLeast"/>
        </w:trPr>
        <w:tc>
          <w:tcPr>
            <w:tcW w:w="2016" w:type="dxa"/>
          </w:tcPr>
          <w:p>
            <w:pPr>
              <w:pStyle w:val="TableParagraph"/>
              <w:spacing w:line="153" w:lineRule="exact"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F-statistic</w:t>
            </w:r>
          </w:p>
        </w:tc>
        <w:tc>
          <w:tcPr>
            <w:tcW w:w="1182" w:type="dxa"/>
          </w:tcPr>
          <w:p>
            <w:pPr>
              <w:pStyle w:val="TableParagraph"/>
              <w:spacing w:line="153" w:lineRule="exact" w:before="0"/>
              <w:ind w:right="8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10.34342</w:t>
            </w:r>
          </w:p>
        </w:tc>
        <w:tc>
          <w:tcPr>
            <w:tcW w:w="1564" w:type="dxa"/>
          </w:tcPr>
          <w:p>
            <w:pPr>
              <w:pStyle w:val="TableParagraph"/>
              <w:spacing w:line="153" w:lineRule="exact" w:before="0"/>
              <w:ind w:left="88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Durbin-Watson</w:t>
            </w:r>
            <w:r>
              <w:rPr>
                <w:rFonts w:ascii="Arial MT"/>
                <w:spacing w:val="-4"/>
                <w:sz w:val="15"/>
              </w:rPr>
              <w:t> </w:t>
            </w:r>
            <w:r>
              <w:rPr>
                <w:rFonts w:ascii="Arial MT"/>
                <w:sz w:val="15"/>
              </w:rPr>
              <w:t>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0"/>
              </w:rPr>
            </w:pPr>
          </w:p>
        </w:tc>
        <w:tc>
          <w:tcPr>
            <w:tcW w:w="737" w:type="dxa"/>
          </w:tcPr>
          <w:p>
            <w:pPr>
              <w:pStyle w:val="TableParagraph"/>
              <w:spacing w:line="153" w:lineRule="exact" w:before="0"/>
              <w:ind w:right="4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1.133241</w:t>
            </w:r>
          </w:p>
        </w:tc>
      </w:tr>
      <w:tr>
        <w:trPr>
          <w:trHeight w:val="257" w:hRule="atLeast"/>
        </w:trPr>
        <w:tc>
          <w:tcPr>
            <w:tcW w:w="201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ind w:left="-3" w:right="0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Prob(F-statistic)</w:t>
            </w:r>
          </w:p>
        </w:tc>
        <w:tc>
          <w:tcPr>
            <w:tcW w:w="118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before="0"/>
              <w:ind w:right="85"/>
              <w:rPr>
                <w:rFonts w:ascii="Arial MT"/>
                <w:sz w:val="15"/>
              </w:rPr>
            </w:pPr>
            <w:r>
              <w:rPr>
                <w:rFonts w:ascii="Arial MT"/>
                <w:sz w:val="15"/>
              </w:rPr>
              <w:t>0.000000</w:t>
            </w:r>
          </w:p>
        </w:tc>
        <w:tc>
          <w:tcPr>
            <w:tcW w:w="15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737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93472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92960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26.259979pt;width:100.82pt;height:.72pt;mso-position-horizontal-relative:page;mso-position-vertical-relative:page;z-index:-4919244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145.339981pt;width:100.82pt;height:.72pt;mso-position-horizontal-relative:page;mso-position-vertical-relative:page;z-index:-4919193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164.539978pt;width:100.82pt;height:.72pt;mso-position-horizontal-relative:page;mso-position-vertical-relative:page;z-index:-4919142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62.25pt;width:100.82pt;height:.71997pt;mso-position-horizontal-relative:page;mso-position-vertical-relative:page;z-index:-4919091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81.329987pt;width:100.82pt;height:.72pt;mso-position-horizontal-relative:page;mso-position-vertical-relative:page;z-index:-4919040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79.249969pt;width:100.82pt;height:.72pt;mso-position-horizontal-relative:page;mso-position-vertical-relative:page;z-index:-4918988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398.329987pt;width:100.82pt;height:.72pt;mso-position-horizontal-relative:page;mso-position-vertical-relative:page;z-index:-4918937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93.389984pt;width:100.82pt;height:.72pt;mso-position-horizontal-relative:page;mso-position-vertical-relative:page;z-index:-4918886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12.469971pt;width:100.82pt;height:.72003pt;mso-position-horizontal-relative:page;mso-position-vertical-relative:page;z-index:-4918835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613.779968pt;width:100.82pt;height:.72003pt;mso-position-horizontal-relative:page;mso-position-vertical-relative:page;z-index:-4918784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632.859985pt;width:100.82pt;height:.71997pt;mso-position-horizontal-relative:page;mso-position-vertical-relative:page;z-index:-4918732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675.339966pt;width:100.82pt;height:.72003pt;mso-position-horizontal-relative:page;mso-position-vertical-relative:page;z-index:-4918681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4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5"/>
        <w:gridCol w:w="1531"/>
        <w:gridCol w:w="1450"/>
        <w:gridCol w:w="1078"/>
      </w:tblGrid>
      <w:tr>
        <w:trPr>
          <w:trHeight w:val="226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0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Discrete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Specification</w:t>
            </w: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1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Description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the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specification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used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in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estimation</w:t>
            </w:r>
          </w:p>
        </w:tc>
      </w:tr>
      <w:tr>
        <w:trPr>
          <w:trHeight w:val="230" w:hRule="atLeast"/>
        </w:trPr>
        <w:tc>
          <w:tcPr>
            <w:tcW w:w="1585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Equation: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EQ02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315" w:hRule="atLeast"/>
        </w:trPr>
        <w:tc>
          <w:tcPr>
            <w:tcW w:w="5644" w:type="dxa"/>
            <w:gridSpan w:val="4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Date: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11/03/20</w:t>
            </w:r>
            <w:r>
              <w:rPr>
                <w:rFonts w:ascii="Arial MT"/>
                <w:spacing w:val="52"/>
                <w:sz w:val="20"/>
              </w:rPr>
              <w:t> </w:t>
            </w:r>
            <w:r>
              <w:rPr>
                <w:rFonts w:ascii="Arial MT"/>
                <w:sz w:val="20"/>
              </w:rPr>
              <w:t>Time: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04:37</w:t>
            </w:r>
          </w:p>
        </w:tc>
      </w:tr>
      <w:tr>
        <w:trPr>
          <w:trHeight w:val="410" w:hRule="atLeast"/>
        </w:trPr>
        <w:tc>
          <w:tcPr>
            <w:tcW w:w="5644" w:type="dxa"/>
            <w:gridSpan w:val="4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90"/>
              <w:ind w:left="2368" w:right="237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Summary</w:t>
            </w:r>
          </w:p>
        </w:tc>
      </w:tr>
      <w:tr>
        <w:trPr>
          <w:trHeight w:val="323" w:hRule="atLeast"/>
        </w:trPr>
        <w:tc>
          <w:tcPr>
            <w:tcW w:w="5644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9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TAG(-2)</w:t>
            </w: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Estimated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number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3</w:t>
            </w:r>
          </w:p>
        </w:tc>
      </w:tr>
      <w:tr>
        <w:trPr>
          <w:trHeight w:val="229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Method: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Bai-Perron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tests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L+1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vs.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L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sequentially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determined</w:t>
            </w:r>
          </w:p>
        </w:tc>
      </w:tr>
      <w:tr>
        <w:trPr>
          <w:trHeight w:val="229" w:hRule="atLeast"/>
        </w:trPr>
        <w:tc>
          <w:tcPr>
            <w:tcW w:w="1585" w:type="dxa"/>
          </w:tcPr>
          <w:p>
            <w:pPr>
              <w:pStyle w:val="TableParagraph"/>
              <w:spacing w:line="209" w:lineRule="exact" w:before="0"/>
              <w:ind w:left="439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Thresholds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Maximum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number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thresholds: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5</w:t>
            </w: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data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values:</w:t>
            </w:r>
            <w:r>
              <w:rPr>
                <w:rFonts w:ascii="Arial MT"/>
                <w:spacing w:val="2"/>
                <w:sz w:val="20"/>
              </w:rPr>
              <w:t> </w:t>
            </w:r>
            <w:r>
              <w:rPr>
                <w:rFonts w:ascii="Arial MT"/>
                <w:sz w:val="20"/>
              </w:rPr>
              <w:t>0.47,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0.67,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0.83</w:t>
            </w: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Adjacent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data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values: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0.46,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0.66,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0.82</w:t>
            </w:r>
          </w:p>
        </w:tc>
      </w:tr>
      <w:tr>
        <w:trPr>
          <w:trHeight w:val="315" w:hRule="atLeast"/>
        </w:trPr>
        <w:tc>
          <w:tcPr>
            <w:tcW w:w="5644" w:type="dxa"/>
            <w:gridSpan w:val="4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Thresholds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values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used: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0.46999999,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0.66999999,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0.82999999</w:t>
            </w:r>
          </w:p>
        </w:tc>
      </w:tr>
      <w:tr>
        <w:trPr>
          <w:trHeight w:val="669" w:hRule="atLeast"/>
        </w:trPr>
        <w:tc>
          <w:tcPr>
            <w:tcW w:w="5644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b/>
                <w:sz w:val="27"/>
              </w:rPr>
            </w:pPr>
          </w:p>
          <w:p>
            <w:pPr>
              <w:pStyle w:val="TableParagraph"/>
              <w:spacing w:line="240" w:lineRule="auto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Current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calculations:</w:t>
            </w:r>
          </w:p>
        </w:tc>
      </w:tr>
      <w:tr>
        <w:trPr>
          <w:trHeight w:val="345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4" w:lineRule="exact" w:before="112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Multiple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tests</w:t>
            </w:r>
          </w:p>
        </w:tc>
      </w:tr>
      <w:tr>
        <w:trPr>
          <w:trHeight w:val="458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28" w:lineRule="exact" w:before="0"/>
              <w:ind w:left="-3" w:right="946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Bai-Perron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tests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of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L+1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vs.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L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sequentially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determined</w:t>
            </w:r>
            <w:r>
              <w:rPr>
                <w:rFonts w:ascii="Arial MT"/>
                <w:spacing w:val="-52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thresholds</w:t>
            </w: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Date: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11/03/20</w:t>
            </w:r>
            <w:r>
              <w:rPr>
                <w:rFonts w:ascii="Arial MT"/>
                <w:spacing w:val="52"/>
                <w:sz w:val="20"/>
              </w:rPr>
              <w:t> </w:t>
            </w:r>
            <w:r>
              <w:rPr>
                <w:rFonts w:ascii="Arial MT"/>
                <w:sz w:val="20"/>
              </w:rPr>
              <w:t>Time: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04:37</w:t>
            </w:r>
          </w:p>
        </w:tc>
      </w:tr>
      <w:tr>
        <w:trPr>
          <w:trHeight w:val="230" w:hRule="atLeast"/>
        </w:trPr>
        <w:tc>
          <w:tcPr>
            <w:tcW w:w="1585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Sample: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3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724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Included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observations: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713</w:t>
            </w:r>
          </w:p>
        </w:tc>
      </w:tr>
      <w:tr>
        <w:trPr>
          <w:trHeight w:val="229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variable: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TAG(-2)</w:t>
            </w:r>
          </w:p>
        </w:tc>
      </w:tr>
      <w:tr>
        <w:trPr>
          <w:trHeight w:val="229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09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varying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BDIND</w:t>
            </w:r>
            <w:r>
              <w:rPr>
                <w:rFonts w:ascii="Arial MT"/>
                <w:spacing w:val="1"/>
                <w:sz w:val="20"/>
              </w:rPr>
              <w:t> </w:t>
            </w:r>
            <w:r>
              <w:rPr>
                <w:rFonts w:ascii="Arial MT"/>
                <w:sz w:val="20"/>
              </w:rPr>
              <w:t>BDOWN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BDS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BGD</w:t>
            </w: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439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CEOAGE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CEOOWN CEOT</w:t>
            </w: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non-varying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variables: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FSIZE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LEV ROA</w:t>
            </w:r>
          </w:p>
        </w:tc>
      </w:tr>
      <w:tr>
        <w:trPr>
          <w:trHeight w:val="230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test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options: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Trimming 0.15,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Max.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thresholds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5,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Sig.</w:t>
            </w:r>
          </w:p>
        </w:tc>
      </w:tr>
      <w:tr>
        <w:trPr>
          <w:trHeight w:val="315" w:hRule="atLeast"/>
        </w:trPr>
        <w:tc>
          <w:tcPr>
            <w:tcW w:w="158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441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level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0.05</w:t>
            </w:r>
          </w:p>
        </w:tc>
        <w:tc>
          <w:tcPr>
            <w:tcW w:w="15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45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7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411" w:hRule="atLeast"/>
        </w:trPr>
        <w:tc>
          <w:tcPr>
            <w:tcW w:w="4566" w:type="dxa"/>
            <w:gridSpan w:val="3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9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Sequential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F-statistic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determined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thresholds:</w:t>
            </w:r>
          </w:p>
        </w:tc>
        <w:tc>
          <w:tcPr>
            <w:tcW w:w="1078" w:type="dxa"/>
            <w:tcBorders>
              <w:top w:val="double" w:sz="2" w:space="0" w:color="000000"/>
              <w:bottom w:val="double" w:sz="2" w:space="0" w:color="000000"/>
            </w:tcBorders>
          </w:tcPr>
          <w:p>
            <w:pPr>
              <w:pStyle w:val="TableParagraph"/>
              <w:spacing w:line="240" w:lineRule="auto" w:before="90"/>
              <w:ind w:left="20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</w:tr>
      <w:tr>
        <w:trPr>
          <w:trHeight w:val="323" w:hRule="atLeast"/>
        </w:trPr>
        <w:tc>
          <w:tcPr>
            <w:tcW w:w="158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53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45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90"/>
              <w:ind w:left="402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Scaled</w:t>
            </w:r>
          </w:p>
        </w:tc>
        <w:tc>
          <w:tcPr>
            <w:tcW w:w="107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90"/>
              <w:ind w:left="21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Critical</w:t>
            </w:r>
          </w:p>
        </w:tc>
      </w:tr>
      <w:tr>
        <w:trPr>
          <w:trHeight w:val="315" w:hRule="atLeast"/>
        </w:trPr>
        <w:tc>
          <w:tcPr>
            <w:tcW w:w="158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124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Test</w:t>
            </w:r>
          </w:p>
        </w:tc>
        <w:tc>
          <w:tcPr>
            <w:tcW w:w="15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39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F-statistic</w:t>
            </w:r>
          </w:p>
        </w:tc>
        <w:tc>
          <w:tcPr>
            <w:tcW w:w="145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280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F-statistic</w:t>
            </w:r>
          </w:p>
        </w:tc>
        <w:tc>
          <w:tcPr>
            <w:tcW w:w="107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189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Value**</w:t>
            </w:r>
          </w:p>
        </w:tc>
      </w:tr>
      <w:tr>
        <w:trPr>
          <w:trHeight w:val="323" w:hRule="atLeast"/>
        </w:trPr>
        <w:tc>
          <w:tcPr>
            <w:tcW w:w="158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9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vs.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1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*</w:t>
            </w:r>
          </w:p>
        </w:tc>
        <w:tc>
          <w:tcPr>
            <w:tcW w:w="153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90"/>
              <w:ind w:right="15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19.25854</w:t>
            </w:r>
          </w:p>
        </w:tc>
        <w:tc>
          <w:tcPr>
            <w:tcW w:w="145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90"/>
              <w:ind w:right="1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154.0683</w:t>
            </w:r>
          </w:p>
        </w:tc>
        <w:tc>
          <w:tcPr>
            <w:tcW w:w="1078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90"/>
              <w:ind w:right="16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23.70</w:t>
            </w:r>
          </w:p>
        </w:tc>
      </w:tr>
      <w:tr>
        <w:trPr>
          <w:trHeight w:val="230" w:hRule="atLeast"/>
        </w:trPr>
        <w:tc>
          <w:tcPr>
            <w:tcW w:w="1585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vs.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2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*</w:t>
            </w:r>
          </w:p>
        </w:tc>
        <w:tc>
          <w:tcPr>
            <w:tcW w:w="1531" w:type="dxa"/>
          </w:tcPr>
          <w:p>
            <w:pPr>
              <w:pStyle w:val="TableParagraph"/>
              <w:spacing w:line="210" w:lineRule="exact" w:before="0"/>
              <w:ind w:right="15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5.878380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 w:before="0"/>
              <w:ind w:right="1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47.02704</w:t>
            </w:r>
          </w:p>
        </w:tc>
        <w:tc>
          <w:tcPr>
            <w:tcW w:w="1078" w:type="dxa"/>
          </w:tcPr>
          <w:p>
            <w:pPr>
              <w:pStyle w:val="TableParagraph"/>
              <w:spacing w:line="210" w:lineRule="exact" w:before="0"/>
              <w:ind w:right="16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25.75</w:t>
            </w:r>
          </w:p>
        </w:tc>
      </w:tr>
      <w:tr>
        <w:trPr>
          <w:trHeight w:val="230" w:hRule="atLeast"/>
        </w:trPr>
        <w:tc>
          <w:tcPr>
            <w:tcW w:w="1585" w:type="dxa"/>
          </w:tcPr>
          <w:p>
            <w:pPr>
              <w:pStyle w:val="TableParagraph"/>
              <w:spacing w:line="210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vs.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3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*</w:t>
            </w:r>
          </w:p>
        </w:tc>
        <w:tc>
          <w:tcPr>
            <w:tcW w:w="1531" w:type="dxa"/>
          </w:tcPr>
          <w:p>
            <w:pPr>
              <w:pStyle w:val="TableParagraph"/>
              <w:spacing w:line="210" w:lineRule="exact" w:before="0"/>
              <w:ind w:right="15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6.148517</w:t>
            </w:r>
          </w:p>
        </w:tc>
        <w:tc>
          <w:tcPr>
            <w:tcW w:w="1450" w:type="dxa"/>
          </w:tcPr>
          <w:p>
            <w:pPr>
              <w:pStyle w:val="TableParagraph"/>
              <w:spacing w:line="210" w:lineRule="exact" w:before="0"/>
              <w:ind w:right="1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49.18813</w:t>
            </w:r>
          </w:p>
        </w:tc>
        <w:tc>
          <w:tcPr>
            <w:tcW w:w="1078" w:type="dxa"/>
          </w:tcPr>
          <w:p>
            <w:pPr>
              <w:pStyle w:val="TableParagraph"/>
              <w:spacing w:line="210" w:lineRule="exact" w:before="0"/>
              <w:ind w:right="16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26.81</w:t>
            </w:r>
          </w:p>
        </w:tc>
      </w:tr>
      <w:tr>
        <w:trPr>
          <w:trHeight w:val="315" w:hRule="atLeast"/>
        </w:trPr>
        <w:tc>
          <w:tcPr>
            <w:tcW w:w="158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3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vs.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4</w:t>
            </w:r>
          </w:p>
        </w:tc>
        <w:tc>
          <w:tcPr>
            <w:tcW w:w="15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59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2.379088</w:t>
            </w:r>
          </w:p>
        </w:tc>
        <w:tc>
          <w:tcPr>
            <w:tcW w:w="145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91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19.03270</w:t>
            </w:r>
          </w:p>
        </w:tc>
        <w:tc>
          <w:tcPr>
            <w:tcW w:w="107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16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27.65</w:t>
            </w:r>
          </w:p>
        </w:tc>
      </w:tr>
      <w:tr>
        <w:trPr>
          <w:trHeight w:val="323" w:hRule="atLeast"/>
        </w:trPr>
        <w:tc>
          <w:tcPr>
            <w:tcW w:w="5644" w:type="dxa"/>
            <w:gridSpan w:val="4"/>
            <w:tcBorders>
              <w:top w:val="double" w:sz="2" w:space="0" w:color="000000"/>
            </w:tcBorders>
          </w:tcPr>
          <w:p>
            <w:pPr>
              <w:pStyle w:val="TableParagraph"/>
              <w:spacing w:line="214" w:lineRule="exact" w:before="9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*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Significant at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the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0.05</w:t>
            </w:r>
            <w:r>
              <w:rPr>
                <w:rFonts w:ascii="Arial MT"/>
                <w:spacing w:val="-1"/>
                <w:sz w:val="20"/>
              </w:rPr>
              <w:t> </w:t>
            </w:r>
            <w:r>
              <w:rPr>
                <w:rFonts w:ascii="Arial MT"/>
                <w:sz w:val="20"/>
              </w:rPr>
              <w:t>level.</w:t>
            </w:r>
          </w:p>
        </w:tc>
      </w:tr>
      <w:tr>
        <w:trPr>
          <w:trHeight w:val="345" w:hRule="atLeast"/>
        </w:trPr>
        <w:tc>
          <w:tcPr>
            <w:tcW w:w="5644" w:type="dxa"/>
            <w:gridSpan w:val="4"/>
          </w:tcPr>
          <w:p>
            <w:pPr>
              <w:pStyle w:val="TableParagraph"/>
              <w:spacing w:line="227" w:lineRule="exact" w:before="0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**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Bai-Perron</w:t>
            </w:r>
            <w:r>
              <w:rPr>
                <w:rFonts w:ascii="Arial MT"/>
                <w:spacing w:val="-2"/>
                <w:sz w:val="20"/>
              </w:rPr>
              <w:t> </w:t>
            </w:r>
            <w:r>
              <w:rPr>
                <w:rFonts w:ascii="Arial MT"/>
                <w:sz w:val="20"/>
              </w:rPr>
              <w:t>(Econometric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Journal,</w:t>
            </w:r>
            <w:r>
              <w:rPr>
                <w:rFonts w:ascii="Arial MT"/>
                <w:spacing w:val="-4"/>
                <w:sz w:val="20"/>
              </w:rPr>
              <w:t> </w:t>
            </w:r>
            <w:r>
              <w:rPr>
                <w:rFonts w:ascii="Arial MT"/>
                <w:sz w:val="20"/>
              </w:rPr>
              <w:t>2003)</w:t>
            </w:r>
            <w:r>
              <w:rPr>
                <w:rFonts w:ascii="Arial MT"/>
                <w:spacing w:val="-3"/>
                <w:sz w:val="20"/>
              </w:rPr>
              <w:t> </w:t>
            </w:r>
            <w:r>
              <w:rPr>
                <w:rFonts w:ascii="Arial MT"/>
                <w:sz w:val="20"/>
              </w:rPr>
              <w:t>critical</w:t>
            </w:r>
            <w:r>
              <w:rPr>
                <w:rFonts w:ascii="Arial MT"/>
                <w:spacing w:val="-5"/>
                <w:sz w:val="20"/>
              </w:rPr>
              <w:t> </w:t>
            </w:r>
            <w:r>
              <w:rPr>
                <w:rFonts w:ascii="Arial MT"/>
                <w:sz w:val="20"/>
              </w:rPr>
              <w:t>values.</w:t>
            </w:r>
          </w:p>
        </w:tc>
      </w:tr>
      <w:tr>
        <w:trPr>
          <w:trHeight w:val="345" w:hRule="atLeast"/>
        </w:trPr>
        <w:tc>
          <w:tcPr>
            <w:tcW w:w="1585" w:type="dxa"/>
          </w:tcPr>
          <w:p>
            <w:pPr>
              <w:pStyle w:val="TableParagraph"/>
              <w:spacing w:line="214" w:lineRule="exact" w:before="112"/>
              <w:ind w:left="-3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Threshold</w:t>
            </w:r>
            <w:r>
              <w:rPr>
                <w:rFonts w:ascii="Arial MT"/>
                <w:spacing w:val="-6"/>
                <w:sz w:val="20"/>
              </w:rPr>
              <w:t> </w:t>
            </w:r>
            <w:r>
              <w:rPr>
                <w:rFonts w:ascii="Arial MT"/>
                <w:sz w:val="20"/>
              </w:rPr>
              <w:t>values:</w:t>
            </w:r>
          </w:p>
        </w:tc>
        <w:tc>
          <w:tcPr>
            <w:tcW w:w="153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7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27" w:hRule="atLeast"/>
        </w:trPr>
        <w:tc>
          <w:tcPr>
            <w:tcW w:w="158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5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7" w:lineRule="exact" w:before="0"/>
              <w:ind w:left="349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Sequential</w:t>
            </w:r>
          </w:p>
        </w:tc>
        <w:tc>
          <w:tcPr>
            <w:tcW w:w="14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7" w:lineRule="exact" w:before="0"/>
              <w:ind w:left="225" w:right="0"/>
              <w:jc w:val="left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Repartition</w:t>
            </w:r>
          </w:p>
        </w:tc>
        <w:tc>
          <w:tcPr>
            <w:tcW w:w="107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462" w:hRule="atLeast"/>
        </w:trPr>
        <w:tc>
          <w:tcPr>
            <w:tcW w:w="158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3" w:lineRule="exact" w:before="0"/>
              <w:ind w:left="109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1</w:t>
            </w:r>
          </w:p>
        </w:tc>
        <w:tc>
          <w:tcPr>
            <w:tcW w:w="15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 w:before="0"/>
              <w:ind w:left="112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0.59999999999</w:t>
            </w:r>
          </w:p>
          <w:p>
            <w:pPr>
              <w:pStyle w:val="TableParagraph"/>
              <w:spacing w:line="213" w:lineRule="exact" w:before="0"/>
              <w:ind w:left="112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999976</w:t>
            </w:r>
          </w:p>
        </w:tc>
        <w:tc>
          <w:tcPr>
            <w:tcW w:w="14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9" w:lineRule="exact" w:before="0"/>
              <w:ind w:right="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0.46999999999</w:t>
            </w:r>
          </w:p>
          <w:p>
            <w:pPr>
              <w:pStyle w:val="TableParagraph"/>
              <w:spacing w:line="213" w:lineRule="exact" w:before="0"/>
              <w:ind w:right="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999976</w:t>
            </w:r>
          </w:p>
        </w:tc>
        <w:tc>
          <w:tcPr>
            <w:tcW w:w="10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459" w:hRule="atLeast"/>
        </w:trPr>
        <w:tc>
          <w:tcPr>
            <w:tcW w:w="1585" w:type="dxa"/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left="109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2</w:t>
            </w:r>
          </w:p>
        </w:tc>
        <w:tc>
          <w:tcPr>
            <w:tcW w:w="1531" w:type="dxa"/>
          </w:tcPr>
          <w:p>
            <w:pPr>
              <w:pStyle w:val="TableParagraph"/>
              <w:spacing w:line="225" w:lineRule="exact" w:before="0"/>
              <w:ind w:left="112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0.46999999999</w:t>
            </w:r>
          </w:p>
          <w:p>
            <w:pPr>
              <w:pStyle w:val="TableParagraph"/>
              <w:spacing w:line="214" w:lineRule="exact" w:before="0"/>
              <w:ind w:left="112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999976</w:t>
            </w:r>
          </w:p>
        </w:tc>
        <w:tc>
          <w:tcPr>
            <w:tcW w:w="1450" w:type="dxa"/>
          </w:tcPr>
          <w:p>
            <w:pPr>
              <w:pStyle w:val="TableParagraph"/>
              <w:spacing w:line="225" w:lineRule="exact" w:before="0"/>
              <w:ind w:right="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0.66999999999</w:t>
            </w:r>
          </w:p>
          <w:p>
            <w:pPr>
              <w:pStyle w:val="TableParagraph"/>
              <w:spacing w:line="214" w:lineRule="exact" w:before="0"/>
              <w:ind w:right="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999976</w:t>
            </w:r>
          </w:p>
        </w:tc>
        <w:tc>
          <w:tcPr>
            <w:tcW w:w="1078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545" w:hRule="atLeast"/>
        </w:trPr>
        <w:tc>
          <w:tcPr>
            <w:tcW w:w="158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40" w:lineRule="auto" w:before="0"/>
              <w:ind w:left="109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w w:val="99"/>
                <w:sz w:val="20"/>
              </w:rPr>
              <w:t>3</w:t>
            </w:r>
          </w:p>
        </w:tc>
        <w:tc>
          <w:tcPr>
            <w:tcW w:w="153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left="112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0.82999999999</w:t>
            </w:r>
          </w:p>
          <w:p>
            <w:pPr>
              <w:pStyle w:val="TableParagraph"/>
              <w:spacing w:line="240" w:lineRule="auto" w:before="0"/>
              <w:ind w:left="112" w:right="0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999968</w:t>
            </w:r>
          </w:p>
        </w:tc>
        <w:tc>
          <w:tcPr>
            <w:tcW w:w="145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27" w:lineRule="exact" w:before="0"/>
              <w:ind w:right="33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0.82999999999</w:t>
            </w:r>
          </w:p>
          <w:p>
            <w:pPr>
              <w:pStyle w:val="TableParagraph"/>
              <w:spacing w:line="240" w:lineRule="auto" w:before="0"/>
              <w:ind w:right="29"/>
              <w:jc w:val="center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999968</w:t>
            </w:r>
          </w:p>
        </w:tc>
        <w:tc>
          <w:tcPr>
            <w:tcW w:w="1078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8630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8579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D(BDIND)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11:39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-18.6030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528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0.23941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0.5946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457</w:t>
            </w:r>
          </w:p>
        </w:tc>
      </w:tr>
      <w:tr>
        <w:trPr>
          <w:trHeight w:val="326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-3.02569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0.0012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528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9" w:lineRule="exact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281.351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199" w:lineRule="exact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199" w:lineRule="exact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528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457.754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558</w:t>
            </w:r>
          </w:p>
        </w:tc>
      </w:tr>
      <w:tr>
        <w:trPr>
          <w:trHeight w:val="3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8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5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8528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84768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55.419983pt;width:132.26pt;height:.72pt;mso-position-horizontal-relative:page;mso-position-vertical-relative:page;z-index:-4918425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81.449982pt;width:132.26pt;height:.72pt;mso-position-horizontal-relative:page;mso-position-vertical-relative:page;z-index:-4918374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82.109985pt;width:132.26pt;height:.72pt;mso-position-horizontal-relative:page;mso-position-vertical-relative:page;z-index:-4918323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608.139954pt;width:132.26pt;height:.72003pt;mso-position-horizontal-relative:page;mso-position-vertical-relative:page;z-index:-49182720" filled="true" fillcolor="#000000" stroked="false">
            <v:fill type="solid"/>
            <w10:wrap type="none"/>
          </v:rect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1"/>
        <w:ind w:left="0"/>
        <w:jc w:val="left"/>
        <w:rPr>
          <w:b/>
          <w:sz w:val="16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82"/>
        <w:gridCol w:w="1164"/>
        <w:gridCol w:w="952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BDIND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11:52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6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5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6775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775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5" w:hRule="atLeast"/>
        </w:trPr>
        <w:tc>
          <w:tcPr>
            <w:tcW w:w="6775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775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775" w:type="dxa"/>
            <w:gridSpan w:val="5"/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3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8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1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9" w:lineRule="exact" w:before="94"/>
              <w:ind w:left="202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95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8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7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1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202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95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258" w:right="3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775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-29.3220</w:t>
            </w:r>
          </w:p>
        </w:tc>
        <w:tc>
          <w:tcPr>
            <w:tcW w:w="9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21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202" w:right="2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269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614</w:t>
            </w:r>
          </w:p>
        </w:tc>
      </w:tr>
      <w:tr>
        <w:trPr>
          <w:trHeight w:val="337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3.67364</w:t>
            </w:r>
          </w:p>
        </w:tc>
        <w:tc>
          <w:tcPr>
            <w:tcW w:w="982" w:type="dxa"/>
          </w:tcPr>
          <w:p>
            <w:pPr>
              <w:pStyle w:val="TableParagraph"/>
              <w:spacing w:line="240" w:lineRule="auto" w:before="5"/>
              <w:ind w:left="21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0.9999</w:t>
            </w:r>
          </w:p>
        </w:tc>
        <w:tc>
          <w:tcPr>
            <w:tcW w:w="1164" w:type="dxa"/>
          </w:tcPr>
          <w:p>
            <w:pPr>
              <w:pStyle w:val="TableParagraph"/>
              <w:spacing w:line="240" w:lineRule="auto" w:before="5"/>
              <w:ind w:left="202" w:right="2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52" w:type="dxa"/>
          </w:tcPr>
          <w:p>
            <w:pPr>
              <w:pStyle w:val="TableParagraph"/>
              <w:spacing w:line="240" w:lineRule="auto" w:before="5"/>
              <w:ind w:left="269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542</w:t>
            </w:r>
          </w:p>
        </w:tc>
      </w:tr>
      <w:tr>
        <w:trPr>
          <w:trHeight w:val="326" w:hRule="atLeast"/>
        </w:trPr>
        <w:tc>
          <w:tcPr>
            <w:tcW w:w="6775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7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-1.91985</w:t>
            </w:r>
          </w:p>
        </w:tc>
        <w:tc>
          <w:tcPr>
            <w:tcW w:w="98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21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0.0274</w:t>
            </w:r>
          </w:p>
        </w:tc>
        <w:tc>
          <w:tcPr>
            <w:tcW w:w="11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202" w:right="2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269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606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8" w:lineRule="exact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184.359</w:t>
            </w:r>
          </w:p>
        </w:tc>
        <w:tc>
          <w:tcPr>
            <w:tcW w:w="982" w:type="dxa"/>
          </w:tcPr>
          <w:p>
            <w:pPr>
              <w:pStyle w:val="TableParagraph"/>
              <w:spacing w:line="198" w:lineRule="exact" w:before="6"/>
              <w:ind w:left="21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0.0097</w:t>
            </w:r>
          </w:p>
        </w:tc>
        <w:tc>
          <w:tcPr>
            <w:tcW w:w="1164" w:type="dxa"/>
          </w:tcPr>
          <w:p>
            <w:pPr>
              <w:pStyle w:val="TableParagraph"/>
              <w:spacing w:line="198" w:lineRule="exact" w:before="6"/>
              <w:ind w:left="202" w:right="2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52" w:type="dxa"/>
          </w:tcPr>
          <w:p>
            <w:pPr>
              <w:pStyle w:val="TableParagraph"/>
              <w:spacing w:line="198" w:lineRule="exact" w:before="6"/>
              <w:ind w:left="269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606</w:t>
            </w:r>
          </w:p>
        </w:tc>
      </w:tr>
      <w:tr>
        <w:trPr>
          <w:trHeight w:val="317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197.214</w:t>
            </w:r>
          </w:p>
        </w:tc>
        <w:tc>
          <w:tcPr>
            <w:tcW w:w="98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21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0.0015</w:t>
            </w:r>
          </w:p>
        </w:tc>
        <w:tc>
          <w:tcPr>
            <w:tcW w:w="11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202" w:right="2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5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269" w:right="2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629</w:t>
            </w:r>
          </w:p>
        </w:tc>
      </w:tr>
      <w:tr>
        <w:trPr>
          <w:trHeight w:val="313" w:hRule="atLeast"/>
        </w:trPr>
        <w:tc>
          <w:tcPr>
            <w:tcW w:w="5823" w:type="dxa"/>
            <w:gridSpan w:val="4"/>
          </w:tcPr>
          <w:p>
            <w:pPr>
              <w:pStyle w:val="TableParagraph"/>
              <w:spacing w:line="199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95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5823" w:type="dxa"/>
            <w:gridSpan w:val="4"/>
          </w:tcPr>
          <w:p>
            <w:pPr>
              <w:pStyle w:val="TableParagraph"/>
              <w:spacing w:line="187" w:lineRule="exact" w:before="6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95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spacing w:after="0" w:line="240" w:lineRule="auto"/>
        <w:jc w:val="left"/>
        <w:rPr>
          <w:sz w:val="14"/>
        </w:rPr>
        <w:sectPr>
          <w:pgSz w:w="11910" w:h="16840"/>
          <w:pgMar w:header="0" w:footer="1402" w:top="122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BDOWN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11:55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-133.913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601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1.49434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0.9325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531</w:t>
            </w:r>
          </w:p>
        </w:tc>
      </w:tr>
      <w:tr>
        <w:trPr>
          <w:trHeight w:val="326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-10.4817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601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9" w:lineRule="exact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213.608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0.0001</w:t>
            </w:r>
          </w:p>
        </w:tc>
        <w:tc>
          <w:tcPr>
            <w:tcW w:w="1042" w:type="dxa"/>
          </w:tcPr>
          <w:p>
            <w:pPr>
              <w:pStyle w:val="TableParagraph"/>
              <w:spacing w:line="199" w:lineRule="exact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199" w:lineRule="exact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601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186.118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0.0055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620</w:t>
            </w:r>
          </w:p>
        </w:tc>
      </w:tr>
      <w:tr>
        <w:trPr>
          <w:trHeight w:val="3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8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5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8220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81696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55.419983pt;width:132.26pt;height:.72pt;mso-position-horizontal-relative:page;mso-position-vertical-relative:page;z-index:-4918118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81.449982pt;width:132.26pt;height:.72pt;mso-position-horizontal-relative:page;mso-position-vertical-relative:page;z-index:-4918067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56.549988pt;width:132.26pt;height:.72pt;mso-position-horizontal-relative:page;mso-position-vertical-relative:page;z-index:-4918016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82.549927pt;width:132.26pt;height:.72003pt;mso-position-horizontal-relative:page;mso-position-vertical-relative:page;z-index:-49179648" filled="true" fillcolor="#000000" stroked="false">
            <v:fill type="solid"/>
            <w10:wrap type="none"/>
          </v:rect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7" w:after="1"/>
        <w:ind w:left="0"/>
        <w:jc w:val="left"/>
        <w:rPr>
          <w:b/>
          <w:sz w:val="11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D(BDOWN)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11:57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3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9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7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-3432.51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530</w:t>
            </w:r>
          </w:p>
        </w:tc>
      </w:tr>
      <w:tr>
        <w:trPr>
          <w:trHeight w:val="337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1.17116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0.8792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460</w:t>
            </w:r>
          </w:p>
        </w:tc>
      </w:tr>
      <w:tr>
        <w:trPr>
          <w:trHeight w:val="324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7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-136.529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530</w:t>
            </w:r>
          </w:p>
        </w:tc>
      </w:tr>
      <w:tr>
        <w:trPr>
          <w:trHeight w:val="225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9" w:lineRule="exact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304.617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199" w:lineRule="exact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199" w:lineRule="exact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530</w:t>
            </w:r>
          </w:p>
        </w:tc>
      </w:tr>
      <w:tr>
        <w:trPr>
          <w:trHeight w:val="316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508.987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550</w:t>
            </w:r>
          </w:p>
        </w:tc>
      </w:tr>
      <w:tr>
        <w:trPr>
          <w:trHeight w:val="313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9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6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3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spacing w:after="0" w:line="240" w:lineRule="auto"/>
        <w:jc w:val="left"/>
        <w:rPr>
          <w:sz w:val="14"/>
        </w:rPr>
        <w:sectPr>
          <w:pgSz w:w="11910" w:h="16840"/>
          <w:pgMar w:header="0" w:footer="1402" w:top="122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1"/>
        <w:gridCol w:w="889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BGD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11:59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6527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7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5" w:hRule="atLeast"/>
        </w:trPr>
        <w:tc>
          <w:tcPr>
            <w:tcW w:w="6527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7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527" w:type="dxa"/>
            <w:gridSpan w:val="5"/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3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9" w:lineRule="exact" w:before="94"/>
              <w:ind w:left="139" w:right="19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8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right="328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7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-7.39097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490</w:t>
            </w:r>
          </w:p>
        </w:tc>
      </w:tr>
      <w:tr>
        <w:trPr>
          <w:trHeight w:val="337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0.75588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5"/>
              <w:ind w:left="158" w:right="9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0.7751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5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5"/>
              <w:ind w:right="3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433</w:t>
            </w:r>
          </w:p>
        </w:tc>
      </w:tr>
      <w:tr>
        <w:trPr>
          <w:trHeight w:val="326" w:hRule="atLeast"/>
        </w:trPr>
        <w:tc>
          <w:tcPr>
            <w:tcW w:w="6527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7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-1.35536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0.0877</w:t>
            </w:r>
          </w:p>
        </w:tc>
        <w:tc>
          <w:tcPr>
            <w:tcW w:w="10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00" w:lineRule="exact" w:before="18"/>
              <w:ind w:right="3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482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8" w:lineRule="exact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136.046</w:t>
            </w:r>
          </w:p>
        </w:tc>
        <w:tc>
          <w:tcPr>
            <w:tcW w:w="920" w:type="dxa"/>
          </w:tcPr>
          <w:p>
            <w:pPr>
              <w:pStyle w:val="TableParagraph"/>
              <w:spacing w:line="198" w:lineRule="exact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0.0608</w:t>
            </w:r>
          </w:p>
        </w:tc>
        <w:tc>
          <w:tcPr>
            <w:tcW w:w="1041" w:type="dxa"/>
          </w:tcPr>
          <w:p>
            <w:pPr>
              <w:pStyle w:val="TableParagraph"/>
              <w:spacing w:line="198" w:lineRule="exact" w:before="6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89" w:type="dxa"/>
          </w:tcPr>
          <w:p>
            <w:pPr>
              <w:pStyle w:val="TableParagraph"/>
              <w:spacing w:line="198" w:lineRule="exact" w:before="6"/>
              <w:ind w:right="3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482</w:t>
            </w:r>
          </w:p>
        </w:tc>
      </w:tr>
      <w:tr>
        <w:trPr>
          <w:trHeight w:val="317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140.921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0.0336</w:t>
            </w:r>
          </w:p>
        </w:tc>
        <w:tc>
          <w:tcPr>
            <w:tcW w:w="104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8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right="315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495</w:t>
            </w:r>
          </w:p>
        </w:tc>
      </w:tr>
      <w:tr>
        <w:trPr>
          <w:trHeight w:val="313" w:hRule="atLeast"/>
        </w:trPr>
        <w:tc>
          <w:tcPr>
            <w:tcW w:w="5638" w:type="dxa"/>
            <w:gridSpan w:val="4"/>
          </w:tcPr>
          <w:p>
            <w:pPr>
              <w:pStyle w:val="TableParagraph"/>
              <w:spacing w:line="199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8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5638" w:type="dxa"/>
            <w:gridSpan w:val="4"/>
          </w:tcPr>
          <w:p>
            <w:pPr>
              <w:pStyle w:val="TableParagraph"/>
              <w:spacing w:line="187" w:lineRule="exact" w:before="6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8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7913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78624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44.139984pt;width:132.26pt;height:.72pt;mso-position-horizontal-relative:page;mso-position-vertical-relative:page;z-index:-4917811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70.169983pt;width:132.26pt;height:.72pt;mso-position-horizontal-relative:page;mso-position-vertical-relative:page;z-index:-4917760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82.22998pt;width:132.26pt;height:.72pt;mso-position-horizontal-relative:page;mso-position-vertical-relative:page;z-index:-4917708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608.259949pt;width:132.26pt;height:.72003pt;mso-position-horizontal-relative:page;mso-position-vertical-relative:page;z-index:-49176576" filled="true" fillcolor="#000000" stroked="false">
            <v:fill type="solid"/>
            <w10:wrap type="none"/>
          </v:rect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8" w:after="1"/>
        <w:ind w:left="0"/>
        <w:jc w:val="left"/>
        <w:rPr>
          <w:b/>
          <w:sz w:val="15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D(BGD)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12:27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 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-11.1668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410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-1.37301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0.0849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355</w:t>
            </w:r>
          </w:p>
        </w:tc>
      </w:tr>
      <w:tr>
        <w:trPr>
          <w:trHeight w:val="326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-2.03301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0.0210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410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9" w:lineRule="exact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189.757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199" w:lineRule="exact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199" w:lineRule="exact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410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300.181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431</w:t>
            </w:r>
          </w:p>
        </w:tc>
      </w:tr>
      <w:tr>
        <w:trPr>
          <w:trHeight w:val="3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8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5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4"/>
        <w:ind w:left="0"/>
        <w:jc w:val="left"/>
        <w:rPr>
          <w:b/>
          <w:sz w:val="26"/>
        </w:rPr>
      </w:pPr>
    </w:p>
    <w:tbl>
      <w:tblPr>
        <w:tblW w:w="0" w:type="auto"/>
        <w:jc w:val="left"/>
        <w:tblInd w:w="6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0"/>
      </w:tblGrid>
      <w:tr>
        <w:trPr>
          <w:trHeight w:val="213" w:hRule="atLeast"/>
        </w:trPr>
        <w:tc>
          <w:tcPr>
            <w:tcW w:w="2770" w:type="dxa"/>
          </w:tcPr>
          <w:p>
            <w:pPr>
              <w:pStyle w:val="TableParagraph"/>
              <w:spacing w:line="194" w:lineRule="exact" w:before="0"/>
              <w:ind w:left="2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</w:tr>
      <w:tr>
        <w:trPr>
          <w:trHeight w:val="213" w:hRule="atLeast"/>
        </w:trPr>
        <w:tc>
          <w:tcPr>
            <w:tcW w:w="2770" w:type="dxa"/>
          </w:tcPr>
          <w:p>
            <w:pPr>
              <w:pStyle w:val="TableParagraph"/>
              <w:spacing w:line="187" w:lineRule="exact" w:before="6"/>
              <w:ind w:left="2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D(BGD)</w:t>
            </w:r>
          </w:p>
        </w:tc>
      </w:tr>
    </w:tbl>
    <w:p>
      <w:pPr>
        <w:spacing w:after="0" w:line="187" w:lineRule="exact"/>
        <w:jc w:val="left"/>
        <w:rPr>
          <w:rFonts w:ascii="Arial MT"/>
          <w:sz w:val="18"/>
        </w:rPr>
        <w:sectPr>
          <w:pgSz w:w="11910" w:h="16840"/>
          <w:pgMar w:header="0" w:footer="1402" w:top="122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12:27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3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9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7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-11.1668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410</w:t>
            </w:r>
          </w:p>
        </w:tc>
      </w:tr>
      <w:tr>
        <w:trPr>
          <w:trHeight w:val="337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-1.37301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0.0849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355</w:t>
            </w:r>
          </w:p>
        </w:tc>
      </w:tr>
      <w:tr>
        <w:trPr>
          <w:trHeight w:val="324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7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-2.03301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0.0210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410</w:t>
            </w:r>
          </w:p>
        </w:tc>
      </w:tr>
      <w:tr>
        <w:trPr>
          <w:trHeight w:val="225" w:hRule="atLeast"/>
        </w:trPr>
        <w:tc>
          <w:tcPr>
            <w:tcW w:w="2645" w:type="dxa"/>
          </w:tcPr>
          <w:p>
            <w:pPr>
              <w:pStyle w:val="TableParagraph"/>
              <w:spacing w:line="200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189.757</w:t>
            </w:r>
          </w:p>
        </w:tc>
        <w:tc>
          <w:tcPr>
            <w:tcW w:w="920" w:type="dxa"/>
          </w:tcPr>
          <w:p>
            <w:pPr>
              <w:pStyle w:val="TableParagraph"/>
              <w:spacing w:line="200" w:lineRule="exact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200" w:lineRule="exact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410</w:t>
            </w:r>
          </w:p>
        </w:tc>
      </w:tr>
      <w:tr>
        <w:trPr>
          <w:trHeight w:val="316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300.181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431</w:t>
            </w:r>
          </w:p>
        </w:tc>
      </w:tr>
      <w:tr>
        <w:trPr>
          <w:trHeight w:val="313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9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 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6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7606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13.07pt;margin-top:522.940002pt;width:71.5pt;height:71.75pt;mso-position-horizontal-relative:page;mso-position-vertical-relative:page;z-index:-49175552" coordorigin="2261,10459" coordsize="1430,1435" path="m2777,10459l2715,10498,2693,10538,2693,10543,2696,10553,2700,10557,3359,11216,3393,11252,3450,11321,3493,11386,3521,11448,3538,11533,3537,11559,3512,11632,3458,11693,3389,11726,3337,11732,3309,11730,3250,11715,3187,11687,3120,11643,3049,11584,2360,10897,2356,10893,2284,10929,2261,10969,2262,10974,2938,11657,2987,11704,3035,11745,3083,11782,3176,11839,3265,11875,3348,11892,3388,11893,3427,11890,3500,11869,3565,11829,3623,11770,3666,11701,3687,11624,3691,11584,3689,11542,3670,11455,3632,11363,3574,11269,3538,11221,3496,11173,3450,11124,2792,10466,2787,10462,2777,10459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55.633743pt;margin-top:200.809982pt;width:347.9pt;height:359pt;mso-position-horizontal-relative:page;mso-position-vertical-relative:page;z-index:-49175040" coordorigin="3113,4016" coordsize="6958,7180">
            <v:shape style="position:absolute;left:3112;top:9865;width:1302;height:1331" coordorigin="3113,9865" coordsize="1302,1331" path="m3485,9865l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019,11032,3981,11029,3942,11020,3901,11005,3860,10986,3818,10963,3775,10935,3731,10902,3686,10866,3640,10827,3594,10784,3547,10739,3505,10696,3466,10653,3430,10609,3395,10565,3363,10521,3337,10478,3314,10436,3296,10394,3282,10352,3273,10312,3269,10273,3269,10235,3275,10198,3288,10163,3308,10130,3335,10099,3366,10072,3398,10052,3432,10038,3468,10031,3505,10029,3859,10029,3812,9995,3753,9957,3696,9926,3641,9901,3587,9882,3535,9870,3485,9865xm3859,10029l3505,10029,3544,10033,3583,10041,3623,10055,3665,10074,3707,10097,3750,10124,3794,10156,3838,10191,3883,10230,3928,10271,3974,10315,4016,10359,4055,10403,4093,10447,4128,10491,4159,10535,4187,10578,4210,10621,4228,10663,4243,10705,4253,10746,4257,10786,4256,10824,4250,10861,4236,10896,4216,10930,4189,10961,4158,10988,4125,11009,4091,11023,4056,11030,4019,11032,4355,11032,4373,11004,4394,10958,4407,10910,4414,10860,4414,10808,4408,10754,4394,10698,4374,10641,4347,10583,4315,10523,4276,10462,4231,10400,4180,10336,4124,10273,4061,10208,3997,10146,3934,10089,3872,10039,3859,10029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32.859985pt;width:132.26pt;height:.72pt;mso-position-horizontal-relative:page;mso-position-vertical-relative:page;z-index:-4917452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58.889984pt;width:132.26pt;height:.72pt;mso-position-horizontal-relative:page;mso-position-vertical-relative:page;z-index:-4917401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56.429993pt;width:132.26pt;height:.72pt;mso-position-horizontal-relative:page;mso-position-vertical-relative:page;z-index:-49173504" filled="true" fillcolor="#000000" stroked="false">
            <v:fill type="solid"/>
            <w10:wrap type="none"/>
          </v:rect>
        </w:pict>
      </w:r>
      <w:r>
        <w:rPr/>
        <w:pict>
          <v:shape style="position:absolute;margin-left:86.664001pt;margin-top:582.430969pt;width:326.6pt;height:2.2pt;mso-position-horizontal-relative:page;mso-position-vertical-relative:page;z-index:15880704" coordorigin="1733,11649" coordsize="6532,44" path="m4378,11678l1733,11678,1733,11692,4378,11692,4378,11678xm8265,11678l7350,11678,7269,11678,6457,11678,6376,11678,6376,11678,5459,11678,5377,11678,4460,11678,4379,11678,4379,11692,4460,11692,5377,11692,5459,11692,6376,11692,6376,11692,6457,11692,7269,11692,7350,11692,8265,11692,8265,11678xm8265,11649l7350,11649,7269,11649,6457,11649,6376,11649,6376,11649,5459,11649,5377,11649,4460,11649,4379,11649,4379,11663,4460,11663,5377,11663,5459,11663,6376,11663,6376,11663,6457,11663,7269,11663,7350,11663,8265,11663,8265,1164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5" w:after="1"/>
        <w:ind w:left="0"/>
        <w:jc w:val="left"/>
        <w:rPr>
          <w:b/>
          <w:sz w:val="10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0"/>
        <w:gridCol w:w="923"/>
        <w:gridCol w:w="1043"/>
        <w:gridCol w:w="891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CEOAGE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12:29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6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</w:p>
        </w:tc>
      </w:tr>
      <w:tr>
        <w:trPr>
          <w:trHeight w:val="318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38" w:right="2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4" w:right="1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38" w:right="2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206" w:right="3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33.2296</w:t>
            </w:r>
          </w:p>
        </w:tc>
        <w:tc>
          <w:tcPr>
            <w:tcW w:w="9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206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19.7801</w:t>
            </w:r>
          </w:p>
        </w:tc>
        <w:tc>
          <w:tcPr>
            <w:tcW w:w="923" w:type="dxa"/>
          </w:tcPr>
          <w:p>
            <w:pPr>
              <w:pStyle w:val="TableParagraph"/>
              <w:spacing w:line="240" w:lineRule="auto" w:before="6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</w:t>
            </w: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6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</w:tcPr>
          <w:p>
            <w:pPr>
              <w:pStyle w:val="TableParagraph"/>
              <w:spacing w:line="240" w:lineRule="auto" w:before="6"/>
              <w:ind w:left="206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</w:t>
            </w:r>
          </w:p>
        </w:tc>
      </w:tr>
      <w:tr>
        <w:trPr>
          <w:trHeight w:val="326" w:hRule="atLeast"/>
        </w:trPr>
        <w:tc>
          <w:tcPr>
            <w:tcW w:w="6532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0.57559</w:t>
            </w:r>
          </w:p>
        </w:tc>
        <w:tc>
          <w:tcPr>
            <w:tcW w:w="9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0.7176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0" w:type="dxa"/>
          </w:tcPr>
          <w:p>
            <w:pPr>
              <w:pStyle w:val="TableParagraph"/>
              <w:spacing w:line="199" w:lineRule="exact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0.29924</w:t>
            </w:r>
          </w:p>
        </w:tc>
        <w:tc>
          <w:tcPr>
            <w:tcW w:w="923" w:type="dxa"/>
          </w:tcPr>
          <w:p>
            <w:pPr>
              <w:pStyle w:val="TableParagraph"/>
              <w:spacing w:line="199" w:lineRule="exact" w:before="5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0.8610</w:t>
            </w:r>
          </w:p>
        </w:tc>
        <w:tc>
          <w:tcPr>
            <w:tcW w:w="1043" w:type="dxa"/>
          </w:tcPr>
          <w:p>
            <w:pPr>
              <w:pStyle w:val="TableParagraph"/>
              <w:spacing w:line="199" w:lineRule="exact" w:before="5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</w:tcPr>
          <w:p>
            <w:pPr>
              <w:pStyle w:val="TableParagraph"/>
              <w:spacing w:line="199" w:lineRule="exact" w:before="5"/>
              <w:ind w:right="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</w:tr>
      <w:tr>
        <w:trPr>
          <w:trHeight w:val="30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0.00115</w:t>
            </w:r>
          </w:p>
        </w:tc>
        <w:tc>
          <w:tcPr>
            <w:tcW w:w="923" w:type="dxa"/>
          </w:tcPr>
          <w:p>
            <w:pPr>
              <w:pStyle w:val="TableParagraph"/>
              <w:spacing w:line="240" w:lineRule="auto" w:before="6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0.9994</w:t>
            </w: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6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</w:tcPr>
          <w:p>
            <w:pPr>
              <w:pStyle w:val="TableParagraph"/>
              <w:spacing w:line="240" w:lineRule="auto" w:before="6"/>
              <w:ind w:right="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9</w:t>
            </w:r>
          </w:p>
        </w:tc>
      </w:tr>
    </w:tbl>
    <w:p>
      <w:pPr>
        <w:spacing w:after="0" w:line="240" w:lineRule="auto"/>
        <w:jc w:val="center"/>
        <w:rPr>
          <w:rFonts w:ascii="Arial MT"/>
          <w:sz w:val="18"/>
        </w:rPr>
        <w:sectPr>
          <w:pgSz w:w="11910" w:h="16840"/>
          <w:pgMar w:header="0" w:footer="1402" w:top="122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0"/>
        <w:gridCol w:w="923"/>
        <w:gridCol w:w="1043"/>
        <w:gridCol w:w="891"/>
      </w:tblGrid>
      <w:tr>
        <w:trPr>
          <w:trHeight w:val="212" w:hRule="atLeast"/>
        </w:trPr>
        <w:tc>
          <w:tcPr>
            <w:tcW w:w="2645" w:type="dxa"/>
          </w:tcPr>
          <w:p>
            <w:pPr>
              <w:pStyle w:val="TableParagraph"/>
              <w:spacing w:line="192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6"/>
                <w:sz w:val="18"/>
              </w:rPr>
              <w:t> </w:t>
            </w:r>
            <w:r>
              <w:rPr>
                <w:rFonts w:ascii="Arial MT"/>
                <w:sz w:val="18"/>
              </w:rPr>
              <w:t>D(CEOAGE)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20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12:32</w:t>
            </w:r>
          </w:p>
        </w:tc>
        <w:tc>
          <w:tcPr>
            <w:tcW w:w="103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20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20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20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20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</w:p>
        </w:tc>
      </w:tr>
      <w:tr>
        <w:trPr>
          <w:trHeight w:val="318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20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3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2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104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85"/>
              <w:ind w:left="138" w:right="20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0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0"/>
              <w:ind w:left="144" w:right="13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0"/>
              <w:ind w:left="138" w:right="2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95" w:lineRule="exact" w:before="0"/>
              <w:ind w:left="206" w:right="31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29.7833</w:t>
            </w:r>
          </w:p>
        </w:tc>
        <w:tc>
          <w:tcPr>
            <w:tcW w:w="9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206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0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0" w:type="dxa"/>
          </w:tcPr>
          <w:p>
            <w:pPr>
              <w:pStyle w:val="TableParagraph"/>
              <w:spacing w:line="204" w:lineRule="exact" w:before="0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21.4957</w:t>
            </w:r>
          </w:p>
        </w:tc>
        <w:tc>
          <w:tcPr>
            <w:tcW w:w="923" w:type="dxa"/>
          </w:tcPr>
          <w:p>
            <w:pPr>
              <w:pStyle w:val="TableParagraph"/>
              <w:spacing w:line="204" w:lineRule="exact" w:before="0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</w:t>
            </w:r>
          </w:p>
        </w:tc>
        <w:tc>
          <w:tcPr>
            <w:tcW w:w="1043" w:type="dxa"/>
          </w:tcPr>
          <w:p>
            <w:pPr>
              <w:pStyle w:val="TableParagraph"/>
              <w:spacing w:line="204" w:lineRule="exact" w:before="0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</w:tcPr>
          <w:p>
            <w:pPr>
              <w:pStyle w:val="TableParagraph"/>
              <w:spacing w:line="204" w:lineRule="exact" w:before="0"/>
              <w:ind w:left="206" w:right="25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</w:t>
            </w:r>
          </w:p>
        </w:tc>
      </w:tr>
      <w:tr>
        <w:trPr>
          <w:trHeight w:val="326" w:hRule="atLeast"/>
        </w:trPr>
        <w:tc>
          <w:tcPr>
            <w:tcW w:w="6532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96" w:lineRule="exact" w:before="11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0.31473</w:t>
            </w:r>
          </w:p>
        </w:tc>
        <w:tc>
          <w:tcPr>
            <w:tcW w:w="9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0.6235</w:t>
            </w:r>
          </w:p>
        </w:tc>
        <w:tc>
          <w:tcPr>
            <w:tcW w:w="10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8"/>
              <w:ind w:right="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20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0" w:type="dxa"/>
          </w:tcPr>
          <w:p>
            <w:pPr>
              <w:pStyle w:val="TableParagraph"/>
              <w:spacing w:line="203" w:lineRule="exact" w:before="0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0.59598</w:t>
            </w:r>
          </w:p>
        </w:tc>
        <w:tc>
          <w:tcPr>
            <w:tcW w:w="923" w:type="dxa"/>
          </w:tcPr>
          <w:p>
            <w:pPr>
              <w:pStyle w:val="TableParagraph"/>
              <w:spacing w:line="203" w:lineRule="exact" w:before="0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0.7423</w:t>
            </w:r>
          </w:p>
        </w:tc>
        <w:tc>
          <w:tcPr>
            <w:tcW w:w="1043" w:type="dxa"/>
          </w:tcPr>
          <w:p>
            <w:pPr>
              <w:pStyle w:val="TableParagraph"/>
              <w:spacing w:line="203" w:lineRule="exact" w:before="0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</w:tcPr>
          <w:p>
            <w:pPr>
              <w:pStyle w:val="TableParagraph"/>
              <w:spacing w:line="203" w:lineRule="exact" w:before="0"/>
              <w:ind w:right="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4" w:lineRule="exact" w:before="0"/>
              <w:ind w:left="20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6.0E-05</w:t>
            </w:r>
          </w:p>
        </w:tc>
        <w:tc>
          <w:tcPr>
            <w:tcW w:w="92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4" w:lineRule="exact" w:before="0"/>
              <w:ind w:left="160" w:right="1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</w:t>
            </w:r>
          </w:p>
        </w:tc>
        <w:tc>
          <w:tcPr>
            <w:tcW w:w="104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4" w:lineRule="exact" w:before="0"/>
              <w:ind w:left="138" w:right="14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04" w:lineRule="exact" w:before="0"/>
              <w:ind w:right="5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w w:val="99"/>
                <w:sz w:val="18"/>
              </w:rPr>
              <w:t>8</w:t>
            </w:r>
          </w:p>
        </w:tc>
      </w:tr>
      <w:tr>
        <w:trPr>
          <w:trHeight w:val="312" w:hRule="atLeast"/>
        </w:trPr>
        <w:tc>
          <w:tcPr>
            <w:tcW w:w="5641" w:type="dxa"/>
            <w:gridSpan w:val="4"/>
          </w:tcPr>
          <w:p>
            <w:pPr>
              <w:pStyle w:val="TableParagraph"/>
              <w:spacing w:line="240" w:lineRule="auto" w:before="8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5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12" w:hRule="atLeast"/>
        </w:trPr>
        <w:tc>
          <w:tcPr>
            <w:tcW w:w="5641" w:type="dxa"/>
            <w:gridSpan w:val="4"/>
          </w:tcPr>
          <w:p>
            <w:pPr>
              <w:pStyle w:val="TableParagraph"/>
              <w:spacing w:line="192" w:lineRule="exact" w:before="0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7248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71968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49.539978pt;width:132.26pt;height:.72pt;mso-position-horizontal-relative:page;mso-position-vertical-relative:page;z-index:-4917145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75.569977pt;width:132.26pt;height:.72pt;mso-position-horizontal-relative:page;mso-position-vertical-relative:page;z-index:-4917094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53.549988pt;width:132.26pt;height:.72pt;mso-position-horizontal-relative:page;mso-position-vertical-relative:page;z-index:-4917043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601.419983pt;width:132.26pt;height:.71997pt;mso-position-horizontal-relative:page;mso-position-vertical-relative:page;z-index:-49169920" filled="true" fillcolor="#000000" stroked="false">
            <v:fill type="solid"/>
            <w10:wrap type="none"/>
          </v:rect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 w:after="1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896"/>
        <w:gridCol w:w="950"/>
        <w:gridCol w:w="963"/>
        <w:gridCol w:w="1079"/>
      </w:tblGrid>
      <w:tr>
        <w:trPr>
          <w:trHeight w:val="243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24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Panel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unit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root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test: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Summary</w:t>
            </w:r>
          </w:p>
        </w:tc>
      </w:tr>
      <w:tr>
        <w:trPr>
          <w:trHeight w:val="267" w:hRule="atLeast"/>
        </w:trPr>
        <w:tc>
          <w:tcPr>
            <w:tcW w:w="2645" w:type="dxa"/>
          </w:tcPr>
          <w:p>
            <w:pPr>
              <w:pStyle w:val="TableParagraph"/>
              <w:spacing w:line="247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Series:</w:t>
            </w:r>
            <w:r>
              <w:rPr>
                <w:rFonts w:ascii="Calibri"/>
                <w:spacing w:val="45"/>
                <w:sz w:val="22"/>
              </w:rPr>
              <w:t> </w:t>
            </w:r>
            <w:r>
              <w:rPr>
                <w:rFonts w:ascii="Calibri"/>
                <w:sz w:val="22"/>
              </w:rPr>
              <w:t>CEOOWN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2645" w:type="dxa"/>
          </w:tcPr>
          <w:p>
            <w:pPr>
              <w:pStyle w:val="TableParagraph"/>
              <w:spacing w:line="249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Date: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12/01/20</w:t>
            </w:r>
            <w:r>
              <w:rPr>
                <w:rFonts w:ascii="Calibri"/>
                <w:spacing w:val="46"/>
                <w:sz w:val="22"/>
              </w:rPr>
              <w:t> </w:t>
            </w:r>
            <w:r>
              <w:rPr>
                <w:rFonts w:ascii="Calibri"/>
                <w:sz w:val="22"/>
              </w:rPr>
              <w:t>Time: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12:34</w:t>
            </w:r>
          </w:p>
        </w:tc>
        <w:tc>
          <w:tcPr>
            <w:tcW w:w="896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7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9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Sample: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2005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2019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RESID&lt;&gt;NA</w:t>
            </w:r>
          </w:p>
        </w:tc>
      </w:tr>
      <w:tr>
        <w:trPr>
          <w:trHeight w:val="269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9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Exogenous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variables: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Individual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effects,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individual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linear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trends</w:t>
            </w:r>
          </w:p>
        </w:tc>
      </w:tr>
      <w:tr>
        <w:trPr>
          <w:trHeight w:val="268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9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Automatic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selection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maximum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lags</w:t>
            </w:r>
          </w:p>
        </w:tc>
      </w:tr>
      <w:tr>
        <w:trPr>
          <w:trHeight w:val="268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9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Automatic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lag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length selection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based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SIC: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0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to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1</w:t>
            </w:r>
          </w:p>
        </w:tc>
      </w:tr>
      <w:tr>
        <w:trPr>
          <w:trHeight w:val="351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9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Newey-West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automatic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bandwidth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selection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Bartlett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kernel</w:t>
            </w:r>
          </w:p>
        </w:tc>
      </w:tr>
      <w:tr>
        <w:trPr>
          <w:trHeight w:val="363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896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5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  <w:tc>
          <w:tcPr>
            <w:tcW w:w="963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75"/>
              <w:ind w:left="14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Cross-</w:t>
            </w:r>
          </w:p>
        </w:tc>
        <w:tc>
          <w:tcPr>
            <w:tcW w:w="1079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20"/>
              </w:rPr>
            </w:pPr>
          </w:p>
        </w:tc>
      </w:tr>
      <w:tr>
        <w:trPr>
          <w:trHeight w:val="249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Method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 w:before="0"/>
              <w:ind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Statistic</w:t>
            </w:r>
          </w:p>
        </w:tc>
        <w:tc>
          <w:tcPr>
            <w:tcW w:w="9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 w:before="0"/>
              <w:ind w:left="10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Prob.**</w:t>
            </w:r>
          </w:p>
        </w:tc>
        <w:tc>
          <w:tcPr>
            <w:tcW w:w="9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 w:before="0"/>
              <w:ind w:left="14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sections</w:t>
            </w:r>
          </w:p>
        </w:tc>
        <w:tc>
          <w:tcPr>
            <w:tcW w:w="10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9" w:lineRule="exact" w:before="0"/>
              <w:ind w:left="81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Obs</w:t>
            </w:r>
          </w:p>
        </w:tc>
      </w:tr>
      <w:tr>
        <w:trPr>
          <w:trHeight w:val="270" w:hRule="atLeast"/>
        </w:trPr>
        <w:tc>
          <w:tcPr>
            <w:tcW w:w="6533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Null: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Unit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root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(assumes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unit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root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process)</w:t>
            </w:r>
          </w:p>
        </w:tc>
      </w:tr>
      <w:tr>
        <w:trPr>
          <w:trHeight w:val="288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Levin,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Lin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2"/>
                <w:sz w:val="22"/>
              </w:rPr>
              <w:t> </w:t>
            </w:r>
            <w:r>
              <w:rPr>
                <w:rFonts w:ascii="Calibri"/>
                <w:sz w:val="22"/>
              </w:rPr>
              <w:t>Chu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t*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5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35.7240</w:t>
            </w:r>
          </w:p>
        </w:tc>
        <w:tc>
          <w:tcPr>
            <w:tcW w:w="9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5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1.0000</w:t>
            </w:r>
          </w:p>
        </w:tc>
        <w:tc>
          <w:tcPr>
            <w:tcW w:w="9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59"/>
              <w:ind w:left="521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 w:before="0"/>
              <w:ind w:left="131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487</w:t>
            </w:r>
          </w:p>
        </w:tc>
      </w:tr>
      <w:tr>
        <w:trPr>
          <w:trHeight w:val="402" w:hRule="atLeast"/>
        </w:trPr>
        <w:tc>
          <w:tcPr>
            <w:tcW w:w="2645" w:type="dxa"/>
          </w:tcPr>
          <w:p>
            <w:pPr>
              <w:pStyle w:val="TableParagraph"/>
              <w:spacing w:line="248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Breitung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t-stat</w:t>
            </w:r>
          </w:p>
        </w:tc>
        <w:tc>
          <w:tcPr>
            <w:tcW w:w="896" w:type="dxa"/>
          </w:tcPr>
          <w:p>
            <w:pPr>
              <w:pStyle w:val="TableParagraph"/>
              <w:spacing w:line="248" w:lineRule="exact" w:before="0"/>
              <w:ind w:left="5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2.70213</w:t>
            </w:r>
          </w:p>
        </w:tc>
        <w:tc>
          <w:tcPr>
            <w:tcW w:w="950" w:type="dxa"/>
          </w:tcPr>
          <w:p>
            <w:pPr>
              <w:pStyle w:val="TableParagraph"/>
              <w:spacing w:line="248" w:lineRule="exact" w:before="0"/>
              <w:ind w:left="15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0.9966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39"/>
              <w:ind w:left="521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079" w:type="dxa"/>
          </w:tcPr>
          <w:p>
            <w:pPr>
              <w:pStyle w:val="TableParagraph"/>
              <w:spacing w:line="248" w:lineRule="exact" w:before="0"/>
              <w:ind w:left="131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430</w:t>
            </w:r>
          </w:p>
        </w:tc>
      </w:tr>
      <w:tr>
        <w:trPr>
          <w:trHeight w:val="381" w:hRule="atLeast"/>
        </w:trPr>
        <w:tc>
          <w:tcPr>
            <w:tcW w:w="6533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249" w:lineRule="exact" w:before="112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Null: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Unit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root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(assumes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individual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unit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root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process)</w:t>
            </w:r>
          </w:p>
        </w:tc>
      </w:tr>
      <w:tr>
        <w:trPr>
          <w:trHeight w:val="289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Im,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Pesaran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Shin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W-stat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-2.73666</w:t>
            </w:r>
          </w:p>
        </w:tc>
        <w:tc>
          <w:tcPr>
            <w:tcW w:w="95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5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0.0031</w:t>
            </w:r>
          </w:p>
        </w:tc>
        <w:tc>
          <w:tcPr>
            <w:tcW w:w="9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61"/>
              <w:ind w:left="521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0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1"/>
              <w:ind w:left="131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487</w:t>
            </w:r>
          </w:p>
        </w:tc>
      </w:tr>
      <w:tr>
        <w:trPr>
          <w:trHeight w:val="269" w:hRule="atLeast"/>
        </w:trPr>
        <w:tc>
          <w:tcPr>
            <w:tcW w:w="2645" w:type="dxa"/>
          </w:tcPr>
          <w:p>
            <w:pPr>
              <w:pStyle w:val="TableParagraph"/>
              <w:spacing w:line="246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ADF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Fisher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Chi-square</w:t>
            </w:r>
          </w:p>
        </w:tc>
        <w:tc>
          <w:tcPr>
            <w:tcW w:w="896" w:type="dxa"/>
          </w:tcPr>
          <w:p>
            <w:pPr>
              <w:pStyle w:val="TableParagraph"/>
              <w:spacing w:line="246" w:lineRule="exact" w:before="0"/>
              <w:ind w:left="5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170.160</w:t>
            </w:r>
          </w:p>
        </w:tc>
        <w:tc>
          <w:tcPr>
            <w:tcW w:w="950" w:type="dxa"/>
          </w:tcPr>
          <w:p>
            <w:pPr>
              <w:pStyle w:val="TableParagraph"/>
              <w:spacing w:line="246" w:lineRule="exact" w:before="0"/>
              <w:ind w:left="15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0.0005</w:t>
            </w:r>
          </w:p>
        </w:tc>
        <w:tc>
          <w:tcPr>
            <w:tcW w:w="963" w:type="dxa"/>
          </w:tcPr>
          <w:p>
            <w:pPr>
              <w:pStyle w:val="TableParagraph"/>
              <w:spacing w:line="240" w:lineRule="auto" w:before="40"/>
              <w:ind w:left="521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079" w:type="dxa"/>
          </w:tcPr>
          <w:p>
            <w:pPr>
              <w:pStyle w:val="TableParagraph"/>
              <w:spacing w:line="246" w:lineRule="exact" w:before="0"/>
              <w:ind w:left="131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487</w:t>
            </w:r>
          </w:p>
        </w:tc>
      </w:tr>
      <w:tr>
        <w:trPr>
          <w:trHeight w:val="352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exact" w:before="0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PP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-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Fisher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Chi-square</w:t>
            </w:r>
          </w:p>
        </w:tc>
        <w:tc>
          <w:tcPr>
            <w:tcW w:w="896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7" w:lineRule="exact" w:before="0"/>
              <w:ind w:left="5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176.105</w:t>
            </w:r>
          </w:p>
        </w:tc>
        <w:tc>
          <w:tcPr>
            <w:tcW w:w="95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7" w:lineRule="exact" w:before="0"/>
              <w:ind w:left="15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0.0002</w:t>
            </w:r>
          </w:p>
        </w:tc>
        <w:tc>
          <w:tcPr>
            <w:tcW w:w="963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40"/>
              <w:ind w:left="521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1079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7" w:lineRule="exact" w:before="0"/>
              <w:ind w:left="131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503</w:t>
            </w:r>
          </w:p>
        </w:tc>
      </w:tr>
      <w:tr>
        <w:trPr>
          <w:trHeight w:val="363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40" w:lineRule="auto" w:before="75"/>
              <w:ind w:left="-3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**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Probabilities for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Fisher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tests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are computed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using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asymptotic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Chi</w:t>
            </w:r>
          </w:p>
        </w:tc>
      </w:tr>
      <w:tr>
        <w:trPr>
          <w:trHeight w:val="244" w:hRule="atLeast"/>
        </w:trPr>
        <w:tc>
          <w:tcPr>
            <w:tcW w:w="6533" w:type="dxa"/>
            <w:gridSpan w:val="5"/>
          </w:tcPr>
          <w:p>
            <w:pPr>
              <w:pStyle w:val="TableParagraph"/>
              <w:spacing w:line="225" w:lineRule="exact" w:before="0"/>
              <w:ind w:left="398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-square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distribution.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All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other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tests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assume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asymptotic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normality.</w:t>
            </w:r>
          </w:p>
        </w:tc>
      </w:tr>
    </w:tbl>
    <w:p>
      <w:pPr>
        <w:spacing w:after="0" w:line="225" w:lineRule="exact"/>
        <w:jc w:val="left"/>
        <w:rPr>
          <w:rFonts w:ascii="Calibri"/>
          <w:sz w:val="22"/>
        </w:rPr>
        <w:sectPr>
          <w:pgSz w:w="11910" w:h="16840"/>
          <w:pgMar w:header="0" w:footer="1402" w:top="134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855"/>
        <w:gridCol w:w="954"/>
        <w:gridCol w:w="964"/>
        <w:gridCol w:w="1114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85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CEOOWN</w:t>
            </w:r>
          </w:p>
        </w:tc>
        <w:tc>
          <w:tcPr>
            <w:tcW w:w="85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12:34</w:t>
            </w:r>
          </w:p>
        </w:tc>
        <w:tc>
          <w:tcPr>
            <w:tcW w:w="855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855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5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86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1114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85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9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6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11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1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5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35.7240</w:t>
            </w:r>
          </w:p>
        </w:tc>
        <w:tc>
          <w:tcPr>
            <w:tcW w:w="9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righ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236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6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487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855" w:type="dxa"/>
          </w:tcPr>
          <w:p>
            <w:pPr>
              <w:pStyle w:val="TableParagraph"/>
              <w:spacing w:line="240" w:lineRule="auto" w:before="6"/>
              <w:ind w:left="5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2.70213</w:t>
            </w:r>
          </w:p>
        </w:tc>
        <w:tc>
          <w:tcPr>
            <w:tcW w:w="954" w:type="dxa"/>
          </w:tcPr>
          <w:p>
            <w:pPr>
              <w:pStyle w:val="TableParagraph"/>
              <w:spacing w:line="240" w:lineRule="auto" w:before="6"/>
              <w:ind w:righ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64" w:type="dxa"/>
          </w:tcPr>
          <w:p>
            <w:pPr>
              <w:pStyle w:val="TableParagraph"/>
              <w:spacing w:line="240" w:lineRule="auto" w:before="6"/>
              <w:ind w:left="236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114" w:type="dxa"/>
          </w:tcPr>
          <w:p>
            <w:pPr>
              <w:pStyle w:val="TableParagraph"/>
              <w:spacing w:line="240" w:lineRule="auto" w:before="6"/>
              <w:ind w:left="16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430</w:t>
            </w:r>
          </w:p>
        </w:tc>
      </w:tr>
      <w:tr>
        <w:trPr>
          <w:trHeight w:val="326" w:hRule="atLeast"/>
        </w:trPr>
        <w:tc>
          <w:tcPr>
            <w:tcW w:w="6532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85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-2.73666</w:t>
            </w:r>
          </w:p>
        </w:tc>
        <w:tc>
          <w:tcPr>
            <w:tcW w:w="9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236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1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6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487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 Chi-square</w:t>
            </w:r>
          </w:p>
        </w:tc>
        <w:tc>
          <w:tcPr>
            <w:tcW w:w="855" w:type="dxa"/>
          </w:tcPr>
          <w:p>
            <w:pPr>
              <w:pStyle w:val="TableParagraph"/>
              <w:spacing w:line="199" w:lineRule="exact" w:before="5"/>
              <w:ind w:left="5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170.160</w:t>
            </w:r>
          </w:p>
        </w:tc>
        <w:tc>
          <w:tcPr>
            <w:tcW w:w="954" w:type="dxa"/>
          </w:tcPr>
          <w:p>
            <w:pPr>
              <w:pStyle w:val="TableParagraph"/>
              <w:spacing w:line="199" w:lineRule="exact" w:before="5"/>
              <w:ind w:righ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64" w:type="dxa"/>
          </w:tcPr>
          <w:p>
            <w:pPr>
              <w:pStyle w:val="TableParagraph"/>
              <w:spacing w:line="199" w:lineRule="exact" w:before="5"/>
              <w:ind w:left="236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114" w:type="dxa"/>
          </w:tcPr>
          <w:p>
            <w:pPr>
              <w:pStyle w:val="TableParagraph"/>
              <w:spacing w:line="199" w:lineRule="exact" w:before="5"/>
              <w:ind w:left="16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487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855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5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176.105</w:t>
            </w:r>
          </w:p>
        </w:tc>
        <w:tc>
          <w:tcPr>
            <w:tcW w:w="95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184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96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236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</w:t>
            </w:r>
          </w:p>
        </w:tc>
        <w:tc>
          <w:tcPr>
            <w:tcW w:w="1114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67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503</w:t>
            </w:r>
          </w:p>
        </w:tc>
      </w:tr>
      <w:tr>
        <w:trPr>
          <w:trHeight w:val="312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98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</w:tr>
      <w:tr>
        <w:trPr>
          <w:trHeight w:val="212" w:hRule="atLeast"/>
        </w:trPr>
        <w:tc>
          <w:tcPr>
            <w:tcW w:w="6532" w:type="dxa"/>
            <w:gridSpan w:val="5"/>
          </w:tcPr>
          <w:p>
            <w:pPr>
              <w:pStyle w:val="TableParagraph"/>
              <w:spacing w:line="187" w:lineRule="exact" w:before="5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</w:tr>
    </w:tbl>
    <w:p>
      <w:pPr>
        <w:pStyle w:val="BodyText"/>
        <w:ind w:left="0"/>
        <w:jc w:val="left"/>
        <w:rPr>
          <w:b/>
          <w:sz w:val="20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6940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68896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55.419983pt;width:132.26pt;height:.72pt;mso-position-horizontal-relative:page;mso-position-vertical-relative:page;z-index:-49168384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81.449982pt;width:132.26pt;height:.72pt;mso-position-horizontal-relative:page;mso-position-vertical-relative:page;z-index:-4916787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69.509979pt;width:132.26pt;height:.72pt;mso-position-horizontal-relative:page;mso-position-vertical-relative:page;z-index:-4916736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95.540039pt;width:132.26pt;height:.71997pt;mso-position-horizontal-relative:page;mso-position-vertical-relative:page;z-index:-49166848" filled="true" fillcolor="#000000" stroked="false">
            <v:fill type="solid"/>
            <w10:wrap type="none"/>
          </v:rect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4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6"/>
                <w:sz w:val="18"/>
              </w:rPr>
              <w:t> </w:t>
            </w:r>
            <w:r>
              <w:rPr>
                <w:rFonts w:ascii="Arial MT"/>
                <w:sz w:val="18"/>
              </w:rPr>
              <w:t>D(CEOOWN)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12:36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-425.073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412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-0.72635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0.2338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356</w:t>
            </w:r>
          </w:p>
        </w:tc>
      </w:tr>
      <w:tr>
        <w:trPr>
          <w:trHeight w:val="326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-58.2359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412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200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318.262</w:t>
            </w:r>
          </w:p>
        </w:tc>
        <w:tc>
          <w:tcPr>
            <w:tcW w:w="920" w:type="dxa"/>
          </w:tcPr>
          <w:p>
            <w:pPr>
              <w:pStyle w:val="TableParagraph"/>
              <w:spacing w:line="200" w:lineRule="exact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200" w:lineRule="exact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412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382.456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438</w:t>
            </w:r>
          </w:p>
        </w:tc>
      </w:tr>
      <w:tr>
        <w:trPr>
          <w:trHeight w:val="3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8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5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spacing w:after="0" w:line="240" w:lineRule="auto"/>
        <w:jc w:val="left"/>
        <w:rPr>
          <w:sz w:val="14"/>
        </w:rPr>
        <w:sectPr>
          <w:pgSz w:w="11910" w:h="16840"/>
          <w:pgMar w:header="0" w:footer="1402" w:top="122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CEOT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12:38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-21.6074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519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-7.93895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458</w:t>
            </w:r>
          </w:p>
        </w:tc>
      </w:tr>
      <w:tr>
        <w:trPr>
          <w:trHeight w:val="326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-4.34918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519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9" w:lineRule="exact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272.498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199" w:lineRule="exact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199" w:lineRule="exact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519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428.815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540</w:t>
            </w:r>
          </w:p>
        </w:tc>
      </w:tr>
      <w:tr>
        <w:trPr>
          <w:trHeight w:val="3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8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5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6633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65824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55.419983pt;width:132.26pt;height:.72pt;mso-position-horizontal-relative:page;mso-position-vertical-relative:page;z-index:-49165312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81.449982pt;width:132.26pt;height:.72pt;mso-position-horizontal-relative:page;mso-position-vertical-relative:page;z-index:-4916480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65.549988pt;width:132.26pt;height:.72pt;mso-position-horizontal-relative:page;mso-position-vertical-relative:page;z-index:-4916428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91.579956pt;width:132.26pt;height:.72003pt;mso-position-horizontal-relative:page;mso-position-vertical-relative:page;z-index:-49163776" filled="true" fillcolor="#000000" stroked="false">
            <v:fill type="solid"/>
            <w10:wrap type="none"/>
          </v:rect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3" w:after="1"/>
        <w:ind w:left="0"/>
        <w:jc w:val="left"/>
        <w:rPr>
          <w:b/>
          <w:sz w:val="27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D(CEOT)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12:45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-25.3493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407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-7.75654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352</w:t>
            </w:r>
          </w:p>
        </w:tc>
      </w:tr>
      <w:tr>
        <w:trPr>
          <w:trHeight w:val="326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-5.27401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407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200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200" w:lineRule="exact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314.291</w:t>
            </w:r>
          </w:p>
        </w:tc>
        <w:tc>
          <w:tcPr>
            <w:tcW w:w="920" w:type="dxa"/>
          </w:tcPr>
          <w:p>
            <w:pPr>
              <w:pStyle w:val="TableParagraph"/>
              <w:spacing w:line="200" w:lineRule="exact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200" w:lineRule="exact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00" w:lineRule="exact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407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557.176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431</w:t>
            </w:r>
          </w:p>
        </w:tc>
      </w:tr>
      <w:tr>
        <w:trPr>
          <w:trHeight w:val="3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8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 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5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spacing w:after="0" w:line="240" w:lineRule="auto"/>
        <w:jc w:val="left"/>
        <w:rPr>
          <w:sz w:val="14"/>
        </w:rPr>
        <w:sectPr>
          <w:pgSz w:w="11910" w:h="16840"/>
          <w:pgMar w:header="0" w:footer="1402" w:top="122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1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TAG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12:48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6528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8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5" w:hRule="atLeast"/>
        </w:trPr>
        <w:tc>
          <w:tcPr>
            <w:tcW w:w="6528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8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528" w:type="dxa"/>
            <w:gridSpan w:val="5"/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3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1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9" w:lineRule="exact" w:before="94"/>
              <w:ind w:left="139" w:right="19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38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right="329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8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-13.8662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618</w:t>
            </w:r>
          </w:p>
        </w:tc>
      </w:tr>
      <w:tr>
        <w:trPr>
          <w:trHeight w:val="337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3.99562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1.0000</w:t>
            </w:r>
          </w:p>
        </w:tc>
        <w:tc>
          <w:tcPr>
            <w:tcW w:w="1041" w:type="dxa"/>
          </w:tcPr>
          <w:p>
            <w:pPr>
              <w:pStyle w:val="TableParagraph"/>
              <w:spacing w:line="240" w:lineRule="auto" w:before="5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5"/>
              <w:ind w:right="3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545</w:t>
            </w:r>
          </w:p>
        </w:tc>
      </w:tr>
      <w:tr>
        <w:trPr>
          <w:trHeight w:val="326" w:hRule="atLeast"/>
        </w:trPr>
        <w:tc>
          <w:tcPr>
            <w:tcW w:w="6528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7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-0.90180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0.1836</w:t>
            </w:r>
          </w:p>
        </w:tc>
        <w:tc>
          <w:tcPr>
            <w:tcW w:w="10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right="3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618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8" w:lineRule="exact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203.776</w:t>
            </w:r>
          </w:p>
        </w:tc>
        <w:tc>
          <w:tcPr>
            <w:tcW w:w="920" w:type="dxa"/>
          </w:tcPr>
          <w:p>
            <w:pPr>
              <w:pStyle w:val="TableParagraph"/>
              <w:spacing w:line="198" w:lineRule="exact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0.0011</w:t>
            </w:r>
          </w:p>
        </w:tc>
        <w:tc>
          <w:tcPr>
            <w:tcW w:w="1041" w:type="dxa"/>
          </w:tcPr>
          <w:p>
            <w:pPr>
              <w:pStyle w:val="TableParagraph"/>
              <w:spacing w:line="198" w:lineRule="exact" w:before="6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198" w:lineRule="exact" w:before="6"/>
              <w:ind w:right="3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618</w:t>
            </w:r>
          </w:p>
        </w:tc>
      </w:tr>
      <w:tr>
        <w:trPr>
          <w:trHeight w:val="317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277.079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1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39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right="316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646</w:t>
            </w:r>
          </w:p>
        </w:tc>
      </w:tr>
      <w:tr>
        <w:trPr>
          <w:trHeight w:val="313" w:hRule="atLeast"/>
        </w:trPr>
        <w:tc>
          <w:tcPr>
            <w:tcW w:w="5638" w:type="dxa"/>
            <w:gridSpan w:val="4"/>
          </w:tcPr>
          <w:p>
            <w:pPr>
              <w:pStyle w:val="TableParagraph"/>
              <w:spacing w:line="199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5638" w:type="dxa"/>
            <w:gridSpan w:val="4"/>
          </w:tcPr>
          <w:p>
            <w:pPr>
              <w:pStyle w:val="TableParagraph"/>
              <w:spacing w:line="187" w:lineRule="exact" w:before="6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pStyle w:val="BodyText"/>
        <w:ind w:left="0"/>
        <w:jc w:val="left"/>
        <w:rPr>
          <w:b/>
          <w:sz w:val="20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6326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6275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65.73999pt;width:132.26pt;height:.72pt;mso-position-horizontal-relative:page;mso-position-vertical-relative:page;z-index:-49162240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91.769989pt;width:132.26pt;height:.72pt;mso-position-horizontal-relative:page;mso-position-vertical-relative:page;z-index:-4916172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466.389984pt;width:132.26pt;height:.72pt;mso-position-horizontal-relative:page;mso-position-vertical-relative:page;z-index:-49161216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592.419983pt;width:132.26pt;height:.71997pt;mso-position-horizontal-relative:page;mso-position-vertical-relative:page;z-index:-49160704" filled="true" fillcolor="#000000" stroked="false">
            <v:fill type="solid"/>
            <w10:wrap type="none"/>
          </v:rect>
        </w:pict>
      </w: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ind w:left="0"/>
        <w:jc w:val="left"/>
        <w:rPr>
          <w:b/>
          <w:sz w:val="20"/>
        </w:rPr>
      </w:pPr>
    </w:p>
    <w:p>
      <w:pPr>
        <w:pStyle w:val="BodyText"/>
        <w:spacing w:before="2"/>
        <w:ind w:left="0"/>
        <w:jc w:val="left"/>
        <w:rPr>
          <w:b/>
          <w:sz w:val="11"/>
        </w:r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3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5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D(TAG)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12:50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2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7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3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9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6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-28.1180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550</w:t>
            </w:r>
          </w:p>
        </w:tc>
      </w:tr>
      <w:tr>
        <w:trPr>
          <w:trHeight w:val="337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2.43355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0.9925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477</w:t>
            </w:r>
          </w:p>
        </w:tc>
      </w:tr>
      <w:tr>
        <w:trPr>
          <w:trHeight w:val="326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7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-4.42851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550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8" w:lineRule="exact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344.822</w:t>
            </w:r>
          </w:p>
        </w:tc>
        <w:tc>
          <w:tcPr>
            <w:tcW w:w="920" w:type="dxa"/>
          </w:tcPr>
          <w:p>
            <w:pPr>
              <w:pStyle w:val="TableParagraph"/>
              <w:spacing w:line="198" w:lineRule="exact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198" w:lineRule="exact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198" w:lineRule="exact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550</w:t>
            </w:r>
          </w:p>
        </w:tc>
      </w:tr>
      <w:tr>
        <w:trPr>
          <w:trHeight w:val="317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511.572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573</w:t>
            </w:r>
          </w:p>
        </w:tc>
      </w:tr>
      <w:tr>
        <w:trPr>
          <w:trHeight w:val="313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9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3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6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spacing w:after="0" w:line="240" w:lineRule="auto"/>
        <w:jc w:val="left"/>
        <w:rPr>
          <w:sz w:val="14"/>
        </w:rPr>
        <w:sectPr>
          <w:pgSz w:w="11910" w:h="16840"/>
          <w:pgMar w:header="0" w:footer="1402" w:top="1420" w:bottom="1600" w:left="880" w:right="300"/>
        </w:sectPr>
      </w:pPr>
    </w:p>
    <w:tbl>
      <w:tblPr>
        <w:tblW w:w="0" w:type="auto"/>
        <w:jc w:val="left"/>
        <w:tblInd w:w="8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5"/>
        <w:gridCol w:w="1032"/>
        <w:gridCol w:w="920"/>
        <w:gridCol w:w="1042"/>
        <w:gridCol w:w="890"/>
      </w:tblGrid>
      <w:tr>
        <w:trPr>
          <w:trHeight w:val="213" w:hRule="atLeast"/>
        </w:trPr>
        <w:tc>
          <w:tcPr>
            <w:tcW w:w="2645" w:type="dxa"/>
          </w:tcPr>
          <w:p>
            <w:pPr>
              <w:pStyle w:val="TableParagraph"/>
              <w:spacing w:line="194" w:lineRule="exact" w:before="0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Panel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Summary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Series:</w:t>
            </w:r>
            <w:r>
              <w:rPr>
                <w:rFonts w:ascii="Arial MT"/>
                <w:spacing w:val="48"/>
                <w:sz w:val="18"/>
              </w:rPr>
              <w:t> </w:t>
            </w:r>
            <w:r>
              <w:rPr>
                <w:rFonts w:ascii="Arial MT"/>
                <w:sz w:val="18"/>
              </w:rPr>
              <w:t>D(TAG)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Date: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12/01/20</w:t>
            </w:r>
            <w:r>
              <w:rPr>
                <w:rFonts w:ascii="Arial MT"/>
                <w:spacing w:val="47"/>
                <w:sz w:val="18"/>
              </w:rPr>
              <w:t> </w:t>
            </w:r>
            <w:r>
              <w:rPr>
                <w:rFonts w:ascii="Arial MT"/>
                <w:sz w:val="18"/>
              </w:rPr>
              <w:t>Time: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12:50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Sample: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2005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2019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IF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RESID&lt;&gt;NA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Exogenous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variables: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effects,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linear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trends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8" w:lineRule="exact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of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maximum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lags</w:t>
            </w:r>
          </w:p>
        </w:tc>
      </w:tr>
      <w:tr>
        <w:trPr>
          <w:trHeight w:val="224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lag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length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based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on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AIC: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0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to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1</w:t>
            </w:r>
          </w:p>
        </w:tc>
      </w:tr>
      <w:tr>
        <w:trPr>
          <w:trHeight w:val="318" w:hRule="atLeast"/>
        </w:trPr>
        <w:tc>
          <w:tcPr>
            <w:tcW w:w="6529" w:type="dxa"/>
            <w:gridSpan w:val="5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Newey-West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automatic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bandwidth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selection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Bartlett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kernel</w:t>
            </w:r>
          </w:p>
        </w:tc>
      </w:tr>
      <w:tr>
        <w:trPr>
          <w:trHeight w:val="312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3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92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  <w:tc>
          <w:tcPr>
            <w:tcW w:w="1042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198" w:lineRule="exact" w:before="94"/>
              <w:ind w:left="139" w:right="2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Cross-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4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Method</w:t>
            </w:r>
          </w:p>
        </w:tc>
        <w:tc>
          <w:tcPr>
            <w:tcW w:w="10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82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Statistic</w:t>
            </w:r>
          </w:p>
        </w:tc>
        <w:tc>
          <w:tcPr>
            <w:tcW w:w="92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42" w:right="13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Prob.**</w:t>
            </w: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left="139" w:right="20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sections</w:t>
            </w:r>
          </w:p>
        </w:tc>
        <w:tc>
          <w:tcPr>
            <w:tcW w:w="8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5"/>
              <w:ind w:right="330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</w:t>
            </w:r>
          </w:p>
        </w:tc>
      </w:tr>
      <w:tr>
        <w:trPr>
          <w:trHeight w:val="225" w:hRule="atLeast"/>
        </w:trPr>
        <w:tc>
          <w:tcPr>
            <w:tcW w:w="6529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8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 common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4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Levin,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Lin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&amp;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Chu t*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-28.1180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9" w:lineRule="exact" w:before="1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550</w:t>
            </w:r>
          </w:p>
        </w:tc>
      </w:tr>
      <w:tr>
        <w:trPr>
          <w:trHeight w:val="338" w:hRule="atLeast"/>
        </w:trPr>
        <w:tc>
          <w:tcPr>
            <w:tcW w:w="2645" w:type="dxa"/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Breitung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t-stat</w:t>
            </w:r>
          </w:p>
        </w:tc>
        <w:tc>
          <w:tcPr>
            <w:tcW w:w="1032" w:type="dxa"/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2.43355</w:t>
            </w:r>
          </w:p>
        </w:tc>
        <w:tc>
          <w:tcPr>
            <w:tcW w:w="920" w:type="dxa"/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0.9925</w:t>
            </w:r>
          </w:p>
        </w:tc>
        <w:tc>
          <w:tcPr>
            <w:tcW w:w="1042" w:type="dxa"/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477</w:t>
            </w:r>
          </w:p>
        </w:tc>
      </w:tr>
      <w:tr>
        <w:trPr>
          <w:trHeight w:val="326" w:hRule="atLeast"/>
        </w:trPr>
        <w:tc>
          <w:tcPr>
            <w:tcW w:w="6529" w:type="dxa"/>
            <w:gridSpan w:val="5"/>
            <w:tcBorders>
              <w:bottom w:val="single" w:sz="6" w:space="0" w:color="000000"/>
            </w:tcBorders>
          </w:tcPr>
          <w:p>
            <w:pPr>
              <w:pStyle w:val="TableParagraph"/>
              <w:spacing w:line="187" w:lineRule="exact" w:before="119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Null: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(assumes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individual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unit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root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process)</w:t>
            </w:r>
          </w:p>
        </w:tc>
      </w:tr>
      <w:tr>
        <w:trPr>
          <w:trHeight w:val="236" w:hRule="atLeast"/>
        </w:trPr>
        <w:tc>
          <w:tcPr>
            <w:tcW w:w="26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Im,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Pesaran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and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Shin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W-stat</w:t>
            </w:r>
          </w:p>
        </w:tc>
        <w:tc>
          <w:tcPr>
            <w:tcW w:w="10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44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-4.42851</w:t>
            </w:r>
          </w:p>
        </w:tc>
        <w:tc>
          <w:tcPr>
            <w:tcW w:w="9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98" w:lineRule="exact" w:before="18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550</w:t>
            </w:r>
          </w:p>
        </w:tc>
      </w:tr>
      <w:tr>
        <w:trPr>
          <w:trHeight w:val="224" w:hRule="atLeast"/>
        </w:trPr>
        <w:tc>
          <w:tcPr>
            <w:tcW w:w="2645" w:type="dxa"/>
          </w:tcPr>
          <w:p>
            <w:pPr>
              <w:pStyle w:val="TableParagraph"/>
              <w:spacing w:line="199" w:lineRule="exact" w:before="5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ADF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</w:tcPr>
          <w:p>
            <w:pPr>
              <w:pStyle w:val="TableParagraph"/>
              <w:spacing w:line="199" w:lineRule="exact" w:before="5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344.822</w:t>
            </w:r>
          </w:p>
        </w:tc>
        <w:tc>
          <w:tcPr>
            <w:tcW w:w="920" w:type="dxa"/>
          </w:tcPr>
          <w:p>
            <w:pPr>
              <w:pStyle w:val="TableParagraph"/>
              <w:spacing w:line="199" w:lineRule="exact" w:before="5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</w:tcPr>
          <w:p>
            <w:pPr>
              <w:pStyle w:val="TableParagraph"/>
              <w:spacing w:line="199" w:lineRule="exact" w:before="5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</w:tcPr>
          <w:p>
            <w:pPr>
              <w:pStyle w:val="TableParagraph"/>
              <w:spacing w:line="199" w:lineRule="exact" w:before="5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550</w:t>
            </w:r>
          </w:p>
        </w:tc>
      </w:tr>
      <w:tr>
        <w:trPr>
          <w:trHeight w:val="318" w:hRule="atLeast"/>
        </w:trPr>
        <w:tc>
          <w:tcPr>
            <w:tcW w:w="26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6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PP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-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Chi-square</w:t>
            </w:r>
          </w:p>
        </w:tc>
        <w:tc>
          <w:tcPr>
            <w:tcW w:w="103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99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511.572</w:t>
            </w:r>
          </w:p>
        </w:tc>
        <w:tc>
          <w:tcPr>
            <w:tcW w:w="92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58" w:right="10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</w:t>
            </w:r>
          </w:p>
        </w:tc>
        <w:tc>
          <w:tcPr>
            <w:tcW w:w="1042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left="139" w:right="147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80</w:t>
            </w:r>
          </w:p>
        </w:tc>
        <w:tc>
          <w:tcPr>
            <w:tcW w:w="890" w:type="dxa"/>
            <w:tcBorders>
              <w:bottom w:val="double" w:sz="2" w:space="0" w:color="000000"/>
            </w:tcBorders>
          </w:tcPr>
          <w:p>
            <w:pPr>
              <w:pStyle w:val="TableParagraph"/>
              <w:spacing w:line="240" w:lineRule="auto" w:before="6"/>
              <w:ind w:right="317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573</w:t>
            </w:r>
          </w:p>
        </w:tc>
      </w:tr>
      <w:tr>
        <w:trPr>
          <w:trHeight w:val="3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98" w:lineRule="exact" w:before="94"/>
              <w:ind w:left="-3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**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Probabilities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for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Fisher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are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computed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using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an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1"/>
                <w:sz w:val="18"/>
              </w:rPr>
              <w:t> </w:t>
            </w:r>
            <w:r>
              <w:rPr>
                <w:rFonts w:ascii="Arial MT"/>
                <w:sz w:val="18"/>
              </w:rPr>
              <w:t>Chi</w:t>
            </w:r>
          </w:p>
        </w:tc>
        <w:tc>
          <w:tcPr>
            <w:tcW w:w="890" w:type="dxa"/>
            <w:tcBorders>
              <w:top w:val="double" w:sz="2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8"/>
              </w:rPr>
            </w:pPr>
          </w:p>
        </w:tc>
      </w:tr>
      <w:tr>
        <w:trPr>
          <w:trHeight w:val="212" w:hRule="atLeast"/>
        </w:trPr>
        <w:tc>
          <w:tcPr>
            <w:tcW w:w="5639" w:type="dxa"/>
            <w:gridSpan w:val="4"/>
          </w:tcPr>
          <w:p>
            <w:pPr>
              <w:pStyle w:val="TableParagraph"/>
              <w:spacing w:line="187" w:lineRule="exact" w:before="5"/>
              <w:ind w:left="400" w:right="0"/>
              <w:jc w:val="left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-square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distribution.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All</w:t>
            </w:r>
            <w:r>
              <w:rPr>
                <w:rFonts w:ascii="Arial MT"/>
                <w:spacing w:val="-5"/>
                <w:sz w:val="18"/>
              </w:rPr>
              <w:t> </w:t>
            </w:r>
            <w:r>
              <w:rPr>
                <w:rFonts w:ascii="Arial MT"/>
                <w:sz w:val="18"/>
              </w:rPr>
              <w:t>other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tests</w:t>
            </w:r>
            <w:r>
              <w:rPr>
                <w:rFonts w:ascii="Arial MT"/>
                <w:spacing w:val="-4"/>
                <w:sz w:val="18"/>
              </w:rPr>
              <w:t> </w:t>
            </w:r>
            <w:r>
              <w:rPr>
                <w:rFonts w:ascii="Arial MT"/>
                <w:sz w:val="18"/>
              </w:rPr>
              <w:t>assume</w:t>
            </w:r>
            <w:r>
              <w:rPr>
                <w:rFonts w:ascii="Arial MT"/>
                <w:spacing w:val="-3"/>
                <w:sz w:val="18"/>
              </w:rPr>
              <w:t> </w:t>
            </w:r>
            <w:r>
              <w:rPr>
                <w:rFonts w:ascii="Arial MT"/>
                <w:sz w:val="18"/>
              </w:rPr>
              <w:t>asymptotic</w:t>
            </w:r>
            <w:r>
              <w:rPr>
                <w:rFonts w:ascii="Arial MT"/>
                <w:spacing w:val="-2"/>
                <w:sz w:val="18"/>
              </w:rPr>
              <w:t> </w:t>
            </w:r>
            <w:r>
              <w:rPr>
                <w:rFonts w:ascii="Arial MT"/>
                <w:sz w:val="18"/>
              </w:rPr>
              <w:t>normality.</w:t>
            </w:r>
          </w:p>
        </w:tc>
        <w:tc>
          <w:tcPr>
            <w:tcW w:w="89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4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60192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59680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pict>
          <v:rect style="position:absolute;margin-left:86.664001pt;margin-top:155.419983pt;width:132.26pt;height:.72pt;mso-position-horizontal-relative:page;mso-position-vertical-relative:page;z-index:-49159168" filled="true" fillcolor="#000000" stroked="false">
            <v:fill type="solid"/>
            <w10:wrap type="none"/>
          </v:rect>
        </w:pict>
      </w:r>
      <w:r>
        <w:rPr/>
        <w:pict>
          <v:rect style="position:absolute;margin-left:86.664001pt;margin-top:281.449982pt;width:132.26pt;height:.72pt;mso-position-horizontal-relative:page;mso-position-vertical-relative:page;z-index:-49158656" filled="true" fillcolor="#000000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20" w:bottom="1600" w:left="880" w:right="300"/>
        </w:sectPr>
      </w:pPr>
    </w:p>
    <w:p>
      <w:pPr>
        <w:pStyle w:val="Heading1"/>
        <w:ind w:left="2166" w:right="2175"/>
        <w:jc w:val="center"/>
      </w:pPr>
      <w:bookmarkStart w:name="_bookmark112" w:id="180"/>
      <w:bookmarkEnd w:id="180"/>
      <w:r>
        <w:rPr>
          <w:b w:val="0"/>
        </w:rPr>
      </w:r>
      <w:r>
        <w:rPr/>
        <w:t>APPENDIX</w:t>
      </w:r>
      <w:r>
        <w:rPr>
          <w:spacing w:val="-3"/>
        </w:rPr>
        <w:t> </w:t>
      </w:r>
      <w:r>
        <w:rPr/>
        <w:t>II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p>
      <w:pPr>
        <w:spacing w:before="1"/>
        <w:ind w:left="2170" w:right="2174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54158336">
            <wp:simplePos x="0" y="0"/>
            <wp:positionH relativeFrom="page">
              <wp:posOffset>1261605</wp:posOffset>
            </wp:positionH>
            <wp:positionV relativeFrom="paragraph">
              <wp:posOffset>1388403</wp:posOffset>
            </wp:positionV>
            <wp:extent cx="5133225" cy="5265293"/>
            <wp:effectExtent l="0" t="0" r="0" b="0"/>
            <wp:wrapNone/>
            <wp:docPr id="30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113" w:id="181"/>
      <w:bookmarkEnd w:id="181"/>
      <w:r>
        <w:rPr/>
      </w: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Companies</w:t>
      </w:r>
    </w:p>
    <w:p>
      <w:pPr>
        <w:pStyle w:val="BodyText"/>
        <w:spacing w:before="5"/>
        <w:ind w:left="0"/>
        <w:jc w:val="left"/>
        <w:rPr>
          <w:b/>
          <w:sz w:val="29"/>
        </w:r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77" w:hRule="atLeast"/>
        </w:trPr>
        <w:tc>
          <w:tcPr>
            <w:tcW w:w="3087" w:type="dxa"/>
          </w:tcPr>
          <w:p>
            <w:pPr>
              <w:pStyle w:val="TableParagraph"/>
              <w:spacing w:line="25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58" w:lineRule="exact" w:before="0"/>
              <w:ind w:left="522" w:right="52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COUNTRY</w:t>
            </w:r>
          </w:p>
        </w:tc>
        <w:tc>
          <w:tcPr>
            <w:tcW w:w="3272" w:type="dxa"/>
          </w:tcPr>
          <w:p>
            <w:pPr>
              <w:pStyle w:val="TableParagraph"/>
              <w:spacing w:line="25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GICS</w:t>
            </w:r>
            <w:r>
              <w:rPr>
                <w:rFonts w:ascii="Calibri"/>
                <w:spacing w:val="49"/>
                <w:sz w:val="22"/>
              </w:rPr>
              <w:t> </w:t>
            </w:r>
            <w:r>
              <w:rPr>
                <w:rFonts w:ascii="Calibri"/>
                <w:sz w:val="22"/>
              </w:rPr>
              <w:t>INDUSTRY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7Up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6" w:hRule="atLeast"/>
        </w:trPr>
        <w:tc>
          <w:tcPr>
            <w:tcW w:w="3087" w:type="dxa"/>
            <w:tcBorders>
              <w:bottom w:val="single" w:sz="6" w:space="0" w:color="BEBEBE"/>
            </w:tcBorders>
          </w:tcPr>
          <w:p>
            <w:pPr>
              <w:pStyle w:val="TableParagraph"/>
              <w:spacing w:line="246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  <w:tcBorders>
              <w:bottom w:val="single" w:sz="6" w:space="0" w:color="BEBEBE"/>
            </w:tcBorders>
          </w:tcPr>
          <w:p>
            <w:pPr>
              <w:pStyle w:val="TableParagraph"/>
              <w:spacing w:line="246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  <w:tcBorders>
              <w:bottom w:val="single" w:sz="6" w:space="0" w:color="BEBEBE"/>
            </w:tcBorders>
          </w:tcPr>
          <w:p>
            <w:pPr>
              <w:pStyle w:val="TableParagraph"/>
              <w:spacing w:line="246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6" w:hRule="atLeast"/>
        </w:trPr>
        <w:tc>
          <w:tcPr>
            <w:tcW w:w="3087" w:type="dxa"/>
            <w:tcBorders>
              <w:top w:val="single" w:sz="6" w:space="0" w:color="BEBEBE"/>
            </w:tcBorders>
          </w:tcPr>
          <w:p>
            <w:pPr>
              <w:pStyle w:val="TableParagraph"/>
              <w:spacing w:line="246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  <w:tcBorders>
              <w:top w:val="single" w:sz="6" w:space="0" w:color="BEBEBE"/>
            </w:tcBorders>
          </w:tcPr>
          <w:p>
            <w:pPr>
              <w:pStyle w:val="TableParagraph"/>
              <w:spacing w:line="246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  <w:tcBorders>
              <w:top w:val="single" w:sz="6" w:space="0" w:color="BEBEBE"/>
            </w:tcBorders>
          </w:tcPr>
          <w:p>
            <w:pPr>
              <w:pStyle w:val="TableParagraph"/>
              <w:spacing w:line="246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A.G.Leventis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Air&amp;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Logistic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51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Aluminium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Extrusion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Indus</w:t>
            </w:r>
          </w:p>
        </w:tc>
        <w:tc>
          <w:tcPr>
            <w:tcW w:w="1973" w:type="dxa"/>
          </w:tcPr>
          <w:p>
            <w:pPr>
              <w:pStyle w:val="TableParagraph"/>
              <w:spacing w:line="251" w:lineRule="exact" w:before="0"/>
              <w:ind w:left="522" w:right="51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51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</w:tbl>
    <w:p>
      <w:pPr>
        <w:spacing w:after="0" w:line="251" w:lineRule="exact"/>
        <w:jc w:val="center"/>
        <w:rPr>
          <w:rFonts w:ascii="Calibri"/>
          <w:sz w:val="22"/>
        </w:rPr>
        <w:sectPr>
          <w:pgSz w:w="11910" w:h="16840"/>
          <w:pgMar w:header="0" w:footer="1402" w:top="112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Associated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Avon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Crowncaps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Containers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83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B.O.C Gases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Berger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58848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0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Beta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Glass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Cadbury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Capital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Cement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Comy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Northern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Champion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Champion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Champion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Champion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Champion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Champion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Champion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Champion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59360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Chellarams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Chemical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Allied Product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Ci Leasing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Finance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59872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Courtville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Investment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Cutix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Electricial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Equipment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Commuunictions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Commuunictions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Commuunictions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Commuunictions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Commuunictions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Commuunictions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Commuunictions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Daar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Commuunictions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Cement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345" w:hRule="atLeast"/>
        </w:trPr>
        <w:tc>
          <w:tcPr>
            <w:tcW w:w="3087" w:type="dxa"/>
          </w:tcPr>
          <w:p>
            <w:pPr>
              <w:pStyle w:val="TableParagraph"/>
              <w:spacing w:line="26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Dangote Sugar</w:t>
            </w:r>
          </w:p>
        </w:tc>
        <w:tc>
          <w:tcPr>
            <w:tcW w:w="1973" w:type="dxa"/>
          </w:tcPr>
          <w:p>
            <w:pPr>
              <w:pStyle w:val="TableParagraph"/>
              <w:spacing w:line="26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6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0384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Meyer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Eternaoil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Etranzact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Interntional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Fidson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Healthcare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0896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First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Alumminium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Flour Mills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Of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Forte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(Ap)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Ftn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Cocoa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Processors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Glaxosmithkline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1408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Greif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Packaging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Guinness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Honywell Flour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Ikeja Hotel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1920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Interlinked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Technologies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Telecom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International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Japaul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Maritime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Serv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John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Holt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Julius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Berger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Engineering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2432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Lafarge Cement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Wapco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Construction</w:t>
            </w:r>
            <w:r>
              <w:rPr>
                <w:rFonts w:ascii="Calibri"/>
                <w:spacing w:val="-6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Livestock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Feeds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May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Baker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Mcnichols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Consolidated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Mcnichols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Consolidated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Mcnichols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Consolidated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Mcnichols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Consolidated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Mcnichols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Consolidated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Mcnichols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Consolidated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Mcnichols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Consolidated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Mcnichols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Consolidated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Mobil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2944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Morison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Industries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Healthcare Facilities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Mrs(Texaco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Chevron)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8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Multiverse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Metals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and Mining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Nascon Allied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3456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National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Aviation</w:t>
            </w:r>
            <w:r>
              <w:rPr>
                <w:rFonts w:ascii="Calibri"/>
                <w:spacing w:val="-5"/>
                <w:sz w:val="22"/>
              </w:rPr>
              <w:t> </w:t>
            </w:r>
            <w:r>
              <w:rPr>
                <w:rFonts w:ascii="Calibri"/>
                <w:sz w:val="22"/>
              </w:rPr>
              <w:t>Handling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Ncr 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Software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&amp; 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Neimeth Int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Pharm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Nestle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 Breweries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3968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Enamelware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Northen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Flour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Mill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Oando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Okomu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Oil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Palm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Coatings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Man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Coatings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Man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Coatings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Man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Coatings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Man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Coatings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Man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Coatings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Man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4480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Coatings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Man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2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Paints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1"/>
                <w:sz w:val="22"/>
              </w:rPr>
              <w:t> </w:t>
            </w:r>
            <w:r>
              <w:rPr>
                <w:rFonts w:ascii="Calibri"/>
                <w:sz w:val="22"/>
              </w:rPr>
              <w:t>Coatings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Man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Pharma-Deko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Pharmacetical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0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Portland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Paint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Premier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Paints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Building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Materials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1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Presco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4992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Pz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Cussons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875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R.T Briscoe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Automobiles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Redstar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Scoa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5504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Studio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Press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Tantalizer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Retailing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Thomas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Wyatt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Forestry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Paper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Tiger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Branded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5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Total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Oil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Gas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6016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49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Tourist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Of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Transcorp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Trans-Nationwide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Express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Consumer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Services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153" w:right="146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Tripple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Gee &amp;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Company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3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Technology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154" w:right="144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Uac Of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Diversified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6528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8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7"/>
        <w:gridCol w:w="1973"/>
        <w:gridCol w:w="3272"/>
      </w:tblGrid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71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2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2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2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5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 and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9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Unilever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4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Food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and Beverage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30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University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Press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Media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1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70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1"/>
              <w:ind w:left="892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Updc</w:t>
            </w:r>
            <w:r>
              <w:rPr>
                <w:rFonts w:ascii="Calibri"/>
                <w:spacing w:val="-1"/>
                <w:sz w:val="22"/>
              </w:rPr>
              <w:t> </w:t>
            </w:r>
            <w:r>
              <w:rPr>
                <w:rFonts w:ascii="Calibri"/>
                <w:sz w:val="22"/>
              </w:rPr>
              <w:t>Property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1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1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Real Estate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9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9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9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79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3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  <w:tr>
        <w:trPr>
          <w:trHeight w:val="268" w:hRule="atLeast"/>
        </w:trPr>
        <w:tc>
          <w:tcPr>
            <w:tcW w:w="3087" w:type="dxa"/>
          </w:tcPr>
          <w:p>
            <w:pPr>
              <w:pStyle w:val="TableParagraph"/>
              <w:spacing w:line="248" w:lineRule="exact" w:before="0"/>
              <w:ind w:left="959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Vitafoam Nig</w:t>
            </w:r>
          </w:p>
        </w:tc>
        <w:tc>
          <w:tcPr>
            <w:tcW w:w="1973" w:type="dxa"/>
          </w:tcPr>
          <w:p>
            <w:pPr>
              <w:pStyle w:val="TableParagraph"/>
              <w:spacing w:line="248" w:lineRule="exact" w:before="0"/>
              <w:ind w:left="664" w:right="0"/>
              <w:jc w:val="left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Nigeria</w:t>
            </w:r>
          </w:p>
        </w:tc>
        <w:tc>
          <w:tcPr>
            <w:tcW w:w="3272" w:type="dxa"/>
          </w:tcPr>
          <w:p>
            <w:pPr>
              <w:pStyle w:val="TableParagraph"/>
              <w:spacing w:line="248" w:lineRule="exact" w:before="0"/>
              <w:ind w:left="486" w:right="480"/>
              <w:jc w:val="center"/>
              <w:rPr>
                <w:rFonts w:ascii="Calibri"/>
                <w:sz w:val="22"/>
              </w:rPr>
            </w:pPr>
            <w:r>
              <w:rPr>
                <w:rFonts w:ascii="Calibri"/>
                <w:sz w:val="22"/>
              </w:rPr>
              <w:t>Household</w:t>
            </w:r>
            <w:r>
              <w:rPr>
                <w:rFonts w:ascii="Calibri"/>
                <w:spacing w:val="-4"/>
                <w:sz w:val="22"/>
              </w:rPr>
              <w:t> </w:t>
            </w:r>
            <w:r>
              <w:rPr>
                <w:rFonts w:ascii="Calibri"/>
                <w:sz w:val="22"/>
              </w:rPr>
              <w:t>&amp;</w:t>
            </w:r>
            <w:r>
              <w:rPr>
                <w:rFonts w:ascii="Calibri"/>
                <w:spacing w:val="-2"/>
                <w:sz w:val="22"/>
              </w:rPr>
              <w:t> </w:t>
            </w:r>
            <w:r>
              <w:rPr>
                <w:rFonts w:ascii="Calibri"/>
                <w:sz w:val="22"/>
              </w:rPr>
              <w:t>Personal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54167040">
            <wp:simplePos x="0" y="0"/>
            <wp:positionH relativeFrom="page">
              <wp:posOffset>1261605</wp:posOffset>
            </wp:positionH>
            <wp:positionV relativeFrom="page">
              <wp:posOffset>2550286</wp:posOffset>
            </wp:positionV>
            <wp:extent cx="5133225" cy="5265293"/>
            <wp:effectExtent l="0" t="0" r="0" b="0"/>
            <wp:wrapNone/>
            <wp:docPr id="34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225" cy="5265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p>
      <w:pPr>
        <w:pStyle w:val="Heading1"/>
        <w:ind w:left="2169" w:right="2175"/>
        <w:jc w:val="center"/>
      </w:pPr>
      <w:r>
        <w:rPr/>
        <w:pict>
          <v:shape style="position:absolute;margin-left:99.338997pt;margin-top:558.219971pt;width:57.15pt;height:57.2pt;mso-position-horizontal-relative:page;mso-position-vertical-relative:page;z-index:-4914892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8416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  <w:bookmarkStart w:name="_bookmark114" w:id="182"/>
      <w:bookmarkEnd w:id="182"/>
      <w:r>
        <w:rPr>
          <w:b w:val="0"/>
        </w:rPr>
      </w:r>
      <w:r>
        <w:rPr/>
        <w:t>APPENDIX</w:t>
      </w:r>
      <w:r>
        <w:rPr>
          <w:spacing w:val="-3"/>
        </w:rPr>
        <w:t> </w:t>
      </w:r>
      <w:r>
        <w:rPr/>
        <w:t>III</w:t>
      </w:r>
    </w:p>
    <w:p>
      <w:pPr>
        <w:spacing w:before="121"/>
        <w:ind w:left="2167" w:right="2175" w:firstLine="0"/>
        <w:jc w:val="center"/>
        <w:rPr>
          <w:b/>
          <w:sz w:val="24"/>
        </w:rPr>
      </w:pPr>
      <w:bookmarkStart w:name="_bookmark115" w:id="183"/>
      <w:bookmarkEnd w:id="183"/>
      <w:r>
        <w:rPr/>
      </w:r>
      <w:r>
        <w:rPr>
          <w:b/>
          <w:sz w:val="24"/>
        </w:rPr>
        <w:t>Data</w:t>
      </w:r>
    </w:p>
    <w:p>
      <w:pPr>
        <w:pStyle w:val="BodyText"/>
        <w:spacing w:before="5" w:after="1"/>
        <w:ind w:left="0"/>
        <w:jc w:val="left"/>
        <w:rPr>
          <w:b/>
          <w:sz w:val="10"/>
        </w:r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186" w:hRule="atLeast"/>
        </w:trPr>
        <w:tc>
          <w:tcPr>
            <w:tcW w:w="879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2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spacing w:before="4"/>
              <w:ind w:left="107" w:right="0"/>
              <w:jc w:val="left"/>
              <w:rPr>
                <w:sz w:val="16"/>
              </w:rPr>
            </w:pPr>
            <w:r>
              <w:rPr>
                <w:sz w:val="16"/>
              </w:rPr>
              <w:t>TAG</w:t>
            </w:r>
          </w:p>
        </w:tc>
        <w:tc>
          <w:tcPr>
            <w:tcW w:w="980" w:type="dxa"/>
          </w:tcPr>
          <w:p>
            <w:pPr>
              <w:pStyle w:val="TableParagraph"/>
              <w:spacing w:before="4"/>
              <w:ind w:left="104" w:right="0"/>
              <w:jc w:val="left"/>
              <w:rPr>
                <w:sz w:val="16"/>
              </w:rPr>
            </w:pPr>
            <w:r>
              <w:rPr>
                <w:sz w:val="16"/>
              </w:rPr>
              <w:t>BDIND</w:t>
            </w:r>
          </w:p>
        </w:tc>
        <w:tc>
          <w:tcPr>
            <w:tcW w:w="979" w:type="dxa"/>
          </w:tcPr>
          <w:p>
            <w:pPr>
              <w:pStyle w:val="TableParagraph"/>
              <w:spacing w:before="4"/>
              <w:ind w:left="106" w:right="0"/>
              <w:jc w:val="left"/>
              <w:rPr>
                <w:sz w:val="16"/>
              </w:rPr>
            </w:pPr>
            <w:r>
              <w:rPr>
                <w:sz w:val="16"/>
              </w:rPr>
              <w:t>BDOWN</w:t>
            </w:r>
          </w:p>
        </w:tc>
        <w:tc>
          <w:tcPr>
            <w:tcW w:w="741" w:type="dxa"/>
          </w:tcPr>
          <w:p>
            <w:pPr>
              <w:pStyle w:val="TableParagraph"/>
              <w:spacing w:before="4"/>
              <w:ind w:left="107" w:right="0"/>
              <w:jc w:val="left"/>
              <w:rPr>
                <w:sz w:val="16"/>
              </w:rPr>
            </w:pPr>
            <w:r>
              <w:rPr>
                <w:sz w:val="16"/>
              </w:rPr>
              <w:t>BDS</w:t>
            </w:r>
          </w:p>
        </w:tc>
        <w:tc>
          <w:tcPr>
            <w:tcW w:w="739" w:type="dxa"/>
          </w:tcPr>
          <w:p>
            <w:pPr>
              <w:pStyle w:val="TableParagraph"/>
              <w:spacing w:before="4"/>
              <w:ind w:left="105" w:right="0"/>
              <w:jc w:val="left"/>
              <w:rPr>
                <w:sz w:val="16"/>
              </w:rPr>
            </w:pPr>
            <w:r>
              <w:rPr>
                <w:sz w:val="16"/>
              </w:rPr>
              <w:t>BGD</w:t>
            </w:r>
          </w:p>
        </w:tc>
        <w:tc>
          <w:tcPr>
            <w:tcW w:w="979" w:type="dxa"/>
          </w:tcPr>
          <w:p>
            <w:pPr>
              <w:pStyle w:val="TableParagraph"/>
              <w:spacing w:before="4"/>
              <w:ind w:left="108" w:right="0"/>
              <w:jc w:val="left"/>
              <w:rPr>
                <w:sz w:val="16"/>
              </w:rPr>
            </w:pPr>
            <w:r>
              <w:rPr>
                <w:sz w:val="16"/>
              </w:rPr>
              <w:t>CEOAGE</w:t>
            </w:r>
          </w:p>
        </w:tc>
        <w:tc>
          <w:tcPr>
            <w:tcW w:w="919" w:type="dxa"/>
          </w:tcPr>
          <w:p>
            <w:pPr>
              <w:pStyle w:val="TableParagraph"/>
              <w:spacing w:before="4"/>
              <w:rPr>
                <w:sz w:val="16"/>
              </w:rPr>
            </w:pPr>
            <w:r>
              <w:rPr>
                <w:sz w:val="16"/>
              </w:rPr>
              <w:t>CEOOWN</w:t>
            </w:r>
          </w:p>
        </w:tc>
        <w:tc>
          <w:tcPr>
            <w:tcW w:w="761" w:type="dxa"/>
          </w:tcPr>
          <w:p>
            <w:pPr>
              <w:pStyle w:val="TableParagraph"/>
              <w:spacing w:before="4"/>
              <w:ind w:left="108" w:right="0"/>
              <w:jc w:val="left"/>
              <w:rPr>
                <w:sz w:val="16"/>
              </w:rPr>
            </w:pPr>
            <w:r>
              <w:rPr>
                <w:sz w:val="16"/>
              </w:rPr>
              <w:t>CEOT</w:t>
            </w:r>
          </w:p>
        </w:tc>
        <w:tc>
          <w:tcPr>
            <w:tcW w:w="840" w:type="dxa"/>
          </w:tcPr>
          <w:p>
            <w:pPr>
              <w:pStyle w:val="TableParagraph"/>
              <w:spacing w:before="4"/>
              <w:ind w:left="109" w:right="0"/>
              <w:jc w:val="left"/>
              <w:rPr>
                <w:sz w:val="16"/>
              </w:rPr>
            </w:pPr>
            <w:r>
              <w:rPr>
                <w:sz w:val="16"/>
              </w:rPr>
              <w:t>FSIZE</w:t>
            </w:r>
          </w:p>
        </w:tc>
        <w:tc>
          <w:tcPr>
            <w:tcW w:w="780" w:type="dxa"/>
          </w:tcPr>
          <w:p>
            <w:pPr>
              <w:pStyle w:val="TableParagraph"/>
              <w:spacing w:before="4"/>
              <w:ind w:left="109" w:right="0"/>
              <w:jc w:val="left"/>
              <w:rPr>
                <w:sz w:val="16"/>
              </w:rPr>
            </w:pPr>
            <w:r>
              <w:rPr>
                <w:sz w:val="16"/>
              </w:rPr>
              <w:t>LEV</w:t>
            </w:r>
          </w:p>
        </w:tc>
        <w:tc>
          <w:tcPr>
            <w:tcW w:w="701" w:type="dxa"/>
          </w:tcPr>
          <w:p>
            <w:pPr>
              <w:pStyle w:val="TableParagraph"/>
              <w:spacing w:before="4"/>
              <w:ind w:left="109" w:right="0"/>
              <w:jc w:val="left"/>
              <w:rPr>
                <w:sz w:val="16"/>
              </w:rPr>
            </w:pPr>
            <w:r>
              <w:rPr>
                <w:sz w:val="16"/>
              </w:rPr>
              <w:t>ROA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0.2291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7.38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84.8152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61" w:hRule="atLeast"/>
        </w:trPr>
        <w:tc>
          <w:tcPr>
            <w:tcW w:w="879" w:type="dxa"/>
          </w:tcPr>
          <w:p>
            <w:pPr>
              <w:pStyle w:val="TableParagraph"/>
              <w:spacing w:before="78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78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spacing w:before="78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78"/>
              <w:ind w:right="95"/>
              <w:rPr>
                <w:sz w:val="16"/>
              </w:rPr>
            </w:pPr>
            <w:r>
              <w:rPr>
                <w:sz w:val="16"/>
              </w:rPr>
              <w:t>0.0066</w:t>
            </w:r>
          </w:p>
        </w:tc>
        <w:tc>
          <w:tcPr>
            <w:tcW w:w="741" w:type="dxa"/>
          </w:tcPr>
          <w:p>
            <w:pPr>
              <w:pStyle w:val="TableParagraph"/>
              <w:spacing w:before="78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78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0.2291</w:t>
            </w:r>
          </w:p>
        </w:tc>
        <w:tc>
          <w:tcPr>
            <w:tcW w:w="761" w:type="dxa"/>
          </w:tcPr>
          <w:p>
            <w:pPr>
              <w:pStyle w:val="TableParagraph"/>
              <w:spacing w:before="78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78"/>
              <w:ind w:right="93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780" w:type="dxa"/>
          </w:tcPr>
          <w:p>
            <w:pPr>
              <w:pStyle w:val="TableParagraph"/>
              <w:spacing w:before="78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63.4501</w:t>
            </w:r>
          </w:p>
        </w:tc>
        <w:tc>
          <w:tcPr>
            <w:tcW w:w="701" w:type="dxa"/>
          </w:tcPr>
          <w:p>
            <w:pPr>
              <w:pStyle w:val="TableParagraph"/>
              <w:spacing w:before="78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0.2293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64.6406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0.0074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0.2293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68.9801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184" w:hRule="atLeast"/>
        </w:trPr>
        <w:tc>
          <w:tcPr>
            <w:tcW w:w="879" w:type="dxa"/>
          </w:tcPr>
          <w:p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>0.0065</w:t>
            </w:r>
          </w:p>
        </w:tc>
        <w:tc>
          <w:tcPr>
            <w:tcW w:w="741" w:type="dxa"/>
          </w:tcPr>
          <w:p>
            <w:pPr>
              <w:pStyle w:val="TableParagraph"/>
              <w:spacing w:before="1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0.2296</w:t>
            </w:r>
          </w:p>
        </w:tc>
        <w:tc>
          <w:tcPr>
            <w:tcW w:w="761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80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sz w:val="16"/>
              </w:rPr>
              <w:t>75.515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0.2296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7.71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76.961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2.5496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7.75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78.6806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0.1665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73.1553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74.9559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7.94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69.8816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0.0832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70.9879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84.8359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0.0038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0.1663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7.29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68.8155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13" w:hRule="atLeast"/>
        </w:trPr>
        <w:tc>
          <w:tcPr>
            <w:tcW w:w="879" w:type="dxa"/>
          </w:tcPr>
          <w:p>
            <w:pPr>
              <w:pStyle w:val="TableParagraph"/>
              <w:spacing w:before="30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30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spacing w:before="30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spacing w:before="30"/>
              <w:ind w:right="95"/>
              <w:rPr>
                <w:sz w:val="16"/>
              </w:rPr>
            </w:pPr>
            <w:r>
              <w:rPr>
                <w:sz w:val="16"/>
              </w:rPr>
              <w:t>0.0057</w:t>
            </w:r>
          </w:p>
        </w:tc>
        <w:tc>
          <w:tcPr>
            <w:tcW w:w="741" w:type="dxa"/>
          </w:tcPr>
          <w:p>
            <w:pPr>
              <w:pStyle w:val="TableParagraph"/>
              <w:spacing w:before="30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30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30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30"/>
              <w:rPr>
                <w:sz w:val="16"/>
              </w:rPr>
            </w:pPr>
            <w:r>
              <w:rPr>
                <w:sz w:val="16"/>
              </w:rPr>
              <w:t>0.1663</w:t>
            </w:r>
          </w:p>
        </w:tc>
        <w:tc>
          <w:tcPr>
            <w:tcW w:w="761" w:type="dxa"/>
          </w:tcPr>
          <w:p>
            <w:pPr>
              <w:pStyle w:val="TableParagraph"/>
              <w:spacing w:before="30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30"/>
              <w:rPr>
                <w:sz w:val="16"/>
              </w:rPr>
            </w:pPr>
            <w:r>
              <w:rPr>
                <w:sz w:val="16"/>
              </w:rPr>
              <w:t>7.32</w:t>
            </w:r>
          </w:p>
        </w:tc>
        <w:tc>
          <w:tcPr>
            <w:tcW w:w="780" w:type="dxa"/>
          </w:tcPr>
          <w:p>
            <w:pPr>
              <w:pStyle w:val="TableParagraph"/>
              <w:spacing w:before="30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59.5991</w:t>
            </w:r>
          </w:p>
        </w:tc>
        <w:tc>
          <w:tcPr>
            <w:tcW w:w="701" w:type="dxa"/>
          </w:tcPr>
          <w:p>
            <w:pPr>
              <w:pStyle w:val="TableParagraph"/>
              <w:spacing w:before="30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0.0042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56.8001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7.31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52.4224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7.38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55.1059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7.35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50.9533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7.31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52.1326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7.27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37.2679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0.3353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6.12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32.0376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03" w:hRule="atLeast"/>
        </w:trPr>
        <w:tc>
          <w:tcPr>
            <w:tcW w:w="879" w:type="dxa"/>
          </w:tcPr>
          <w:p>
            <w:pPr>
              <w:pStyle w:val="TableParagraph"/>
              <w:spacing w:before="21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21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spacing w:before="21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21"/>
              <w:ind w:right="95"/>
              <w:rPr>
                <w:sz w:val="16"/>
              </w:rPr>
            </w:pPr>
            <w:r>
              <w:rPr>
                <w:sz w:val="16"/>
              </w:rPr>
              <w:t>0.3391</w:t>
            </w:r>
          </w:p>
        </w:tc>
        <w:tc>
          <w:tcPr>
            <w:tcW w:w="741" w:type="dxa"/>
          </w:tcPr>
          <w:p>
            <w:pPr>
              <w:pStyle w:val="TableParagraph"/>
              <w:spacing w:before="21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21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21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21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61" w:type="dxa"/>
          </w:tcPr>
          <w:p>
            <w:pPr>
              <w:pStyle w:val="TableParagraph"/>
              <w:spacing w:before="21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21"/>
              <w:rPr>
                <w:sz w:val="16"/>
              </w:rPr>
            </w:pPr>
            <w:r>
              <w:rPr>
                <w:sz w:val="16"/>
              </w:rPr>
              <w:t>6.17</w:t>
            </w:r>
          </w:p>
        </w:tc>
        <w:tc>
          <w:tcPr>
            <w:tcW w:w="780" w:type="dxa"/>
          </w:tcPr>
          <w:p>
            <w:pPr>
              <w:pStyle w:val="TableParagraph"/>
              <w:spacing w:before="21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30.7331</w:t>
            </w:r>
          </w:p>
        </w:tc>
        <w:tc>
          <w:tcPr>
            <w:tcW w:w="701" w:type="dxa"/>
          </w:tcPr>
          <w:p>
            <w:pPr>
              <w:pStyle w:val="TableParagraph"/>
              <w:spacing w:before="21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0.3391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6.31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29.1303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49.9801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17" w:hRule="atLeast"/>
        </w:trPr>
        <w:tc>
          <w:tcPr>
            <w:tcW w:w="879" w:type="dxa"/>
          </w:tcPr>
          <w:p>
            <w:pPr>
              <w:pStyle w:val="TableParagraph"/>
              <w:spacing w:before="35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35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spacing w:before="35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spacing w:before="35"/>
              <w:ind w:right="96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  <w:tc>
          <w:tcPr>
            <w:tcW w:w="741" w:type="dxa"/>
          </w:tcPr>
          <w:p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35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35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spacing w:before="35"/>
              <w:rPr>
                <w:sz w:val="16"/>
              </w:rPr>
            </w:pPr>
            <w:r>
              <w:rPr>
                <w:sz w:val="16"/>
              </w:rPr>
              <w:t>0.055</w:t>
            </w:r>
          </w:p>
        </w:tc>
        <w:tc>
          <w:tcPr>
            <w:tcW w:w="761" w:type="dxa"/>
          </w:tcPr>
          <w:p>
            <w:pPr>
              <w:pStyle w:val="TableParagraph"/>
              <w:spacing w:before="35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35"/>
              <w:rPr>
                <w:sz w:val="16"/>
              </w:rPr>
            </w:pPr>
            <w:r>
              <w:rPr>
                <w:sz w:val="16"/>
              </w:rPr>
              <w:t>6.45</w:t>
            </w:r>
          </w:p>
        </w:tc>
        <w:tc>
          <w:tcPr>
            <w:tcW w:w="780" w:type="dxa"/>
          </w:tcPr>
          <w:p>
            <w:pPr>
              <w:pStyle w:val="TableParagraph"/>
              <w:spacing w:before="35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54.7371</w:t>
            </w:r>
          </w:p>
        </w:tc>
        <w:tc>
          <w:tcPr>
            <w:tcW w:w="701" w:type="dxa"/>
          </w:tcPr>
          <w:p>
            <w:pPr>
              <w:pStyle w:val="TableParagraph"/>
              <w:spacing w:before="35"/>
              <w:ind w:right="93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0.1687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0.055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45.6194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0.1795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0.0389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37.6586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0.0389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6.57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26.8799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0.0413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0.0354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29.6554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</w:tr>
      <w:tr>
        <w:trPr>
          <w:trHeight w:val="215" w:hRule="atLeast"/>
        </w:trPr>
        <w:tc>
          <w:tcPr>
            <w:tcW w:w="879" w:type="dxa"/>
          </w:tcPr>
          <w:p>
            <w:pPr>
              <w:pStyle w:val="TableParagraph"/>
              <w:spacing w:before="33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33"/>
              <w:ind w:right="9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80" w:type="dxa"/>
          </w:tcPr>
          <w:p>
            <w:pPr>
              <w:pStyle w:val="TableParagraph"/>
              <w:spacing w:before="33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ind w:right="95"/>
              <w:rPr>
                <w:sz w:val="16"/>
              </w:rPr>
            </w:pPr>
            <w:r>
              <w:rPr>
                <w:sz w:val="16"/>
              </w:rPr>
              <w:t>0.0373</w:t>
            </w:r>
          </w:p>
        </w:tc>
        <w:tc>
          <w:tcPr>
            <w:tcW w:w="741" w:type="dxa"/>
          </w:tcPr>
          <w:p>
            <w:pPr>
              <w:pStyle w:val="TableParagraph"/>
              <w:spacing w:before="33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33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spacing w:before="33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33"/>
              <w:rPr>
                <w:sz w:val="16"/>
              </w:rPr>
            </w:pPr>
            <w:r>
              <w:rPr>
                <w:sz w:val="16"/>
              </w:rPr>
              <w:t>0.0354</w:t>
            </w:r>
          </w:p>
        </w:tc>
        <w:tc>
          <w:tcPr>
            <w:tcW w:w="761" w:type="dxa"/>
          </w:tcPr>
          <w:p>
            <w:pPr>
              <w:pStyle w:val="TableParagraph"/>
              <w:spacing w:before="33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33"/>
              <w:rPr>
                <w:sz w:val="16"/>
              </w:rPr>
            </w:pPr>
            <w:r>
              <w:rPr>
                <w:sz w:val="16"/>
              </w:rPr>
              <w:t>6.47</w:t>
            </w:r>
          </w:p>
        </w:tc>
        <w:tc>
          <w:tcPr>
            <w:tcW w:w="780" w:type="dxa"/>
          </w:tcPr>
          <w:p>
            <w:pPr>
              <w:pStyle w:val="TableParagraph"/>
              <w:spacing w:before="33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29.5523</w:t>
            </w:r>
          </w:p>
        </w:tc>
        <w:tc>
          <w:tcPr>
            <w:tcW w:w="701" w:type="dxa"/>
          </w:tcPr>
          <w:p>
            <w:pPr>
              <w:pStyle w:val="TableParagraph"/>
              <w:spacing w:before="33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70" w:hRule="atLeast"/>
        </w:trPr>
        <w:tc>
          <w:tcPr>
            <w:tcW w:w="879" w:type="dxa"/>
          </w:tcPr>
          <w:p>
            <w:pPr>
              <w:pStyle w:val="TableParagraph"/>
              <w:spacing w:before="88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88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spacing w:before="88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88"/>
              <w:ind w:right="95"/>
              <w:rPr>
                <w:sz w:val="16"/>
              </w:rPr>
            </w:pPr>
            <w:r>
              <w:rPr>
                <w:sz w:val="16"/>
              </w:rPr>
              <w:t>0.4528</w:t>
            </w:r>
          </w:p>
        </w:tc>
        <w:tc>
          <w:tcPr>
            <w:tcW w:w="741" w:type="dxa"/>
          </w:tcPr>
          <w:p>
            <w:pPr>
              <w:pStyle w:val="TableParagraph"/>
              <w:spacing w:before="88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88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0.0332</w:t>
            </w:r>
          </w:p>
        </w:tc>
        <w:tc>
          <w:tcPr>
            <w:tcW w:w="761" w:type="dxa"/>
          </w:tcPr>
          <w:p>
            <w:pPr>
              <w:pStyle w:val="TableParagraph"/>
              <w:spacing w:before="88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88"/>
              <w:rPr>
                <w:sz w:val="16"/>
              </w:rPr>
            </w:pPr>
            <w:r>
              <w:rPr>
                <w:sz w:val="16"/>
              </w:rPr>
              <w:t>6.52</w:t>
            </w:r>
          </w:p>
        </w:tc>
        <w:tc>
          <w:tcPr>
            <w:tcW w:w="780" w:type="dxa"/>
          </w:tcPr>
          <w:p>
            <w:pPr>
              <w:pStyle w:val="TableParagraph"/>
              <w:spacing w:before="88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44.1168</w:t>
            </w:r>
          </w:p>
        </w:tc>
        <w:tc>
          <w:tcPr>
            <w:tcW w:w="701" w:type="dxa"/>
          </w:tcPr>
          <w:p>
            <w:pPr>
              <w:pStyle w:val="TableParagraph"/>
              <w:spacing w:before="88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73" w:hRule="atLeast"/>
        </w:trPr>
        <w:tc>
          <w:tcPr>
            <w:tcW w:w="879" w:type="dxa"/>
          </w:tcPr>
          <w:p>
            <w:pPr>
              <w:pStyle w:val="TableParagraph"/>
              <w:spacing w:before="90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90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spacing w:before="90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90"/>
              <w:ind w:right="95"/>
              <w:rPr>
                <w:sz w:val="16"/>
              </w:rPr>
            </w:pPr>
            <w:r>
              <w:rPr>
                <w:sz w:val="16"/>
              </w:rPr>
              <w:t>0.5038</w:t>
            </w:r>
          </w:p>
        </w:tc>
        <w:tc>
          <w:tcPr>
            <w:tcW w:w="741" w:type="dxa"/>
          </w:tcPr>
          <w:p>
            <w:pPr>
              <w:pStyle w:val="TableParagraph"/>
              <w:spacing w:before="90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90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90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90"/>
              <w:rPr>
                <w:sz w:val="16"/>
              </w:rPr>
            </w:pPr>
            <w:r>
              <w:rPr>
                <w:sz w:val="16"/>
              </w:rPr>
              <w:t>0.0708</w:t>
            </w:r>
          </w:p>
        </w:tc>
        <w:tc>
          <w:tcPr>
            <w:tcW w:w="761" w:type="dxa"/>
          </w:tcPr>
          <w:p>
            <w:pPr>
              <w:pStyle w:val="TableParagraph"/>
              <w:spacing w:before="90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90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80" w:type="dxa"/>
          </w:tcPr>
          <w:p>
            <w:pPr>
              <w:pStyle w:val="TableParagraph"/>
              <w:spacing w:before="90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59.6341</w:t>
            </w:r>
          </w:p>
        </w:tc>
        <w:tc>
          <w:tcPr>
            <w:tcW w:w="701" w:type="dxa"/>
          </w:tcPr>
          <w:p>
            <w:pPr>
              <w:pStyle w:val="TableParagraph"/>
              <w:spacing w:before="90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78" w:hRule="atLeast"/>
        </w:trPr>
        <w:tc>
          <w:tcPr>
            <w:tcW w:w="879" w:type="dxa"/>
          </w:tcPr>
          <w:p>
            <w:pPr>
              <w:pStyle w:val="TableParagraph"/>
              <w:spacing w:before="96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96"/>
              <w:ind w:right="98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80" w:type="dxa"/>
          </w:tcPr>
          <w:p>
            <w:pPr>
              <w:pStyle w:val="TableParagraph"/>
              <w:spacing w:before="96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96"/>
              <w:ind w:right="95"/>
              <w:rPr>
                <w:sz w:val="16"/>
              </w:rPr>
            </w:pPr>
            <w:r>
              <w:rPr>
                <w:sz w:val="16"/>
              </w:rPr>
              <w:t>0.4969</w:t>
            </w:r>
          </w:p>
        </w:tc>
        <w:tc>
          <w:tcPr>
            <w:tcW w:w="741" w:type="dxa"/>
          </w:tcPr>
          <w:p>
            <w:pPr>
              <w:pStyle w:val="TableParagraph"/>
              <w:spacing w:before="96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96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96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spacing w:before="96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96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96"/>
              <w:rPr>
                <w:sz w:val="16"/>
              </w:rPr>
            </w:pPr>
            <w:r>
              <w:rPr>
                <w:sz w:val="16"/>
              </w:rPr>
              <w:t>6.35</w:t>
            </w:r>
          </w:p>
        </w:tc>
        <w:tc>
          <w:tcPr>
            <w:tcW w:w="780" w:type="dxa"/>
          </w:tcPr>
          <w:p>
            <w:pPr>
              <w:pStyle w:val="TableParagraph"/>
              <w:spacing w:before="96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59.6177</w:t>
            </w:r>
          </w:p>
        </w:tc>
        <w:tc>
          <w:tcPr>
            <w:tcW w:w="701" w:type="dxa"/>
          </w:tcPr>
          <w:p>
            <w:pPr>
              <w:pStyle w:val="TableParagraph"/>
              <w:spacing w:before="96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0.6185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6.48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18.5266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</w:tr>
      <w:tr>
        <w:trPr>
          <w:trHeight w:val="244" w:hRule="atLeast"/>
        </w:trPr>
        <w:tc>
          <w:tcPr>
            <w:tcW w:w="879" w:type="dxa"/>
          </w:tcPr>
          <w:p>
            <w:pPr>
              <w:pStyle w:val="TableParagraph"/>
              <w:spacing w:before="61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61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spacing w:before="61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61"/>
              <w:ind w:right="95"/>
              <w:rPr>
                <w:sz w:val="16"/>
              </w:rPr>
            </w:pPr>
            <w:r>
              <w:rPr>
                <w:sz w:val="16"/>
              </w:rPr>
              <w:t>0.766</w:t>
            </w:r>
          </w:p>
        </w:tc>
        <w:tc>
          <w:tcPr>
            <w:tcW w:w="741" w:type="dxa"/>
          </w:tcPr>
          <w:p>
            <w:pPr>
              <w:pStyle w:val="TableParagraph"/>
              <w:spacing w:before="61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61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spacing w:before="61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61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61"/>
              <w:rPr>
                <w:sz w:val="16"/>
              </w:rPr>
            </w:pPr>
            <w:r>
              <w:rPr>
                <w:sz w:val="16"/>
              </w:rPr>
              <w:t>6.54</w:t>
            </w:r>
          </w:p>
        </w:tc>
        <w:tc>
          <w:tcPr>
            <w:tcW w:w="780" w:type="dxa"/>
          </w:tcPr>
          <w:p>
            <w:pPr>
              <w:pStyle w:val="TableParagraph"/>
              <w:spacing w:before="61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38.3217</w:t>
            </w:r>
          </w:p>
        </w:tc>
        <w:tc>
          <w:tcPr>
            <w:tcW w:w="701" w:type="dxa"/>
          </w:tcPr>
          <w:p>
            <w:pPr>
              <w:pStyle w:val="TableParagraph"/>
              <w:spacing w:before="61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61" w:hRule="atLeast"/>
        </w:trPr>
        <w:tc>
          <w:tcPr>
            <w:tcW w:w="879" w:type="dxa"/>
          </w:tcPr>
          <w:p>
            <w:pPr>
              <w:pStyle w:val="TableParagraph"/>
              <w:spacing w:before="78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78"/>
              <w:ind w:right="96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spacing w:before="78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78"/>
              <w:ind w:right="95"/>
              <w:rPr>
                <w:sz w:val="16"/>
              </w:rPr>
            </w:pPr>
            <w:r>
              <w:rPr>
                <w:sz w:val="16"/>
              </w:rPr>
              <w:t>0.7631</w:t>
            </w:r>
          </w:p>
        </w:tc>
        <w:tc>
          <w:tcPr>
            <w:tcW w:w="741" w:type="dxa"/>
          </w:tcPr>
          <w:p>
            <w:pPr>
              <w:pStyle w:val="TableParagraph"/>
              <w:spacing w:before="78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78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61" w:type="dxa"/>
          </w:tcPr>
          <w:p>
            <w:pPr>
              <w:pStyle w:val="TableParagraph"/>
              <w:spacing w:before="78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78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  <w:tc>
          <w:tcPr>
            <w:tcW w:w="780" w:type="dxa"/>
          </w:tcPr>
          <w:p>
            <w:pPr>
              <w:pStyle w:val="TableParagraph"/>
              <w:spacing w:before="78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36.6346</w:t>
            </w:r>
          </w:p>
        </w:tc>
        <w:tc>
          <w:tcPr>
            <w:tcW w:w="701" w:type="dxa"/>
          </w:tcPr>
          <w:p>
            <w:pPr>
              <w:pStyle w:val="TableParagraph"/>
              <w:spacing w:before="78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80" w:hRule="atLeast"/>
        </w:trPr>
        <w:tc>
          <w:tcPr>
            <w:tcW w:w="879" w:type="dxa"/>
          </w:tcPr>
          <w:p>
            <w:pPr>
              <w:pStyle w:val="TableParagraph"/>
              <w:spacing w:before="97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97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spacing w:before="97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97"/>
              <w:ind w:right="95"/>
              <w:rPr>
                <w:sz w:val="16"/>
              </w:rPr>
            </w:pPr>
            <w:r>
              <w:rPr>
                <w:sz w:val="16"/>
              </w:rPr>
              <w:t>0.4034</w:t>
            </w:r>
          </w:p>
        </w:tc>
        <w:tc>
          <w:tcPr>
            <w:tcW w:w="741" w:type="dxa"/>
          </w:tcPr>
          <w:p>
            <w:pPr>
              <w:pStyle w:val="TableParagraph"/>
              <w:spacing w:before="97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97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61" w:type="dxa"/>
          </w:tcPr>
          <w:p>
            <w:pPr>
              <w:pStyle w:val="TableParagraph"/>
              <w:spacing w:before="97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97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80" w:type="dxa"/>
          </w:tcPr>
          <w:p>
            <w:pPr>
              <w:pStyle w:val="TableParagraph"/>
              <w:spacing w:before="97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43.1897</w:t>
            </w:r>
          </w:p>
        </w:tc>
        <w:tc>
          <w:tcPr>
            <w:tcW w:w="701" w:type="dxa"/>
          </w:tcPr>
          <w:p>
            <w:pPr>
              <w:pStyle w:val="TableParagraph"/>
              <w:spacing w:before="97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0.4034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6.81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41.1865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0.7512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0.0585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49.8701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5.81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65.3311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184" w:hRule="atLeast"/>
        </w:trPr>
        <w:tc>
          <w:tcPr>
            <w:tcW w:w="879" w:type="dxa"/>
          </w:tcPr>
          <w:p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61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5.84</w:t>
            </w:r>
          </w:p>
        </w:tc>
        <w:tc>
          <w:tcPr>
            <w:tcW w:w="780" w:type="dxa"/>
          </w:tcPr>
          <w:p>
            <w:pPr>
              <w:pStyle w:val="TableParagraph"/>
              <w:spacing w:before="1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65.7478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278" w:hRule="atLeast"/>
        </w:trPr>
        <w:tc>
          <w:tcPr>
            <w:tcW w:w="879" w:type="dxa"/>
          </w:tcPr>
          <w:p>
            <w:pPr>
              <w:pStyle w:val="TableParagraph"/>
              <w:spacing w:before="95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95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spacing w:before="95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spacing w:before="95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95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95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61" w:type="dxa"/>
          </w:tcPr>
          <w:p>
            <w:pPr>
              <w:pStyle w:val="TableParagraph"/>
              <w:spacing w:before="95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95"/>
              <w:rPr>
                <w:sz w:val="16"/>
              </w:rPr>
            </w:pPr>
            <w:r>
              <w:rPr>
                <w:sz w:val="16"/>
              </w:rPr>
              <w:t>5.93</w:t>
            </w:r>
          </w:p>
        </w:tc>
        <w:tc>
          <w:tcPr>
            <w:tcW w:w="780" w:type="dxa"/>
          </w:tcPr>
          <w:p>
            <w:pPr>
              <w:pStyle w:val="TableParagraph"/>
              <w:spacing w:before="95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75.7446</w:t>
            </w:r>
          </w:p>
        </w:tc>
        <w:tc>
          <w:tcPr>
            <w:tcW w:w="701" w:type="dxa"/>
          </w:tcPr>
          <w:p>
            <w:pPr>
              <w:pStyle w:val="TableParagraph"/>
              <w:spacing w:before="95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184" w:hRule="atLeast"/>
        </w:trPr>
        <w:tc>
          <w:tcPr>
            <w:tcW w:w="879" w:type="dxa"/>
          </w:tcPr>
          <w:p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61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6.09</w:t>
            </w:r>
          </w:p>
        </w:tc>
        <w:tc>
          <w:tcPr>
            <w:tcW w:w="780" w:type="dxa"/>
          </w:tcPr>
          <w:p>
            <w:pPr>
              <w:pStyle w:val="TableParagraph"/>
              <w:spacing w:before="1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79.5869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184" w:hRule="atLeast"/>
        </w:trPr>
        <w:tc>
          <w:tcPr>
            <w:tcW w:w="879" w:type="dxa"/>
          </w:tcPr>
          <w:p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spacing w:before="1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spacing w:before="1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61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6.23</w:t>
            </w:r>
          </w:p>
        </w:tc>
        <w:tc>
          <w:tcPr>
            <w:tcW w:w="780" w:type="dxa"/>
          </w:tcPr>
          <w:p>
            <w:pPr>
              <w:pStyle w:val="TableParagraph"/>
              <w:spacing w:before="1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67.1303</w:t>
            </w:r>
          </w:p>
        </w:tc>
        <w:tc>
          <w:tcPr>
            <w:tcW w:w="701" w:type="dxa"/>
          </w:tcPr>
          <w:p>
            <w:pPr>
              <w:pStyle w:val="TableParagraph"/>
              <w:spacing w:before="1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  <w:tc>
          <w:tcPr>
            <w:tcW w:w="780" w:type="dxa"/>
          </w:tcPr>
          <w:p>
            <w:pPr>
              <w:pStyle w:val="TableParagraph"/>
              <w:ind w:left="152" w:right="0"/>
              <w:jc w:val="left"/>
              <w:rPr>
                <w:sz w:val="16"/>
              </w:rPr>
            </w:pPr>
            <w:r>
              <w:rPr>
                <w:sz w:val="16"/>
              </w:rPr>
              <w:t>67.9032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0" w:footer="1402" w:top="112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6.26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71.0734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0.0131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59.5312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55.8175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0.4388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62.6087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0.4669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0.128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53.0136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0.4729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0.1295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56.8536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0.4785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0.1246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6.71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57.525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0.4594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0.1285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40.2191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0.6228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0.1278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85.1747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0.5695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0.3465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82.7514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0.5695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77.3589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0.5693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79.9142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81.2626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71.9955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78.4017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73.4423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68.863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63.2078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0.0117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6.53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43.6941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0.0399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40.1617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0.0621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34.3191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0.1031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41.0071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0.0667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0.1184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36.8462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0.0476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37.9281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0.0441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40.4296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0.0442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47.3996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55.3472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0.2101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60.2075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58.6953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0.0225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38.7408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0.0587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0.1325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36.5185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0.0635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33.5879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32.4249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31.1295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0.3336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38.9628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35.3485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0.3259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35.576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41.1263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40.4883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0.3852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7.43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48.5998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0.3852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34.1951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0.3804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35.2854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0.3999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35.3057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0.3999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40.7578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4790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739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0.0052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0.4019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49.3745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0.2947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44.5338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0.2565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37.1464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0.2565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39.2968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0.2565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35.6338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47.5727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0.0051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49.1425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58.6858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61.0582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56.7678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59.9515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0.0011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44.421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6.81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50.0969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0.011252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50.7101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0.011485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54.3022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0.023992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49.8345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0.033485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112.605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99.8566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0.0016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37.2308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42.0406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47.5574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0.064567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50.6201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0.6902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0.064567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49.5077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0.064567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57.8087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0.7055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0.065462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59.0361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0.7055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0.075135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47.2645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0.6994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0.064328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49.2822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0.7139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0.064328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51.0833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0.2893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41.5295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0.2994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42.6203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0.1456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40.8361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6.89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40.1416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0.0667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6.94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39.819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0.0723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46.3629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44.2799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54.7848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0.0236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6.78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56.9788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54.7899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0.5407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65.4355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0.5861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6.95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19.362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0.5861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22.9929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0.5823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31.0531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0.5895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38.8011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0.7455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150.433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4688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6368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0.5917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150.447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0.5916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0.055556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130.071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0.5916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224.111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0.5916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0.170356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87.7306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0.199695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69.5739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0.199695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60.8153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0.0068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1.72462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51.0604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2.566166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56.3592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2.367745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48.4986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11.85445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47.9291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11.83285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39.3381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0.0081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23.97246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6.53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25.2313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0.0062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22.75973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6.69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18.0238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39.99962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86.798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0.423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39.99962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89.6661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0.3198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39.99962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93.5973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0.4724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40.00743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74.1509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0.4724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50.40892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70.5968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0.2675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39.859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79.0717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0.3594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39.37536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90.3289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0.3265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39.53908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69.8861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0.2997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39.53908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74.8898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0.2997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38.34473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63.8903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0.2519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38.54308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60.9739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0.4686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5.88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55.2807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53.5498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0.3269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55.4122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0.018248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61.6807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0.0676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58.216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0.2607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0.018195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6.03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61.104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0.2653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0.018194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52.4753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0.4473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0.018214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56.9128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0.4473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0.018095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65.0983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0.0522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69.0982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0.0372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49.4127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0.0379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0.507975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79.7678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0.038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3.72517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78.9089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0.0382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3.72517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80.5691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3.165863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75.1237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3.483988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76.6686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2.59275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90.4759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87.4138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0.0555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8.25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83.7201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77.5046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4585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5344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0.0974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6.51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72.8926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57.7706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73.5575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74.4771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81.4119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78.1025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81.1528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72.8063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0.1353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63.2196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  <w:tc>
          <w:tcPr>
            <w:tcW w:w="780" w:type="dxa"/>
          </w:tcPr>
          <w:p>
            <w:pPr>
              <w:pStyle w:val="TableParagraph"/>
              <w:ind w:left="293" w:right="76"/>
              <w:jc w:val="center"/>
              <w:rPr>
                <w:sz w:val="16"/>
              </w:rPr>
            </w:pPr>
            <w:r>
              <w:rPr>
                <w:sz w:val="16"/>
              </w:rPr>
              <w:t>66.03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79.1714</w:t>
            </w:r>
          </w:p>
        </w:tc>
        <w:tc>
          <w:tcPr>
            <w:tcW w:w="701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0.0197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71.373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0.0197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43.00935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22.0135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43.03082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21.8533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43.03082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29.0016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0.2373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43.03082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31.8009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0.2373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43.54087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32.0318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0.3656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32.88517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32.5749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0.3658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40.60214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7.68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14.0032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37.00223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9.71015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37.00223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11.3199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0.4384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0.839028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56.4781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0.3906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0.564575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53.9986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0.3906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0.564575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80" w:type="dxa"/>
          </w:tcPr>
          <w:p>
            <w:pPr>
              <w:pStyle w:val="TableParagraph"/>
              <w:ind w:left="133" w:right="75"/>
              <w:jc w:val="center"/>
              <w:rPr>
                <w:sz w:val="16"/>
              </w:rPr>
            </w:pPr>
            <w:r>
              <w:rPr>
                <w:sz w:val="16"/>
              </w:rPr>
              <w:t>62.2254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0.4505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0.483439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59.8948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0.405504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44.3548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0.405471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45.9274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0.4459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0.405596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47.017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0.4499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0.391859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55.2532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0.391817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48.9478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0.0098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0.397877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49.2632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16.57309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57.5675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47.6356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37.7111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30.6434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41.5754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0.001263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47.2512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28.9482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45.3684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57.4487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6.46E-05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53.0963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47.8146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8.21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41.9664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8.37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39.893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44832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4320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8.45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34.7615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37.6543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44.8471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47.3908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0.020808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8.68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52.4629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0.3938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0.020808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62.9154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0.4061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0.002475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7.94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43.3385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0.3453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0.002475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44.5981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43.5089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0.4033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44.2249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0.5312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0.000837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45.7651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0.4247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0.000833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8.14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34.3515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0.4133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8.09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46.2463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0.4133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0.005194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43.9139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0.1422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0.006247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48.2162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81.9969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78.8669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0.4682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70.5674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0.4132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73.6543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0.4132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73.6254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0.3696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74.8046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0.3395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75.1128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0.3241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0.009231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78.373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0.342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0.045971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6.72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68.959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0.342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0.05146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55.4588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0.05146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68.5811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74.1558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65.8309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66.0978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77.8758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0.0107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7.42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61.0439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80.7391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60.3381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50.1663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62.0161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91.8815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5.86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63.8476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47.2039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5.79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49.247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40.3829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35.9832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28.3629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5.85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13.7041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6.34497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4380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3296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14.27486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5.9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5.06734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4.70553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35.51027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56.3074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29.76893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7.89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60.441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29.76893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62.0654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29.76893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63.4472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29.76893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8.08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57.1568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29.61132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51.5029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35.28598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44.8716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35.44549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33.8054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35.51637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29.0554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35.51637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7.37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28.6841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0.000284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47.768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0.000284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46.9931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0.059753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42.3485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0.059753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45.2648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46.2074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49.0947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0.2296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7.88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40.3535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40.3753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0.4233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0.009477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38.1507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0.3553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0.015536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73.6202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0.00775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86.9532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0.1671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0.063523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78.7518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0.166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0.063523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72.2697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0.04447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75.3966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0.020387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71.8891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0.145322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70.0644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0.135996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64.6389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0.121166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69.3772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0.3295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5.38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62.8854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0.6165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72.8109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67.8823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0.205568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69.8376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0.001831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62.4558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0.000987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69.2138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0.000987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5.68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89.2553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0.000987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68.1591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0.001726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59.5433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0.001846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82.1634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0.0489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0.001851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86.9779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0.0514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63.2349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0.031108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62.3426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0.035046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90.2835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4278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227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0.055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30.33962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77.8377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0.0389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23.43407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84.5291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0.0389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23.43407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77.3729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0.0354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23.43407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77.6683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0.0354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23.43407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72.891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0.0332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23.91529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62.7837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0.0054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23.91529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54.8768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25.08142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47.8646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25.05996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47.7308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25.08547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31.3544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25.08547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7.51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22.338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7.59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35.1879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7.59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39.5354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57.9147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53.7445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980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52.9035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51.0705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49.9312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46.7604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45.4956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43.273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47.2203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0.168856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54.0561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0.169049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53.2749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0.169049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53.0452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0.0131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0.169049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49.2263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0.169268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53.2304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0.168197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45.2849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0.168829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41.0468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0.168313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49.4313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0.128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0.166879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8.25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59.2239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0.1295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0.167442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54.7542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0.1246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0.170769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8.41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56.999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0.1285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0.015406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70.5947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0.1278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69.5891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0.3465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60.4559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65.947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61.9702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63.5774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56.3218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56.3769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57.3234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8.49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49.6353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0.00044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8.66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55.9405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4176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1248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0.006453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8.7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53.7482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0.001892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8.76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78.4835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0.0327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70.0989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0.0221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67.7188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66.5333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0.0399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0.002522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62.6119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0.0621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0.002522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48.0715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0.1031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0.002522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6.67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54.976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0.1184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77.0213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49.2395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6.284407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69.3378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6.284407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69.6508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6.283762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70.6548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6.283762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67.0607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6.273208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59.0568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0.2101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6.314122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6.19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65.152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6.294565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55.8659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6.284193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62.0787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0.1325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7.486258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6.76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64.2842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0.6356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68.961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0.6356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0.063371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47.4141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0.063604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6.72</w:t>
            </w:r>
          </w:p>
        </w:tc>
        <w:tc>
          <w:tcPr>
            <w:tcW w:w="780" w:type="dxa"/>
          </w:tcPr>
          <w:p>
            <w:pPr>
              <w:pStyle w:val="TableParagraph"/>
              <w:ind w:left="133" w:right="75"/>
              <w:jc w:val="center"/>
              <w:rPr>
                <w:sz w:val="16"/>
              </w:rPr>
            </w:pPr>
            <w:r>
              <w:rPr>
                <w:sz w:val="16"/>
              </w:rPr>
              <w:t>41.0858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0.2795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0.063604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6.76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34.678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0.2558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0.063684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42.8073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0.3336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0.063544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40.2942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0.382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0.06364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39.3416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0.3259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0.063723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41.7946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0.3847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0.063822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17.2507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20.41511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107.777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0.3852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20.44473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98.8533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0.3852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20.27377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96.8146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0.3804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69.1327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58.1944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59.6698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53.756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59.2817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7.53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90.9866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90.9866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7.69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100.85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105.566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99.8676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305.801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0.079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5.624872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5.76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200.617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0.1177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5.624872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60.8716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4073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40224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0.1089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5.624872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5.74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89.7063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5.624872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67.7788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60.7044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53.6767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5.626613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82.7138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5.62563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86.2526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0.0466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5.624533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5.62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75.6264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5.624538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81.8234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30.20674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68.6199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0.064103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74.3777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72.8424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0.6002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7.86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71.7926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0.6002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7.75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67.5951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73.8031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83.3755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70.8457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72.9976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80.3236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0.2722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0.012854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70.7732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0.0815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75.405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0.0713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89.0717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0.0941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90.2321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90.0884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89.8081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90.7444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91.5412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94.3418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94.8611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0.0315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94.9377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0.0346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95.2007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0.0344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6.88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93.6361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72.8268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0.0342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50.4563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0.0483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61.1155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0.0483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44.2834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0.001632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42.2829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0.0035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0.001632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55.0115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63.2188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0.1195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6.78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63.461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0.0926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44.9352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0.0998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34.5035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0.1099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56.8873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0.2035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0.1616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60.1162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71.6535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9712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9200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0.1942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0.1616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57.3522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0.3083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65.5141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0.2322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0.111618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52.8761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0.3065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0.111618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69.4638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0.111618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68.4929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1.16E-05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60.7894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1.16E-05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54.8519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5.00E-08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63.5146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186.701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0.737245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56.6311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0.740306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65.0605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0.740306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6.9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62.2232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0.0108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0.740306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7.07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61.8001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0.67454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62.8776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0.3275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0.67454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61.1831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0.2592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0.572167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55.1764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0.4376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0.556802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57.7025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0.4556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4.643532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56.0323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0.5331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4.570141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51.911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0.5331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4.570141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41.287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0.6381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13.92525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39.5854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0.6498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13.92525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36.5381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0.6498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13.92525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38.0091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0.6429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13.92525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41.326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15.30777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7.46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40.9754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15.30777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33.9357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15.32287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39.3111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15.32287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26.2909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0.005824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7.95</w:t>
            </w:r>
          </w:p>
        </w:tc>
        <w:tc>
          <w:tcPr>
            <w:tcW w:w="780" w:type="dxa"/>
          </w:tcPr>
          <w:p>
            <w:pPr>
              <w:pStyle w:val="TableParagraph"/>
              <w:ind w:left="293" w:right="76"/>
              <w:jc w:val="center"/>
              <w:rPr>
                <w:sz w:val="16"/>
              </w:rPr>
            </w:pPr>
            <w:r>
              <w:rPr>
                <w:sz w:val="16"/>
              </w:rPr>
              <w:t>63.35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65.2236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71.5872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0.00724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72.4753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0.00724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76.5824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0.00724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80.3658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0.006034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83.3261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0.006034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129.56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0.006034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8.06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81.0757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0.006562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85.7541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0.018719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87.8866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106.939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65.2513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47.4711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8.56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26.3861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21.5355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868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8176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0.0098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6.16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25.7867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2.244041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6.01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25.038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2.448726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6.15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26.986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2.566302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24.9618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1.673246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18.5992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1.63643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44.8395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0.0097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62.8407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72.7599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68.6408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65.0487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70.1206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0.117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65.7275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0.1162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73.8808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0.1245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54.8961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0.0837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99.2637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0.0887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83.0985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0.0789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6.51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80.678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18.64442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74.2204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0.069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18.64442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6.59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86.8765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0.0671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18.64442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72.7735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18.64442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66.2547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18.64442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8.5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51.9985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0.0268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18.64442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31.3689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23.82174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8.61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25.839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23.82174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8.71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17.0106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23.86574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8.77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13.3171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0.0182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8.98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61.7066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67.2961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9.02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56.5001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49.7661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6.9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39.7032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38.4671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0.0264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43.6191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0.264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34.0081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0.0528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0.017513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43.1988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0.0529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0.004529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48.5697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0.054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0.000905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42.9663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0.000123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44.7828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49.7227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0.2898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59.1641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0.0943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59.1488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0.3707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0.013639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57.1134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1.42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0.3611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0.012786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50.3193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0.4171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0.07682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47.8428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766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715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0.8432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0.029024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32.419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0.8444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0.067855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30.8494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0.8444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0.085584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29.5806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0.7184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0.0216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65.5194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0.6377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94.3509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0.049074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5.35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97.211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0.2413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0.049074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5.27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96.6709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0.2406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0.049074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5.09</w:t>
            </w:r>
          </w:p>
        </w:tc>
        <w:tc>
          <w:tcPr>
            <w:tcW w:w="780" w:type="dxa"/>
          </w:tcPr>
          <w:p>
            <w:pPr>
              <w:pStyle w:val="TableParagraph"/>
              <w:ind w:left="293" w:right="76"/>
              <w:jc w:val="center"/>
              <w:rPr>
                <w:sz w:val="16"/>
              </w:rPr>
            </w:pPr>
            <w:r>
              <w:rPr>
                <w:sz w:val="16"/>
              </w:rPr>
              <w:t>96.12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0.2415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0.049244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97.5052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0.1324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0.04906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97.3559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0.1288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0.048971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5.4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59.6911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0.1386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0.049211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5.46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48.8791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0.1386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0.048801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5.53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83.3191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1.12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0.1386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0.06087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5.5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110.865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0.6508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0.060151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5.45</w:t>
            </w:r>
          </w:p>
        </w:tc>
        <w:tc>
          <w:tcPr>
            <w:tcW w:w="780" w:type="dxa"/>
          </w:tcPr>
          <w:p>
            <w:pPr>
              <w:pStyle w:val="TableParagraph"/>
              <w:ind w:left="133" w:right="75"/>
              <w:jc w:val="center"/>
              <w:rPr>
                <w:sz w:val="16"/>
              </w:rPr>
            </w:pPr>
            <w:r>
              <w:rPr>
                <w:sz w:val="16"/>
              </w:rPr>
              <w:t>116.238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64.6823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54.5355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0.0195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47.4003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0.0195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0.43847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41.4039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0.0264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0.365389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38.4241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0.0257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0.365389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45.4897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0.0258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6.518567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67.0066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6.261322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76.8608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5.346899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62.8903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6.445856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7.99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50.1872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6.696657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40.5331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69.4299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81.7921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68.1189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66.1145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0.0017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7.86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62.4843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61.5734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70.1396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75.3669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76.1721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0.3908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69.0282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0.3904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70.6549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0.3628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53.353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0.3746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54.8099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0.3694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51.6248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0.3694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50.7589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0.3786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6.54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55.547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0.0532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63.1563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67.0011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664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6128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0.3752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56.1392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56.4716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69.1329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52.3094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75.5068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68.9281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74.0052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59.7415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46.2674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83.4523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83.5609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109.02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6.9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90.0666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88.0856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71.4215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12.4236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99.5096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45.6957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0.5264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55.685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59.4553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62.4396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0.992531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6.76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52.635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0.998895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71.7592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0.998895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6.82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71.7592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0.988883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6.78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68.5373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0.030495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6.76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74.6739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0.3788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0.030495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80.6015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0.3788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0.030495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94.6219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0.3788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0.041412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94.883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0.0631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79.5453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0.0797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0.161831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5.77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77.1315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0.211616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70.7987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0.0825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83.2741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5.83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84.4051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70.8538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5.81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21.8833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0.0625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5.91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30.5848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1.28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5.72</w:t>
            </w:r>
          </w:p>
        </w:tc>
        <w:tc>
          <w:tcPr>
            <w:tcW w:w="780" w:type="dxa"/>
          </w:tcPr>
          <w:p>
            <w:pPr>
              <w:pStyle w:val="TableParagraph"/>
              <w:ind w:left="214" w:right="76"/>
              <w:jc w:val="center"/>
              <w:rPr>
                <w:sz w:val="16"/>
              </w:rPr>
            </w:pPr>
            <w:r>
              <w:rPr>
                <w:sz w:val="16"/>
              </w:rPr>
              <w:t>39.842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25.0429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7.84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24.7365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7.8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17.7877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7.85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18.6401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7.94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32.3221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7.89</w:t>
            </w:r>
          </w:p>
        </w:tc>
        <w:tc>
          <w:tcPr>
            <w:tcW w:w="780" w:type="dxa"/>
          </w:tcPr>
          <w:p>
            <w:pPr>
              <w:pStyle w:val="TableParagraph"/>
              <w:ind w:left="132" w:right="76"/>
              <w:jc w:val="center"/>
              <w:rPr>
                <w:sz w:val="16"/>
              </w:rPr>
            </w:pPr>
            <w:r>
              <w:rPr>
                <w:sz w:val="16"/>
              </w:rPr>
              <w:t>45.4472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561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5104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7.82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45.0278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54.7272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36.32172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32.6597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36.32172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27.5102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36.82086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8.11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22.8344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36.82086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7.62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50.1685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36.32172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34.9008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34.49743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33.396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37.47257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33.396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35.09936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39.7464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1.193012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23.2564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0.0028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1.192946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7.98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25.0971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0.0028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2.587821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7.92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30.5393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2.587821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67.2022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2.584113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66.7673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0.432893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6.96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66.0979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0.7354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0.43277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141.579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1.04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0.7354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168.199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0.4079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151.903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0.2872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7.05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112.43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0.3369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5.165591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104.436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0.1921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31.5102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1.14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0.1908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7.02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60.0863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1.66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0.1908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7.02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63.5853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0.1868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59.4038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0.0915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59.4719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0.1143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67.4536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0.0682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29.50554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55.9068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0.0536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24.17812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0.3226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24.22776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0.3223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8.17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78.3223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0.4514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111.574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0.4489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8.31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92.419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0.4712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100.396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0.0283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103.667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0.467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95.9222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0.3919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5.71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100.032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0.3979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111.892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0.2882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61.3581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0.1972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24.8768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45.8101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0.2009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43.21992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5.82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47.9041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0.2031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5.8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92.2725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0.2056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5.82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37.3282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0.2021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5.75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45.2117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4592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4080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0.0961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5.88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42.8844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0.5031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46.7841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38.9853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0.3684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6.15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81.2129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0.3669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52.3158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0.3687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0.010934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65.4268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0.3681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0.010934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6.22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55.0125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0.3758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58.0156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0.3683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49.8958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0.3683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41.6863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0.3822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38.5101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0.0067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7.98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36.4395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0.007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7.97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35.7688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0.0081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8.01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33.4417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40.2359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0.0078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34.3585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0.0082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35.2135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0.0142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35.0873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0.0142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8.11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32.5031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0.055086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133.105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0.2699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0.055086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100.292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0.055131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82.8093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0.1641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0.056338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7.41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80.0925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0.055401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7.51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77.8023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0.211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0.084052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7.56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76.596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0.056263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63.4144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0.071936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57.2006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0.059917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66.7832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0.059713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61.837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0.06039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45.119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0.124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0.918745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6.15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41.1094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0.1279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0.918745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46.0444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0.0826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0.918745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6.31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44.7998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0.0687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0.91886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43.3302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0.0687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0.914995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42.6622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0.516016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6.45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43.6837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0.0689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0.375368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49.2126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0.658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0.0689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0.375368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0.0689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0.375368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0.0668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0.117978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0.000156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0.000156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0.0019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0.000156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0.000156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356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3056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0.796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0.0025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0.000228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7.94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0.581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0.000172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0.595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0.5504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0.000182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0.5485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0.000178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0.5485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0.591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0.1936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0.000177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0.336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0.164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0.1654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0.374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0.1691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0.285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0.1691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0.272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0.0038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6.45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0.229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0.0033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0.0074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0.512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0.0065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0.234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0.0832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0.321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0.0747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0.421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0.0747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0.395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0.04591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0.0015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0.045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6.26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0.596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0.014945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0.162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1.198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0.3353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0.286466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0.3391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0.32375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1.098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0.3391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6.75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1.076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0.808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0.16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780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6.78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0.765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0.1687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24.05647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0.1795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24.02035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24.39636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0.406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0.0413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24.525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6.35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0.299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0.0373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24.72471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254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203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0.281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0.4528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25.07119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0.287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0.5038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21.04139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1.086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0.4969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21.69081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0.6185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0.748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0.7631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0.583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0.4034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0.4034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0.7512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0.613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0.504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0.533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6.63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0.594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37.17562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37.17562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40.87591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40.38312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37.84772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0.4388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39.42385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7.43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0.521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0.4669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0.83471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0.4729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0.461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0.4594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37.26673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0.6228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0.484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0.5695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7.64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0.249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0.5695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0.287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0.5693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0.724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0.572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0.547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0.353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0.433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0.0102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0.055737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0.0667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0.055865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0.358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0.0476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0.055724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0.0441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0.05268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1.13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0.466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0.0442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0.05559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0.055302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0.092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0.055377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6.12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0.414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0.055619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152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31008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0.422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0.0225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0.002415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0.374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0.0587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0.002415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0.0635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0.740732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1.812594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0.376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0.216683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0.261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0.216093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0.208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0.216887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0.301768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0.313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0.217477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0.313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1.5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6.96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0.315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6.98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0.249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0.0298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0.614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0.615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0.429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0.401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0.317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0.193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0.011252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0.011485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0.257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0.0033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0.023992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7.14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0.033485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0.466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0.064567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0.6902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0.064567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0.288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0.064567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0.277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0.7055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0.065462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0.7055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0.075135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0.218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0.6994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0.064328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0.275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0.7139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0.064328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0.2893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3049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9984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0.2994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0.115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0.1456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0.134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0.0667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0.0723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0.132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0.133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0.0236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2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0.0236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0.141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0.114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0.5407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0.066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0.5861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0.063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0.5861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0.056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0.5823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6.03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0.5895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0.7455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0.5917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0.061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0.5916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0.055556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0.5916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0.041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0.5916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0.170356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0.199695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0.506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0.199695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0.481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1.72462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2.566166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0.348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2.367745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0.0062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11.85445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11.83285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0.0081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23.97246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0.416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22.75973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0.407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39.99962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8.6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0.274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0.423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39.99962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0.287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0.3198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39.99962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8.83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0.203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0.4724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40.00743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8.93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0.261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0.4724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50.40892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0.246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0.2675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39.859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0.504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0.3594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39.37536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0.607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0.3265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39.53908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0.591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0.2997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39.53908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0.2997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38.34473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0.2519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38.54308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1.081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0.4686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0.3269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0.683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0.115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0.018248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8.25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0.659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0.0676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9472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8960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0.2607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0.018195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0.2653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0.018194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0.4473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0.018214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0.4473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0.018095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0.726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0.0522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0.347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0.0372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0.123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0.0379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0.507975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0.108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3.72517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0.136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0.0382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3.72517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3.165863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3.483988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0.334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0.0553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2.59275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7.26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0.0553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7.11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0.209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0.273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0.0974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0.299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0.497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0.653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0.729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0.732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0.742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0.1353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0.0444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6.9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0.723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0.0285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101"/>
              <w:rPr>
                <w:sz w:val="16"/>
              </w:rPr>
            </w:pPr>
            <w:r>
              <w:rPr>
                <w:sz w:val="16"/>
              </w:rPr>
              <w:t>0.581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0.0197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43.00935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43.03082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0.601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0.0204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43.03082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0.2373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43.03082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7.22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0.2373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43.54087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0.698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0.3656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32.88517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40.60214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0.507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37.00223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0.4704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37.00223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0.441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0.4384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0.839028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0.3906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0.564575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0.3906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0.564575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0.483439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0.604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0.405504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0.708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0.405471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0.623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0.4459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0.405596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8.37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0.4499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0.391859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844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7936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0.0161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0.391817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2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8.47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0.397877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0.106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16.57309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0.139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0.198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1.219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0.518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0.001263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7.63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0.609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0.823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0.0056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6.46E-05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8.17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0.756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0.0033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0.0093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0.699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0.819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0.707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6.72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0.020808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0.3938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0.020808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0.4061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0.002475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0.3453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0.002475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0.556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0.4033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0.5312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0.000837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0.4247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0.000833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0.4133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0.082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0.4133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0.005194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0.344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0.1422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0.006247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0.365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0.473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5.85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0.377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0.366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0.4682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0.4132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0.232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0.4132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5.86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0.3696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5.9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0.224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0.3395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7.89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0.218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0.3241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0.009231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7.96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0.172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0.342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0.045971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0.342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0.05146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0.0139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0.05146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0.588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8.14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742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691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0.831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0.749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0.714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0.419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7.88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0.951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0.651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0.772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0.791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7.24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1.317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7.29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0.043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14.28767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0.035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14.27486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35.51027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0.357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29.76893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5.64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29.76893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29.76893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0.306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29.76893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29.61132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0.132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35.28598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5.7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0.093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35.44549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1.01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0.068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35.51637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0.035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35.51637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0.034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0.000284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0.032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0.000284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0.059753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1.08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0.018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0.2293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0.059753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7.52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0.018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0.015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1.499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0.2296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1.864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1.327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0.4233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0.009477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7.59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0.821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0.3553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0.015536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7.59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0.00775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1.072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0.1671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0.063523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0.811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0.063523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1.06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101"/>
              <w:rPr>
                <w:sz w:val="16"/>
              </w:rPr>
            </w:pPr>
            <w:r>
              <w:rPr>
                <w:sz w:val="16"/>
              </w:rPr>
              <w:t>0.931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0.04447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1.01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0.020387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0.948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0.1663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0.145322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2.966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0.1663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0.135996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640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5888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0.852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0.121166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0.977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0.3295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0.6165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0.597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0.205568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0.001831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0.642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0.000987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8.25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0.659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0.000987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0.704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0.000987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0.458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0.001726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0.499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0.001846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0.514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0.0489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0.001851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8.44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0.583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0.0514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8.07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0.0047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0.031108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0.509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0.035046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0.055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30.33962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0.0389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23.43407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0.139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0.0389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23.43407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0.134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0.0354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23.43407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8.7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0.323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0.0354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23.43407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0.352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0.0332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23.91529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0.391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0.0054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23.91529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0.368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0.0127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25.08142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0.331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25.05996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25.08547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0.301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25.08547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0.203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0.168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0.852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0.0711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1.128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0.0585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6.32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1.269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1.078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0.0163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1.298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1.191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0.862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0.168856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6.85</w:t>
            </w:r>
          </w:p>
        </w:tc>
        <w:tc>
          <w:tcPr>
            <w:tcW w:w="701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0.169049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0.137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0.169049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0.0131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0.169049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0.169268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6.92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0.073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0.168197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0.0159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0.168829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5376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4864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0.072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0.168313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5.25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0.066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0.166879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5.35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0.1295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0.167442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0.077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0.1246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0.170769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0.1285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0.015406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0.1278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0.292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0.3465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5.68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0.406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0.352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0.348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0.208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7.61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0.42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101"/>
              <w:rPr>
                <w:sz w:val="16"/>
              </w:rPr>
            </w:pPr>
            <w:r>
              <w:rPr>
                <w:sz w:val="16"/>
              </w:rPr>
              <w:t>0.145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0.0008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7.69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0.234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0.146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0.00044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0.006453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0.001892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0.0327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0.693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0.0221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0.001261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5.77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0.001261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0.0399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0.002522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5.65</w:t>
            </w:r>
          </w:p>
        </w:tc>
        <w:tc>
          <w:tcPr>
            <w:tcW w:w="701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0.524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0.0621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0.002522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0.1031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0.002522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0.484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0.1184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1.07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0.424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7.61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6.284407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0.1506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6.284407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0.328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6.283762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0.476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6.283762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0.257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6.273208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0.212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0.2101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6.314122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7.91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6.294565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6.284193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1.3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0.147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0.1325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7.486258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0.142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0.6356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1.732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0.6356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0.063371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0.671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0.733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0.063604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0.2795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0.063604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0.724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0.2558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0.063684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0.3336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0.063544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0.382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0.06364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0.3259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0.063723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0.744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0.3847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0.063822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7.03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0.822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20.41511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7.06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4352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3840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0.3852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20.44473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0.163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0.3852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20.27377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0.268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0.3804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1.325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0.564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0.303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1.07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0.384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0.308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0.329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0.275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0.213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0.918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0.0003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7.09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0.987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5.624872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0.961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0.1177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5.624872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0.831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0.1089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5.624872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0.893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0.0998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5.624872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6.83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0.959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0.0467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7.07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5.626613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780" w:type="dxa"/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0.318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5.62563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5.624533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0.313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0.0466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5.624538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0.441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30.20674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0.365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0.064103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0.585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0.538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7.78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0.383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7.89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0.638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0.6001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7.95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0.576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0.663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0.2722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0.012854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8.08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0.799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0.0815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8.23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0.17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0.0713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8.17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0.26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0.0941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8.06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0.476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0.425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8.4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0.013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0.014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0.019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0.2832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4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8.56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0.302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0.0315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3328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2816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0.175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0.0346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6.15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0.121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6.01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0.114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0.0344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1.11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0.096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0.0342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0.079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0.0483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0.0483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0.067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0.0034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0.001632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6.66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0.058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0.001632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6.77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0.119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0.096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0.1195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0.0926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</w:tr>
      <w:tr>
        <w:trPr>
          <w:trHeight w:val="297" w:hRule="atLeast"/>
        </w:trPr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8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9"/>
              <w:rPr>
                <w:sz w:val="16"/>
              </w:rPr>
            </w:pPr>
            <w:r>
              <w:rPr>
                <w:sz w:val="16"/>
              </w:rPr>
              <w:t>0.117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sz w:val="16"/>
              </w:rPr>
              <w:t>0.0998</w:t>
            </w:r>
          </w:p>
        </w:tc>
        <w:tc>
          <w:tcPr>
            <w:tcW w:w="7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61" w:lineRule="exact"/>
              <w:rPr>
                <w:sz w:val="16"/>
              </w:rPr>
            </w:pPr>
            <w:r>
              <w:rPr>
                <w:sz w:val="16"/>
              </w:rPr>
              <w:t>6.56</w:t>
            </w:r>
          </w:p>
        </w:tc>
        <w:tc>
          <w:tcPr>
            <w:tcW w:w="7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sz w:val="16"/>
              </w:rPr>
            </w:pPr>
          </w:p>
        </w:tc>
      </w:tr>
      <w:tr>
        <w:trPr>
          <w:trHeight w:val="299" w:hRule="atLeast"/>
        </w:trPr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0.48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0.119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0.1099</w:t>
            </w:r>
          </w:p>
        </w:tc>
        <w:tc>
          <w:tcPr>
            <w:tcW w:w="74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  <w:tc>
          <w:tcPr>
            <w:tcW w:w="78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6.51</w:t>
            </w:r>
          </w:p>
        </w:tc>
        <w:tc>
          <w:tcPr>
            <w:tcW w:w="701" w:type="dxa"/>
            <w:tcBorders>
              <w:top w:val="single" w:sz="6" w:space="0" w:color="000000"/>
            </w:tcBorders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0.169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0.2035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6.59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0.1942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0.1616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6.64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0.3083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0.1116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8.51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0.2322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0.111618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8.61</w:t>
            </w:r>
          </w:p>
        </w:tc>
        <w:tc>
          <w:tcPr>
            <w:tcW w:w="701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0.909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0.3065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0.111618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8.71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0.912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0.111618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8.77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0.0104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1.16E-05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8.95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0.741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1.16E-05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0.95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8.98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0.624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5E-08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0.81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0.652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9.02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0.98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0.589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0.737245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0.32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6.94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0.427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0.740306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0.609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5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0.740306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0.18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0.97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0.0108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7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0.14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0.740306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7.48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0.878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0.645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0.0103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0.67454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7.49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0.523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0.3275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0.67454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0.561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0.2592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0.572167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7.39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0.607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0.4376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0.556802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7.5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0.555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0.4556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4.643532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0.554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0.5331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4.570141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0.38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0.521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0.5331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4.570141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6.3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0.41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0.511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0.6381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13.92525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0.47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0.006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0.6498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13.92525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0.5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6.52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0.041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0.6498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13.92525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0.028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0.6429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13.92525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0.092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15.30777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6.42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2005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0.04</w:t>
            </w:r>
          </w:p>
        </w:tc>
        <w:tc>
          <w:tcPr>
            <w:tcW w:w="97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15.30777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1.68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0.55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0.75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0.521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0.0006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15.32287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1.42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  <w:tr>
        <w:trPr>
          <w:trHeight w:val="301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0.7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0.357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15.32287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6.44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0.0005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0.005824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6.4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1.09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2304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1792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0" w:footer="1402" w:top="1200" w:bottom="1600" w:left="880" w:right="300"/>
        </w:sectPr>
      </w:pPr>
    </w:p>
    <w:tbl>
      <w:tblPr>
        <w:tblW w:w="0" w:type="auto"/>
        <w:jc w:val="left"/>
        <w:tblInd w:w="2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9"/>
        <w:gridCol w:w="742"/>
        <w:gridCol w:w="980"/>
        <w:gridCol w:w="979"/>
        <w:gridCol w:w="741"/>
        <w:gridCol w:w="739"/>
        <w:gridCol w:w="979"/>
        <w:gridCol w:w="919"/>
        <w:gridCol w:w="761"/>
        <w:gridCol w:w="840"/>
        <w:gridCol w:w="780"/>
        <w:gridCol w:w="701"/>
      </w:tblGrid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0.62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0.222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0.0002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6.45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0.84</w:t>
            </w:r>
          </w:p>
        </w:tc>
      </w:tr>
      <w:tr>
        <w:trPr>
          <w:trHeight w:val="300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0.171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0.22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0.31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6.41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0.71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0.68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0.134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0.00724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0.25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6.37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0.83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0.82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9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0.11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0.00724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0.23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0.46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0.168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0.0001</w:t>
            </w:r>
          </w:p>
        </w:tc>
        <w:tc>
          <w:tcPr>
            <w:tcW w:w="741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0.13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0.00724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6.19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0.307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0.15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w w:val="100"/>
                <w:sz w:val="16"/>
              </w:rPr>
              <w:t>6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0.006034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0.74</w:t>
            </w:r>
          </w:p>
        </w:tc>
      </w:tr>
      <w:tr>
        <w:trPr>
          <w:trHeight w:val="302" w:hRule="atLeast"/>
        </w:trPr>
        <w:tc>
          <w:tcPr>
            <w:tcW w:w="8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742" w:type="dxa"/>
          </w:tcPr>
          <w:p>
            <w:pPr>
              <w:pStyle w:val="TableParagraph"/>
              <w:spacing w:before="119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spacing w:before="119"/>
              <w:ind w:right="99"/>
              <w:rPr>
                <w:sz w:val="16"/>
              </w:rPr>
            </w:pPr>
            <w:r>
              <w:rPr>
                <w:sz w:val="16"/>
              </w:rPr>
              <w:t>0.167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41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739" w:type="dxa"/>
          </w:tcPr>
          <w:p>
            <w:pPr>
              <w:pStyle w:val="TableParagraph"/>
              <w:spacing w:before="119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w w:val="100"/>
                <w:sz w:val="16"/>
              </w:rPr>
              <w:t>8</w:t>
            </w:r>
          </w:p>
        </w:tc>
        <w:tc>
          <w:tcPr>
            <w:tcW w:w="919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0.006034</w:t>
            </w:r>
          </w:p>
        </w:tc>
        <w:tc>
          <w:tcPr>
            <w:tcW w:w="76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780" w:type="dxa"/>
          </w:tcPr>
          <w:p>
            <w:pPr>
              <w:pStyle w:val="TableParagraph"/>
              <w:spacing w:before="119"/>
              <w:rPr>
                <w:sz w:val="16"/>
              </w:rPr>
            </w:pPr>
            <w:r>
              <w:rPr>
                <w:sz w:val="16"/>
              </w:rPr>
              <w:t>6.38</w:t>
            </w:r>
          </w:p>
        </w:tc>
        <w:tc>
          <w:tcPr>
            <w:tcW w:w="701" w:type="dxa"/>
          </w:tcPr>
          <w:p>
            <w:pPr>
              <w:pStyle w:val="TableParagraph"/>
              <w:spacing w:before="119"/>
              <w:ind w:right="93"/>
              <w:rPr>
                <w:sz w:val="16"/>
              </w:rPr>
            </w:pPr>
            <w:r>
              <w:rPr>
                <w:sz w:val="16"/>
              </w:rPr>
              <w:t>0.69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0.249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0.006034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0.76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0.67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0.187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0.0021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739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0.006562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0.59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6.36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0.63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0.223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0.0019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0.018719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0.64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6.28</w:t>
            </w:r>
          </w:p>
        </w:tc>
        <w:tc>
          <w:tcPr>
            <w:tcW w:w="701" w:type="dxa"/>
          </w:tcPr>
          <w:p>
            <w:pPr>
              <w:pStyle w:val="TableParagraph"/>
              <w:ind w:right="92"/>
              <w:rPr>
                <w:sz w:val="16"/>
              </w:rPr>
            </w:pPr>
            <w:r>
              <w:rPr>
                <w:sz w:val="16"/>
              </w:rPr>
              <w:t>0.72</w:t>
            </w:r>
          </w:p>
        </w:tc>
      </w:tr>
      <w:tr>
        <w:trPr>
          <w:trHeight w:val="299" w:hRule="atLeast"/>
        </w:trPr>
        <w:tc>
          <w:tcPr>
            <w:tcW w:w="8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742" w:type="dxa"/>
          </w:tcPr>
          <w:p>
            <w:pPr>
              <w:pStyle w:val="TableParagraph"/>
              <w:ind w:right="98"/>
              <w:rPr>
                <w:sz w:val="16"/>
              </w:rPr>
            </w:pPr>
            <w:r>
              <w:rPr>
                <w:sz w:val="16"/>
              </w:rPr>
              <w:t>0.56</w:t>
            </w:r>
          </w:p>
        </w:tc>
        <w:tc>
          <w:tcPr>
            <w:tcW w:w="980" w:type="dxa"/>
          </w:tcPr>
          <w:p>
            <w:pPr>
              <w:pStyle w:val="TableParagraph"/>
              <w:ind w:right="99"/>
              <w:rPr>
                <w:sz w:val="16"/>
              </w:rPr>
            </w:pPr>
            <w:r>
              <w:rPr>
                <w:sz w:val="16"/>
              </w:rPr>
              <w:t>0.431</w:t>
            </w:r>
          </w:p>
        </w:tc>
        <w:tc>
          <w:tcPr>
            <w:tcW w:w="97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sz w:val="16"/>
              </w:rPr>
              <w:t>0.0017</w:t>
            </w:r>
          </w:p>
        </w:tc>
        <w:tc>
          <w:tcPr>
            <w:tcW w:w="741" w:type="dxa"/>
          </w:tcPr>
          <w:p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739" w:type="dxa"/>
          </w:tcPr>
          <w:p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0.08</w:t>
            </w:r>
          </w:p>
        </w:tc>
        <w:tc>
          <w:tcPr>
            <w:tcW w:w="979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919" w:type="dxa"/>
          </w:tcPr>
          <w:p>
            <w:pPr>
              <w:pStyle w:val="TableParagraph"/>
              <w:ind w:right="95"/>
              <w:rPr>
                <w:sz w:val="16"/>
              </w:rPr>
            </w:pPr>
            <w:r>
              <w:rPr>
                <w:w w:val="100"/>
                <w:sz w:val="16"/>
              </w:rPr>
              <w:t>0</w:t>
            </w:r>
          </w:p>
        </w:tc>
        <w:tc>
          <w:tcPr>
            <w:tcW w:w="76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w w:val="100"/>
                <w:sz w:val="16"/>
              </w:rPr>
              <w:t>1</w:t>
            </w:r>
          </w:p>
        </w:tc>
        <w:tc>
          <w:tcPr>
            <w:tcW w:w="840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6.24</w:t>
            </w:r>
          </w:p>
        </w:tc>
        <w:tc>
          <w:tcPr>
            <w:tcW w:w="701" w:type="dxa"/>
          </w:tcPr>
          <w:p>
            <w:pPr>
              <w:pStyle w:val="TableParagraph"/>
              <w:ind w:right="93"/>
              <w:rPr>
                <w:sz w:val="16"/>
              </w:rPr>
            </w:pPr>
            <w:r>
              <w:rPr>
                <w:sz w:val="16"/>
              </w:rPr>
              <w:t>0.53</w:t>
            </w:r>
          </w:p>
        </w:tc>
      </w:tr>
    </w:tbl>
    <w:p>
      <w:pPr>
        <w:rPr>
          <w:sz w:val="2"/>
          <w:szCs w:val="2"/>
        </w:rPr>
      </w:pPr>
      <w:r>
        <w:rPr/>
        <w:pict>
          <v:shape style="position:absolute;margin-left:99.338997pt;margin-top:558.219971pt;width:57.15pt;height:57.2pt;mso-position-horizontal-relative:page;mso-position-vertical-relative:page;z-index:-49121280" coordorigin="1987,11164" coordsize="1143,1144" path="m2066,11164l2009,11204,1987,11249,1990,11259,3030,12301,3049,12308,3054,12306,3061,12305,3119,12253,3127,12233,3129,12228,2085,11172,2071,11165,2066,11164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group style="position:absolute;margin-left:113.07pt;margin-top:200.809982pt;width:390.5pt;height:393.9pt;mso-position-horizontal-relative:page;mso-position-vertical-relative:page;z-index:-49120768" coordorigin="2261,4016" coordsize="7810,7878">
            <v:shape style="position:absolute;left:2261;top:9865;width:2154;height:2029" coordorigin="2261,9865" coordsize="2154,2029" path="m3691,11584l3689,11542,3682,11499,3670,11455,3654,11410,3632,11363,3605,11316,3574,11269,3538,11221,3496,11173,3450,11124,2792,10466,2787,10462,2777,10459,2772,10459,2766,10460,2761,10462,2747,10469,2732,10480,2715,10498,2703,10513,2696,10527,2694,10532,2693,10538,2693,10543,2696,10553,2700,10557,3359,11216,3393,11252,3424,11287,3450,11321,3474,11354,3493,11386,3509,11417,3521,11448,3531,11477,3536,11506,3538,11533,3537,11559,3532,11585,3524,11609,3512,11632,3497,11654,3478,11675,3458,11693,3437,11707,3414,11718,3389,11726,3364,11731,3337,11732,3309,11730,3280,11724,3250,11715,3219,11703,3187,11687,3154,11667,3120,11643,3085,11615,3049,11584,3012,11548,2360,10897,2356,10893,2346,10890,2341,10890,2336,10890,2330,10892,2316,10900,2301,10912,2284,10929,2272,10944,2265,10958,2263,10963,2261,10969,2262,10974,2265,10984,2269,10988,2938,11657,2987,11704,3035,11745,3083,11782,3130,11813,3176,11839,3221,11860,3265,11875,3307,11886,3348,11892,3388,11893,3427,11890,3464,11881,3500,11869,3533,11851,3565,11829,3594,11803,3623,11770,3647,11736,3666,11701,3679,11663,3687,11624,3691,11584xm4415,10808l4408,10754,4394,10698,4374,10641,4347,10583,4315,10523,4276,10462,4257,10436,4257,10786,4256,10824,4250,10861,4236,10896,4216,10930,4189,10961,4158,10988,4125,11009,4091,11023,4056,11030,4019,11032,3981,11029,3942,11020,3901,11005,3860,10986,3818,10963,3775,10935,3731,10902,3686,10866,3640,10827,3594,10784,3547,10739,3505,10696,3466,10653,3430,10609,3395,10565,3363,10521,3337,10478,3315,10436,3296,10394,3282,10352,3273,10312,3269,10273,3269,10235,3275,10198,3288,10163,3308,10130,3335,10099,3366,10072,3398,10052,3432,10038,3468,10031,3505,10029,3544,10033,3583,10041,3623,10055,3665,10074,3707,10097,3750,10124,3794,10156,3838,10191,3883,10230,3928,10271,3974,10315,4016,10359,4055,10403,4093,10447,4128,10491,4159,10535,4187,10578,4210,10621,4228,10663,4243,10705,4253,10746,4257,10786,4257,10436,4231,10400,4180,10336,4124,10273,4061,10208,3997,10146,3934,10089,3872,10039,3859,10029,3812,9995,3753,9957,3696,9926,3641,9901,3587,9882,3535,9870,3485,9865,3436,9867,3388,9874,3343,9888,3300,9909,3259,9937,3219,9972,3183,10013,3155,10056,3133,10102,3119,10149,3113,10200,3113,10252,3119,10305,3132,10360,3152,10417,3178,10476,3210,10535,3249,10596,3293,10658,3343,10720,3399,10783,3459,10846,3525,10909,3589,10967,3651,11017,3712,11062,3771,11101,3829,11133,3884,11158,3938,11177,3990,11190,4040,11195,4089,11194,4137,11187,4183,11174,4227,11152,4268,11124,4308,11088,4344,11047,4355,11032,4373,11004,4394,10958,4407,10910,4414,10860,4415,10808xe" filled="true" fillcolor="#c0c0c0" stroked="false">
              <v:path arrowok="t"/>
              <v:fill opacity="32896f" type="solid"/>
            </v:shape>
            <v:shape style="position:absolute;left:4237;top:9941;width:352;height:351" type="#_x0000_t75" stroked="false">
              <v:imagedata r:id="rId11" o:title=""/>
            </v:shape>
            <v:shape style="position:absolute;left:4030;top:4016;width:6040;height:6248" coordorigin="4031,4016" coordsize="6040,6248" path="m5174,10183l5173,10179,5170,10169,5166,10164,5162,10160,4130,9128,4125,9124,4115,9121,4110,9120,4104,9122,4099,9124,4093,9126,4085,9131,4070,9142,4053,9160,4042,9174,4034,9188,4032,9193,4031,9200,4031,9205,4034,9215,4037,9220,5074,10257,5079,10260,5088,10264,5093,10264,5099,10262,5105,10261,5119,10253,5134,10241,5151,10224,5163,10209,5170,10195,5171,10189,5174,10183xm5450,9902l5448,9897,5446,9892,5443,9888,5053,9498,5132,9419,5161,9386,5165,9381,5186,9353,5204,9319,5218,9283,5226,9247,5230,9212,5230,9173,5226,9135,5216,9096,5203,9056,5186,9016,5164,8976,5138,8935,5109,8894,5078,8858,5078,9167,5076,9190,5072,9212,5065,9234,5053,9255,5038,9277,5019,9298,4936,9381,4506,8951,4592,8866,4604,8855,4617,8843,4631,8833,4646,8823,4663,8815,4681,8808,4700,8804,4722,8802,4745,8803,4770,8808,4797,8816,4826,8828,4856,8845,4887,8866,4919,8892,4951,8922,4974,8946,4995,8971,5013,8995,5030,9020,5045,9046,5056,9071,5065,9095,5072,9119,5076,9143,5078,9167,5078,8858,5075,8854,5037,8814,5025,8802,5006,8785,4976,8758,4945,8735,4915,8713,4885,8695,4855,8680,4825,8668,4796,8657,4767,8649,4738,8644,4709,8642,4682,8642,4655,8644,4631,8649,4609,8656,4589,8664,4571,8673,4555,8683,4540,8692,4527,8700,4516,8709,4504,8719,4493,8730,4482,8741,4333,8890,4327,8897,4323,8906,4322,8917,4322,8929,4325,8942,4332,8956,4343,8971,4358,8987,5351,9980,5355,9984,5360,9985,5365,9987,5370,9987,5375,9985,5381,9984,5395,9977,5402,9971,5410,9965,5419,9956,5428,9947,5435,9939,5440,9932,5444,9924,5447,9919,5448,9912,5450,9907,5450,9902xm6146,9211l6146,9206,6143,9196,6139,9191,5206,8258,5404,8060,5406,8057,5406,8052,5404,8042,5399,8029,5393,8022,5371,7996,5360,7985,5349,7974,5323,7951,5315,7946,5302,7939,5296,7938,5292,7938,5286,7938,5283,7940,4795,8427,4793,8431,4794,8436,4793,8441,4795,8446,4802,8459,4807,8467,4814,8474,4821,8484,4830,8493,4852,8515,4861,8524,4870,8530,4878,8537,4886,8542,4898,8548,4903,8550,4908,8550,4913,8550,4916,8548,5114,8350,6047,9284,6052,9287,6061,9291,6066,9291,6072,9289,6078,9288,6092,9280,6107,9268,6125,9251,6136,9236,6143,9222,6144,9216,6146,9211xm6681,8676l6681,8671,6678,8661,6674,8656,5741,7723,5939,7525,5941,7522,5941,7517,5941,7512,5940,7507,5936,7500,5934,7494,5928,7487,5906,7461,5895,7450,5884,7439,5858,7416,5850,7411,5837,7404,5831,7403,5827,7403,5821,7403,5818,7405,5330,7892,5328,7896,5329,7901,5328,7906,5330,7911,5337,7924,5342,7932,5349,7939,5357,7949,5365,7958,5387,7980,5396,7989,5405,7995,5413,8002,5421,8007,5433,8013,5438,8015,5443,8015,5448,8015,5451,8013,5649,7815,6582,8749,6587,8752,6597,8756,6601,8756,6607,8754,6613,8753,6627,8745,6634,8740,6642,8733,6660,8716,6671,8701,6678,8687,6679,8681,6681,8676xm7391,7831l7385,7777,7371,7721,7351,7664,7324,7606,7292,7546,7253,7485,7234,7459,7234,7809,7233,7847,7227,7884,7213,7919,7193,7953,7166,7984,7135,8011,7102,8032,7068,8046,7033,8053,6996,8055,6958,8052,6919,8043,6878,8028,6837,8009,6795,7986,6752,7958,6708,7926,6663,7889,6617,7850,6571,7807,6524,7762,6482,7719,6443,7676,6406,7632,6371,7588,6340,7545,6314,7501,6291,7459,6273,7417,6259,7376,6250,7335,6245,7296,6246,7258,6252,7221,6265,7186,6285,7153,6312,7122,6343,7095,6375,7075,6409,7061,6445,7054,6482,7052,6521,7056,6560,7064,6600,7078,6641,7097,6684,7120,6727,7147,6771,7179,6815,7214,6860,7253,6905,7294,6951,7338,6993,7382,7032,7426,7069,7470,7104,7514,7136,7558,7163,7601,7186,7644,7205,7686,7220,7728,7229,7769,7234,7809,7234,7459,7208,7423,7157,7360,7100,7296,7038,7231,6974,7169,6911,7113,6849,7062,6835,7052,6789,7018,6730,6980,6673,6949,6618,6924,6564,6905,6512,6893,6461,6888,6413,6890,6365,6897,6320,6911,6277,6932,6235,6960,6196,6995,6160,7036,6131,7079,6110,7125,6096,7173,6090,7223,6090,7275,6096,7329,6109,7384,6129,7440,6155,7499,6187,7558,6226,7619,6270,7681,6320,7743,6375,7806,6436,7869,6502,7933,6566,7990,6628,8041,6689,8085,6748,8124,6806,8156,6861,8181,6915,8200,6967,8213,7017,8218,7066,8217,7114,8210,7160,8197,7204,8176,7245,8147,7285,8112,7321,8071,7331,8055,7350,8027,7371,7981,7384,7933,7391,7883,7391,7831xm8349,6899l8349,6871,8348,6860,8347,6852,8344,6842,8342,6836,8337,6824,8334,6819,8330,6813,8321,6801,8308,6787,8292,6770,8274,6753,8251,6732,8243,6727,8232,6720,8227,6718,8220,6718,8217,6719,8209,6727,8206,6740,8208,6760,8209,6775,8209,6792,8209,6810,8208,6830,8206,6851,8202,6873,8197,6895,8190,6918,8181,6942,8169,6964,8153,6986,8134,7007,8108,7029,8080,7046,8050,7059,8018,7067,7985,7071,7949,7070,7912,7064,7873,7053,7833,7038,7791,7018,7747,6993,7702,6963,7655,6929,7607,6890,7558,6846,7508,6798,7459,6747,7414,6697,7375,6648,7340,6600,7310,6554,7284,6509,7263,6465,7246,6424,7234,6383,7227,6345,7224,6309,7227,6274,7233,6242,7245,6213,7262,6186,7283,6161,7305,6142,7326,6126,7349,6113,7372,6104,7395,6098,7417,6093,7439,6090,7459,6088,7479,6087,7514,6088,7529,6089,7549,6091,7562,6090,7569,6082,7570,6078,7570,6073,7568,6064,7560,6050,7548,6034,7529,6013,7503,5986,7487,5973,7480,5968,7474,5963,7468,5959,7462,5956,7451,5950,7442,5948,7430,5945,7420,5943,7407,5943,7376,5943,7358,5944,7339,5947,7321,5951,7302,5955,7283,5961,7264,5968,7246,5976,7227,5985,7209,5996,7192,6008,7176,6021,7161,6036,7129,6071,7105,6110,7086,6152,7075,6198,7069,6246,7069,6297,7075,6349,7088,6404,7108,6462,7134,6521,7165,6581,7203,6643,7248,6707,7298,6772,7355,6837,7419,6904,7483,6965,7546,7021,7608,7069,7669,7112,7728,7149,7786,7179,7842,7203,7896,7221,7948,7233,7998,7239,8045,7238,8091,7231,8134,7219,8175,7200,8213,7175,8248,7144,8266,7124,8283,7104,8297,7083,8309,7061,8319,7039,8327,7017,8334,6995,8340,6974,8343,6954,8347,6935,8348,6917,8349,6899xm8952,6270l8945,6216,8932,6161,8911,6104,8885,6046,8852,5986,8813,5924,8794,5898,8794,6248,8794,6287,8787,6324,8774,6359,8754,6392,8727,6423,8695,6451,8663,6471,8629,6485,8593,6492,8556,6494,8518,6491,8479,6482,8439,6468,8398,6449,8356,6426,8312,6398,8268,6365,8223,6329,8177,6289,8131,6247,8084,6201,8043,6158,8004,6115,7967,6072,7932,6027,7901,5984,7874,5941,7852,5898,7833,5856,7819,5815,7810,5775,7806,5736,7807,5697,7813,5661,7826,5626,7846,5593,7873,5562,7903,5535,7936,5515,7970,5501,8006,5493,8043,5492,8081,5495,8120,5504,8161,5517,8202,5537,8244,5560,8287,5587,8331,5618,8376,5654,8421,5692,8466,5734,8511,5778,8553,5821,8593,5865,8630,5909,8665,5953,8697,5997,8724,6041,8747,6084,8766,6126,8781,6168,8790,6208,8794,6248,8794,5898,8768,5862,8717,5799,8661,5735,8599,5670,8534,5608,8471,5552,8410,5502,8396,5492,8350,5458,8291,5420,8234,5388,8178,5364,8124,5345,8072,5333,8022,5328,7973,5329,7926,5336,7880,5350,7837,5371,7796,5399,7757,5434,7721,5475,7692,5519,7671,5564,7657,5612,7650,5662,7650,5714,7656,5768,7670,5823,7690,5880,7716,5938,7748,5998,7786,6059,7831,6121,7881,6183,7936,6246,7997,6309,8062,6372,8126,6429,8188,6480,8249,6525,8308,6564,8366,6595,8422,6621,8476,6640,8527,6652,8578,6658,8627,6657,8674,6650,8720,6636,8764,6615,8806,6587,8846,6551,8882,6510,8892,6494,8910,6467,8931,6421,8945,6372,8952,6322,8952,6270xm9374,5978l9373,5973,9371,5968,9367,5963,8977,5573,9056,5494,9086,5462,9090,5456,9110,5428,9129,5394,9142,5358,9151,5323,9155,5287,9155,5248,9150,5210,9141,5171,9128,5131,9111,5091,9089,5051,9063,5010,9033,4970,9002,4933,9002,5242,9001,5265,8997,5287,8989,5309,8978,5331,8963,5352,8944,5373,8861,5456,8431,5027,8517,4941,8528,4930,8542,4919,8556,4908,8571,4898,8587,4890,8605,4884,8625,4880,8646,4878,8670,4878,8695,4883,8722,4892,8751,4904,8781,4920,8812,4941,8843,4967,8876,4997,8899,5022,8919,5046,8938,5071,8955,5096,8969,5121,8981,5146,8990,5171,8997,5195,9001,5218,9002,5242,9002,4933,8999,4929,8961,4889,8949,4878,8931,4860,8900,4834,8870,4810,8840,4789,8809,4771,8779,4756,8750,4743,8720,4733,8691,4725,8662,4720,8634,4717,8606,4717,8580,4720,8555,4724,8533,4731,8513,4739,8496,4749,8479,4758,8465,4767,8452,4775,8441,4785,8429,4795,8418,4805,8406,4816,8258,4965,8252,4973,8248,4982,8246,4992,8247,5004,8250,5017,8257,5031,8268,5046,8282,5063,9275,6055,9280,6059,9285,6061,9290,6062,9294,6063,9300,6061,9306,6059,9312,6056,9320,6052,9335,6041,9353,6022,9360,6014,9365,6007,9369,6000,9371,5994,9373,5988,9374,5983,9374,5978xm10071,5286l10070,5282,10067,5272,10063,5267,9664,4868,9590,4723,9368,4286,9256,4067,9250,4056,9239,4038,9235,4031,9228,4023,9222,4019,9208,4016,9200,4019,9191,4024,9185,4030,9169,4044,9150,4062,9133,4085,9129,4091,9128,4096,9127,4102,9127,4108,9129,4113,9131,4120,9134,4125,9138,4132,9174,4200,9351,4538,9401,4627,9468,4747,9486,4777,9485,4778,9242,4643,9175,4607,8838,4431,8831,4426,8825,4424,8819,4422,8814,4421,8802,4423,8796,4425,8789,4428,8782,4434,8765,4448,8742,4470,8734,4480,8722,4496,8719,4503,8722,4517,8726,4523,8741,4535,8750,4540,8771,4552,8917,4627,9354,4849,9572,4960,9971,5359,9976,5363,9981,5365,9985,5367,9990,5367,9996,5365,10002,5363,10016,5356,10030,5345,10048,5327,10060,5312,10067,5298,10069,5292,10071,5286xe" filled="true" fillcolor="#c0c0c0" stroked="false">
              <v:path arrowok="t"/>
              <v:fill opacity="32896f" type="solid"/>
            </v:shape>
            <w10:wrap type="none"/>
          </v:group>
        </w:pict>
      </w:r>
    </w:p>
    <w:sectPr>
      <w:pgSz w:w="11910" w:h="16840"/>
      <w:pgMar w:header="0" w:footer="1402" w:top="1200" w:bottom="1600" w:left="88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Yu Gothic">
    <w:altName w:val="Yu Gothic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20"/>
      </w:rPr>
    </w:pPr>
    <w:r>
      <w:rPr/>
      <w:pict>
        <v:shape style="position:absolute;margin-left:302.589996pt;margin-top:756.799988pt;width:18.650pt;height:13.05pt;mso-position-horizontal-relative:page;mso-position-vertical-relative:page;z-index:-493250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jc w:val="left"/>
      <w:rPr>
        <w:sz w:val="14"/>
      </w:rPr>
    </w:pPr>
    <w:r>
      <w:rPr/>
      <w:pict>
        <v:shape style="position:absolute;margin-left:300.549988pt;margin-top:756.799988pt;width:22.75pt;height:13.05pt;mso-position-horizontal-relative:page;mso-position-vertical-relative:page;z-index:-4932454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3">
    <w:multiLevelType w:val="hybridMultilevel"/>
    <w:lvl w:ilvl="0">
      <w:start w:val="1"/>
      <w:numFmt w:val="lowerRoman"/>
      <w:lvlText w:val="%1."/>
      <w:lvlJc w:val="left"/>
      <w:pPr>
        <w:ind w:left="1249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8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28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6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530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81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2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2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3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567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1422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22" w:hanging="60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422" w:hanging="6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600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5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4"/>
      <w:numFmt w:val="decimal"/>
      <w:lvlText w:val="%1"/>
      <w:lvlJc w:val="left"/>
      <w:pPr>
        <w:ind w:left="1422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22" w:hanging="6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422" w:hanging="60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60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571" w:hanging="233"/>
        <w:jc w:val="left"/>
      </w:pPr>
      <w:rPr>
        <w:rFonts w:hint="default" w:ascii="Times New Roman" w:hAnsi="Times New Roman" w:eastAsia="Times New Roman" w:cs="Times New Roman"/>
        <w:w w:val="99"/>
        <w:sz w:val="14"/>
        <w:szCs w:val="1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40" w:hanging="23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54" w:hanging="23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369" w:hanging="23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83" w:hanging="23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8" w:hanging="23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13" w:hanging="23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27" w:hanging="23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42" w:hanging="233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"/>
      <w:lvlJc w:val="left"/>
      <w:pPr>
        <w:ind w:left="305" w:hanging="173"/>
      </w:pPr>
      <w:rPr>
        <w:rFonts w:hint="default" w:ascii="Symbol" w:hAnsi="Symbol" w:eastAsia="Symbol" w:cs="Symbol"/>
        <w:w w:val="100"/>
        <w:position w:val="2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7" w:hanging="17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54" w:hanging="17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631" w:hanging="17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08" w:hanging="17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185" w:hanging="17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962" w:hanging="17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739" w:hanging="17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516" w:hanging="173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3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1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"/>
      <w:lvlJc w:val="left"/>
      <w:pPr>
        <w:ind w:left="1182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2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362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62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42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72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602" w:hanging="7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02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8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."/>
      <w:lvlJc w:val="left"/>
      <w:pPr>
        <w:ind w:left="1602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5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1" w:hanging="78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1782" w:hanging="9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82" w:hanging="9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2" w:hanging="96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1782" w:hanging="960"/>
        <w:jc w:val="left"/>
      </w:pPr>
      <w:rPr>
        <w:rFonts w:hint="default"/>
        <w:lang w:val="en-US" w:eastAsia="en-US" w:bidi="ar-SA"/>
      </w:rPr>
    </w:lvl>
    <w:lvl w:ilvl="4">
      <w:start w:val="2"/>
      <w:numFmt w:val="decimal"/>
      <w:lvlText w:val="%1.%2.%3.%4.%5."/>
      <w:lvlJc w:val="left"/>
      <w:pPr>
        <w:ind w:left="1782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7" w:hanging="9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02" w:hanging="78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782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36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14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2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0" w:hanging="90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249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88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28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1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88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56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5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2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10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9" w:hanging="425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5"/>
      <w:numFmt w:val="decimal"/>
      <w:lvlText w:val="%1"/>
      <w:lvlJc w:val="left"/>
      <w:pPr>
        <w:ind w:left="1422" w:hanging="60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22" w:hanging="60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."/>
      <w:lvlJc w:val="left"/>
      <w:pPr>
        <w:ind w:left="1422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60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5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1422" w:hanging="60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22" w:hanging="6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422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1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42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34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5" w:hanging="60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03" w:hanging="4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4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2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89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36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84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1" w:hanging="48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11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1182" w:hanging="36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1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2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22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63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1362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362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4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84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602" w:hanging="7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602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02" w:hanging="78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."/>
      <w:lvlJc w:val="left"/>
      <w:pPr>
        <w:ind w:left="160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0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6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5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88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01" w:hanging="78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782" w:hanging="9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782" w:hanging="96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782" w:hanging="960"/>
        <w:jc w:val="left"/>
      </w:pPr>
      <w:rPr>
        <w:rFonts w:hint="default"/>
        <w:lang w:val="en-US" w:eastAsia="en-US" w:bidi="ar-SA"/>
      </w:rPr>
    </w:lvl>
    <w:lvl w:ilvl="3">
      <w:start w:val="5"/>
      <w:numFmt w:val="decimal"/>
      <w:lvlText w:val="%1.%2.%3.%4"/>
      <w:lvlJc w:val="left"/>
      <w:pPr>
        <w:ind w:left="1782" w:hanging="960"/>
        <w:jc w:val="left"/>
      </w:pPr>
      <w:rPr>
        <w:rFonts w:hint="default"/>
        <w:lang w:val="en-US" w:eastAsia="en-US" w:bidi="ar-SA"/>
      </w:rPr>
    </w:lvl>
    <w:lvl w:ilvl="4">
      <w:start w:val="2"/>
      <w:numFmt w:val="decimal"/>
      <w:lvlText w:val="%1.%2.%3.%4.%5."/>
      <w:lvlJc w:val="left"/>
      <w:pPr>
        <w:ind w:left="1782" w:hanging="9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9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47" w:hanging="9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2" w:hanging="9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7" w:hanging="9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2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1602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1.%2.%3.%4.%5"/>
      <w:lvlJc w:val="left"/>
      <w:pPr>
        <w:ind w:left="1722" w:hanging="9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293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79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66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53" w:hanging="9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242" w:hanging="4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242" w:hanging="4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37" w:hanging="4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5" w:hanging="4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34" w:hanging="4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4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31" w:hanging="4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0" w:hanging="4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9" w:hanging="4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82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4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6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7" w:hanging="360"/>
      </w:pPr>
      <w:rPr>
        <w:rFonts w:hint="default"/>
        <w:lang w:val="en-US" w:eastAsia="en-US" w:bidi="ar-SA"/>
      </w:rPr>
    </w:lvl>
  </w:abstract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42"/>
      <w:ind w:left="82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240"/>
      <w:ind w:left="1242" w:hanging="4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822"/>
      <w:jc w:val="both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7"/>
      <w:ind w:left="1242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240"/>
      <w:ind w:left="1242" w:hanging="4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7" w:line="163" w:lineRule="exact"/>
      <w:ind w:right="94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footer" Target="footer2.xml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://www.ssrn.com/" TargetMode="External"/><Relationship Id="rId18" Type="http://schemas.openxmlformats.org/officeDocument/2006/relationships/hyperlink" Target="https://ssrn.com/abstract%3D1343600" TargetMode="External"/><Relationship Id="rId19" Type="http://schemas.openxmlformats.org/officeDocument/2006/relationships/hyperlink" Target="http://www.sml.hw.ac.uk/" TargetMode="External"/><Relationship Id="rId20" Type="http://schemas.openxmlformats.org/officeDocument/2006/relationships/hyperlink" Target="http://ssrn.com/" TargetMode="External"/><Relationship Id="rId21" Type="http://schemas.openxmlformats.org/officeDocument/2006/relationships/hyperlink" Target="http://www.icaew.com/" TargetMode="External"/><Relationship Id="rId22" Type="http://schemas.openxmlformats.org/officeDocument/2006/relationships/hyperlink" Target="https://ssrn.com/abstract%3D2915106" TargetMode="External"/><Relationship Id="rId23" Type="http://schemas.openxmlformats.org/officeDocument/2006/relationships/hyperlink" Target="http://ssrn.com/abstract%3D1697536" TargetMode="External"/><Relationship Id="rId24" Type="http://schemas.openxmlformats.org/officeDocument/2006/relationships/hyperlink" Target="http://hdl.handle.net/10419/157955" TargetMode="External"/><Relationship Id="rId25" Type="http://schemas.openxmlformats.org/officeDocument/2006/relationships/hyperlink" Target="http://www.fasb.org/" TargetMode="External"/><Relationship Id="rId26" Type="http://schemas.openxmlformats.org/officeDocument/2006/relationships/image" Target="media/image11.png"/><Relationship Id="rId27" Type="http://schemas.openxmlformats.org/officeDocument/2006/relationships/hyperlink" Target="https://ssrn.com/" TargetMode="External"/><Relationship Id="rId28" Type="http://schemas.openxmlformats.org/officeDocument/2006/relationships/hyperlink" Target="https://www.brookings.edu/experts/carol-graham/" TargetMode="External"/><Relationship Id="rId29" Type="http://schemas.openxmlformats.org/officeDocument/2006/relationships/hyperlink" Target="https://www.brookings.edu/experts/robert-e-litan/" TargetMode="External"/><Relationship Id="rId30" Type="http://schemas.openxmlformats.org/officeDocument/2006/relationships/hyperlink" Target="https://www.brookings.edu/author/sandip-sukhtankar/" TargetMode="External"/><Relationship Id="rId31" Type="http://schemas.openxmlformats.org/officeDocument/2006/relationships/hyperlink" Target="http://www.brookings.edu/" TargetMode="External"/><Relationship Id="rId32" Type="http://schemas.openxmlformats.org/officeDocument/2006/relationships/hyperlink" Target="http://www.ecgi.org/codes/documents/%20hampel" TargetMode="External"/><Relationship Id="rId33" Type="http://schemas.openxmlformats.org/officeDocument/2006/relationships/hyperlink" Target="https://ssrn.com/abstract%3D227626" TargetMode="External"/><Relationship Id="rId34" Type="http://schemas.openxmlformats.org/officeDocument/2006/relationships/hyperlink" Target="http://dx.doi.org/10.2139/ssrn.2843355" TargetMode="External"/><Relationship Id="rId35" Type="http://schemas.openxmlformats.org/officeDocument/2006/relationships/hyperlink" Target="https://doi.org/10.1111/jofi.12282" TargetMode="External"/><Relationship Id="rId36" Type="http://schemas.openxmlformats.org/officeDocument/2006/relationships/hyperlink" Target="http://doi.org/%2010.1016/j.jbankfin.2013.0%203.026" TargetMode="External"/><Relationship Id="rId37" Type="http://schemas.openxmlformats.org/officeDocument/2006/relationships/hyperlink" Target="http://www.sebi.gov.in/" TargetMode="External"/><Relationship Id="rId38" Type="http://schemas.openxmlformats.org/officeDocument/2006/relationships/hyperlink" Target="http://www.oecd.org/" TargetMode="External"/><Relationship Id="rId39" Type="http://schemas.openxmlformats.org/officeDocument/2006/relationships/hyperlink" Target="http://www.expresscomputeronline.com/" TargetMode="External"/><Relationship Id="rId40" Type="http://schemas.openxmlformats.org/officeDocument/2006/relationships/hyperlink" Target="https://www.emerald.com/insight/search?q=Sanjay%20Peters" TargetMode="External"/><Relationship Id="rId41" Type="http://schemas.openxmlformats.org/officeDocument/2006/relationships/hyperlink" Target="https://www.emerald.com/insight/search?q=Mariah%20Miller" TargetMode="External"/><Relationship Id="rId42" Type="http://schemas.openxmlformats.org/officeDocument/2006/relationships/hyperlink" Target="https://www.emerald.com/insight/search?q=Sophia%20Kusyk" TargetMode="External"/><Relationship Id="rId43" Type="http://schemas.openxmlformats.org/officeDocument/2006/relationships/hyperlink" Target="https://www.emerald.com/insight/publication/issn/1472-0701" TargetMode="External"/><Relationship Id="rId44" Type="http://schemas.openxmlformats.org/officeDocument/2006/relationships/hyperlink" Target="https://ssrn.com/abstract%3D8627" TargetMode="External"/><Relationship Id="rId45" Type="http://schemas.openxmlformats.org/officeDocument/2006/relationships/hyperlink" Target="http://www/" TargetMode="External"/><Relationship Id="rId46" Type="http://schemas.openxmlformats.org/officeDocument/2006/relationships/hyperlink" Target="https://unctad.org/en/Docs/diaeed20102_en.pdf" TargetMode="External"/><Relationship Id="rId47" Type="http://schemas.openxmlformats.org/officeDocument/2006/relationships/hyperlink" Target="http://libproject.hkbu.edu.hk/" TargetMode="External"/><Relationship Id="rId48" Type="http://schemas.openxmlformats.org/officeDocument/2006/relationships/hyperlink" Target="http://eprints.nottingham.ac.uk/28838/" TargetMode="External"/><Relationship Id="rId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15</dc:creator>
  <dcterms:created xsi:type="dcterms:W3CDTF">2023-11-04T16:33:45Z</dcterms:created>
  <dcterms:modified xsi:type="dcterms:W3CDTF">2023-11-04T16:33:45Z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2022-01-14T00:00:00Z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2023-11-04T00:00:00Z</vt:filetime>
  </property>
</Properties>
</file>