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360" w:lineRule="auto" w:before="79"/>
        <w:ind w:left="108" w:right="108" w:firstLine="0"/>
        <w:jc w:val="center"/>
      </w:pPr>
      <w:r>
        <w:rPr/>
        <w:t>COMPOSITIONAL CHARACTERIZATION AND INDUSTRIAL APPLICATION OF</w:t>
      </w:r>
      <w:r>
        <w:rPr>
          <w:spacing w:val="-57"/>
        </w:rPr>
        <w:t> </w:t>
      </w:r>
      <w:r>
        <w:rPr/>
        <w:t>KUTIGI</w:t>
      </w:r>
      <w:r>
        <w:rPr>
          <w:spacing w:val="1"/>
        </w:rPr>
        <w:t> </w:t>
      </w:r>
      <w:r>
        <w:rPr/>
        <w:t>CLAY OCCURRENCE, CENTRAL</w:t>
      </w:r>
      <w:r>
        <w:rPr>
          <w:spacing w:val="1"/>
        </w:rPr>
        <w:t> </w:t>
      </w:r>
      <w:r>
        <w:rPr/>
        <w:t>BIDA</w:t>
      </w:r>
      <w:r>
        <w:rPr>
          <w:spacing w:val="-2"/>
        </w:rPr>
        <w:t> </w:t>
      </w:r>
      <w:r>
        <w:rPr/>
        <w:t>BASIN,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spacing w:before="0"/>
        <w:ind w:left="108" w:right="10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Heading1"/>
        <w:spacing w:before="0"/>
        <w:ind w:left="3029" w:right="3028" w:firstLine="0"/>
        <w:jc w:val="center"/>
      </w:pPr>
      <w:r>
        <w:rPr/>
        <w:t>OGBEUN, Oluwabunmi Sarah</w:t>
      </w:r>
      <w:r>
        <w:rPr>
          <w:spacing w:val="-58"/>
        </w:rPr>
        <w:t> </w:t>
      </w:r>
      <w:r>
        <w:rPr/>
        <w:t>MTech/SPS/2017/6950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3"/>
        </w:rPr>
      </w:pPr>
    </w:p>
    <w:p>
      <w:pPr>
        <w:spacing w:before="0"/>
        <w:ind w:left="2163" w:right="2159" w:firstLine="756"/>
        <w:jc w:val="left"/>
        <w:rPr>
          <w:b/>
          <w:sz w:val="24"/>
        </w:rPr>
      </w:pPr>
      <w:r>
        <w:rPr>
          <w:b/>
          <w:sz w:val="24"/>
        </w:rPr>
        <w:t>DEPARTMENT OF GEOLOGY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TECHNOLOGY</w:t>
      </w:r>
    </w:p>
    <w:p>
      <w:pPr>
        <w:pStyle w:val="Heading1"/>
        <w:spacing w:before="0"/>
        <w:ind w:left="4201" w:firstLine="0"/>
        <w:jc w:val="left"/>
      </w:pPr>
      <w:r>
        <w:rPr/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spacing w:before="0"/>
        <w:ind w:left="108" w:right="108" w:firstLine="0"/>
        <w:jc w:val="center"/>
        <w:rPr>
          <w:b/>
          <w:sz w:val="24"/>
        </w:rPr>
      </w:pPr>
      <w:r>
        <w:rPr>
          <w:b/>
          <w:sz w:val="24"/>
        </w:rPr>
        <w:t>SEPTEMBER,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15" w:top="1360" w:bottom="1200" w:left="1500" w:right="1500"/>
          <w:pgNumType w:start="1"/>
        </w:sectPr>
      </w:pPr>
    </w:p>
    <w:p>
      <w:pPr>
        <w:pStyle w:val="Heading1"/>
        <w:spacing w:line="362" w:lineRule="auto" w:before="73"/>
        <w:ind w:left="327" w:right="275" w:firstLine="0"/>
        <w:jc w:val="center"/>
      </w:pPr>
      <w:r>
        <w:rPr/>
        <w:t>COMPOSITIONAL CHARACTERIZATION AND INDUSTRIAL APPLICATION OF</w:t>
      </w:r>
      <w:r>
        <w:rPr>
          <w:spacing w:val="-57"/>
        </w:rPr>
        <w:t> </w:t>
      </w:r>
      <w:r>
        <w:rPr/>
        <w:t>KUTIGI</w:t>
      </w:r>
      <w:r>
        <w:rPr>
          <w:spacing w:val="1"/>
        </w:rPr>
        <w:t> </w:t>
      </w:r>
      <w:r>
        <w:rPr/>
        <w:t>CLAY</w:t>
      </w:r>
      <w:r>
        <w:rPr>
          <w:spacing w:val="-1"/>
        </w:rPr>
        <w:t> </w:t>
      </w:r>
      <w:r>
        <w:rPr/>
        <w:t>OCCURRENCE, CENTRAL BIDA BASIN,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0"/>
        <w:ind w:left="327" w:right="27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pStyle w:val="Heading1"/>
        <w:spacing w:before="0"/>
        <w:ind w:left="2277" w:right="2224" w:firstLine="0"/>
        <w:jc w:val="center"/>
      </w:pPr>
      <w:r>
        <w:rPr/>
        <w:t>OGBEUN, Oluwabunmi Sarah</w:t>
      </w:r>
      <w:r>
        <w:rPr>
          <w:spacing w:val="-57"/>
        </w:rPr>
        <w:t> </w:t>
      </w:r>
      <w:r>
        <w:rPr/>
        <w:t>MTech/SPS/2017/6950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360" w:lineRule="auto" w:before="233"/>
        <w:ind w:left="356" w:right="300" w:hanging="1"/>
        <w:jc w:val="center"/>
        <w:rPr>
          <w:b/>
          <w:sz w:val="24"/>
        </w:rPr>
      </w:pPr>
      <w:r>
        <w:rPr>
          <w:b/>
          <w:sz w:val="24"/>
        </w:rPr>
        <w:t>A THESIS SUBMITTED TO THE POSTGRADUATE SCHOOL FEDERAL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 OF TECHNOLOGY, MINNA, NIGERIA IN PARTIAL FULFILMENT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THE REQUIREMENTS FOR THE AWARD OF THE DEGREE OF MASTER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GEOLOGY (MINERAL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EXPLORATION).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2"/>
        <w:ind w:left="326" w:right="275" w:firstLine="0"/>
        <w:jc w:val="center"/>
      </w:pPr>
      <w:r>
        <w:rPr/>
        <w:t>SEPTEMBER,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6"/>
          <w:pgSz w:w="11910" w:h="16840"/>
          <w:pgMar w:footer="294" w:header="0" w:top="1040" w:bottom="480" w:left="1540" w:right="740"/>
          <w:pgNumType w:start="2"/>
        </w:sectPr>
      </w:pPr>
    </w:p>
    <w:p>
      <w:pPr>
        <w:spacing w:before="73"/>
        <w:ind w:left="325" w:right="275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133"/>
        <w:ind w:left="162" w:right="103"/>
        <w:jc w:val="both"/>
      </w:pPr>
      <w:r>
        <w:rPr/>
        <w:t>This study investigated the physical, mineralogical and geochemical properties of Kutigi clay</w:t>
      </w:r>
      <w:r>
        <w:rPr>
          <w:spacing w:val="1"/>
        </w:rPr>
        <w:t> </w:t>
      </w:r>
      <w:r>
        <w:rPr/>
        <w:t>deposit in the central Bida Basin of Nigeria. The previous studies on the clay deposit have</w:t>
      </w:r>
      <w:r>
        <w:rPr>
          <w:spacing w:val="1"/>
        </w:rPr>
        <w:t> </w:t>
      </w:r>
      <w:r>
        <w:rPr/>
        <w:t>focused solely on estimating its reserves and on the mineralogical and geochemical properties.</w:t>
      </w:r>
      <w:r>
        <w:rPr>
          <w:spacing w:val="1"/>
        </w:rPr>
        <w:t> </w:t>
      </w:r>
      <w:r>
        <w:rPr/>
        <w:t>Attention was not given to identifying its potential industrial usage with respect to its physical</w:t>
      </w:r>
      <w:r>
        <w:rPr>
          <w:spacing w:val="1"/>
        </w:rPr>
        <w:t> </w:t>
      </w:r>
      <w:r>
        <w:rPr/>
        <w:t>properties. The result from field study shows the stratigraphy position of the clay deposit to be a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Enagi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lenticular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sandstones, siltstones and ironstones. Results of physical test analysis indicate a liquid limit,</w:t>
      </w:r>
      <w:r>
        <w:rPr>
          <w:spacing w:val="1"/>
        </w:rPr>
        <w:t> </w:t>
      </w:r>
      <w:r>
        <w:rPr/>
        <w:t>plastic</w:t>
      </w:r>
      <w:r>
        <w:rPr>
          <w:spacing w:val="27"/>
        </w:rPr>
        <w:t> </w:t>
      </w:r>
      <w:r>
        <w:rPr/>
        <w:t>limit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plasticity</w:t>
      </w:r>
      <w:r>
        <w:rPr>
          <w:spacing w:val="21"/>
        </w:rPr>
        <w:t> </w:t>
      </w:r>
      <w:r>
        <w:rPr/>
        <w:t>index</w:t>
      </w:r>
      <w:r>
        <w:rPr>
          <w:spacing w:val="29"/>
        </w:rPr>
        <w:t> </w:t>
      </w:r>
      <w:r>
        <w:rPr/>
        <w:t>values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clays</w:t>
      </w:r>
      <w:r>
        <w:rPr>
          <w:spacing w:val="27"/>
        </w:rPr>
        <w:t> </w:t>
      </w:r>
      <w:r>
        <w:rPr/>
        <w:t>range</w:t>
      </w:r>
      <w:r>
        <w:rPr>
          <w:spacing w:val="27"/>
        </w:rPr>
        <w:t> </w:t>
      </w:r>
      <w:r>
        <w:rPr/>
        <w:t>from</w:t>
      </w:r>
      <w:r>
        <w:rPr>
          <w:spacing w:val="28"/>
        </w:rPr>
        <w:t> </w:t>
      </w:r>
      <w:r>
        <w:rPr/>
        <w:t>16.20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32.25</w:t>
      </w:r>
      <w:r>
        <w:rPr>
          <w:spacing w:val="25"/>
        </w:rPr>
        <w:t> </w:t>
      </w:r>
      <w:r>
        <w:rPr/>
        <w:t>%,</w:t>
      </w:r>
      <w:r>
        <w:rPr>
          <w:spacing w:val="28"/>
        </w:rPr>
        <w:t> </w:t>
      </w:r>
      <w:r>
        <w:rPr/>
        <w:t>9.00</w:t>
      </w:r>
      <w:r>
        <w:rPr>
          <w:spacing w:val="35"/>
        </w:rPr>
        <w:t> </w:t>
      </w:r>
      <w:r>
        <w:rPr/>
        <w:t>to</w:t>
      </w:r>
    </w:p>
    <w:p>
      <w:pPr>
        <w:pStyle w:val="BodyText"/>
        <w:ind w:left="162" w:right="104"/>
        <w:jc w:val="both"/>
      </w:pPr>
      <w:r>
        <w:rPr/>
        <w:t>27.00 % and 2.28 to 10.56 % respectively. This implies that the clays are generally of low to</w:t>
      </w:r>
      <w:r>
        <w:rPr>
          <w:spacing w:val="1"/>
        </w:rPr>
        <w:t> </w:t>
      </w:r>
      <w:r>
        <w:rPr/>
        <w:t>medium compressibility, low swelling and low to medium plasticity. The low shrinkage values</w:t>
      </w:r>
      <w:r>
        <w:rPr>
          <w:spacing w:val="1"/>
        </w:rPr>
        <w:t> </w:t>
      </w:r>
      <w:r>
        <w:rPr/>
        <w:t>shrinkage values of 3.76 %, 3.99 %, 4.78 %, 5.05 %, 4.28 %, 5.79 %, 6.6%, and 6 % respectively</w:t>
      </w:r>
      <w:r>
        <w:rPr>
          <w:spacing w:val="-57"/>
        </w:rPr>
        <w:t> </w:t>
      </w:r>
      <w:r>
        <w:rPr/>
        <w:t>suggest that the clay is a suitable raw material for the ceramics industries. Mineralogical analysis</w:t>
      </w:r>
      <w:r>
        <w:rPr>
          <w:spacing w:val="-57"/>
        </w:rPr>
        <w:t> </w:t>
      </w:r>
      <w:r>
        <w:rPr/>
        <w:t>reveals kaolinite as the dominant clay mineral and quartz as the dominant non-clay mineral.</w:t>
      </w:r>
      <w:r>
        <w:rPr>
          <w:spacing w:val="1"/>
        </w:rPr>
        <w:t> </w:t>
      </w:r>
      <w:r>
        <w:rPr>
          <w:position w:val="2"/>
        </w:rPr>
        <w:t>Geochemical analysis shows significant amounts of SiO</w:t>
      </w:r>
      <w:r>
        <w:rPr>
          <w:sz w:val="16"/>
        </w:rPr>
        <w:t>2</w:t>
      </w:r>
      <w:r>
        <w:rPr>
          <w:position w:val="2"/>
        </w:rPr>
        <w:t>, (50.02 wt %), and 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 (35.70%),</w:t>
      </w:r>
      <w:r>
        <w:rPr>
          <w:spacing w:val="1"/>
          <w:position w:val="2"/>
        </w:rPr>
        <w:t> </w:t>
      </w:r>
      <w:r>
        <w:rPr>
          <w:position w:val="2"/>
        </w:rPr>
        <w:t>while the other oxides Fe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</w:r>
      <w:r>
        <w:rPr>
          <w:position w:val="2"/>
        </w:rPr>
        <w:t>, Na</w:t>
      </w:r>
      <w:r>
        <w:rPr>
          <w:sz w:val="16"/>
        </w:rPr>
        <w:t>2</w:t>
      </w:r>
      <w:r>
        <w:rPr>
          <w:position w:val="2"/>
        </w:rPr>
        <w:t>O, TiO</w:t>
      </w:r>
      <w:r>
        <w:rPr>
          <w:sz w:val="16"/>
        </w:rPr>
        <w:t>2,</w:t>
      </w:r>
      <w:r>
        <w:rPr>
          <w:spacing w:val="1"/>
          <w:sz w:val="16"/>
        </w:rPr>
        <w:t> </w:t>
      </w:r>
      <w:r>
        <w:rPr>
          <w:position w:val="2"/>
        </w:rPr>
        <w:t>CaO, MgO and P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5</w:t>
      </w:r>
      <w:r>
        <w:rPr>
          <w:spacing w:val="1"/>
          <w:sz w:val="16"/>
        </w:rPr>
        <w:t> </w:t>
      </w:r>
      <w:r>
        <w:rPr>
          <w:position w:val="2"/>
        </w:rPr>
        <w:t>are significantly low.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/>
        <w:t>Kaolinite content of (32.52 wt %) is much lower than the amount (93 - 99 wt %) required for</w:t>
      </w:r>
      <w:r>
        <w:rPr>
          <w:spacing w:val="1"/>
        </w:rPr>
        <w:t> </w:t>
      </w:r>
      <w:r>
        <w:rPr/>
        <w:t>paper coating, thereby making the clay deposit unsuitable for this purpose.</w:t>
      </w:r>
      <w:r>
        <w:rPr>
          <w:spacing w:val="60"/>
        </w:rPr>
        <w:t> </w:t>
      </w:r>
      <w:r>
        <w:rPr/>
        <w:t>The comparison of</w:t>
      </w:r>
      <w:r>
        <w:rPr>
          <w:spacing w:val="1"/>
        </w:rPr>
        <w:t> </w:t>
      </w:r>
      <w:r>
        <w:rPr/>
        <w:t>the mineralogy and chemical composition of the study clay with the specifications of paper,</w:t>
      </w:r>
      <w:r>
        <w:rPr>
          <w:spacing w:val="1"/>
        </w:rPr>
        <w:t> </w:t>
      </w:r>
      <w:r>
        <w:rPr/>
        <w:t>ceramics, pharmaceutical and cosmetics industrial shows that they are not suitable unless with</w:t>
      </w:r>
      <w:r>
        <w:rPr>
          <w:spacing w:val="1"/>
        </w:rPr>
        <w:t> </w:t>
      </w:r>
      <w:r>
        <w:rPr/>
        <w:t>beneficiation.</w:t>
      </w:r>
    </w:p>
    <w:p>
      <w:pPr>
        <w:spacing w:after="0"/>
        <w:jc w:val="both"/>
        <w:sectPr>
          <w:pgSz w:w="11910" w:h="16840"/>
          <w:pgMar w:header="0" w:footer="294" w:top="1040" w:bottom="480" w:left="1540" w:right="740"/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5"/>
        <w:gridCol w:w="4662"/>
        <w:gridCol w:w="1876"/>
      </w:tblGrid>
      <w:tr>
        <w:trPr>
          <w:trHeight w:val="282" w:hRule="atLeast"/>
        </w:trPr>
        <w:tc>
          <w:tcPr>
            <w:tcW w:w="2695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62" w:type="dxa"/>
          </w:tcPr>
          <w:p>
            <w:pPr>
              <w:pStyle w:val="TableParagraph"/>
              <w:spacing w:line="263" w:lineRule="exact"/>
              <w:ind w:left="73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87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96" w:hRule="atLeast"/>
        </w:trPr>
        <w:tc>
          <w:tcPr>
            <w:tcW w:w="2695" w:type="dxa"/>
          </w:tcPr>
          <w:p>
            <w:pPr>
              <w:pStyle w:val="TableParagraph"/>
              <w:spacing w:line="270" w:lineRule="exact" w:before="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Content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0" w:lineRule="exact" w:before="7"/>
              <w:ind w:left="133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295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3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297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297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297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297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297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297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297" w:hRule="atLeast"/>
        </w:trPr>
        <w:tc>
          <w:tcPr>
            <w:tcW w:w="2695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2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298" w:hRule="atLeast"/>
        </w:trPr>
        <w:tc>
          <w:tcPr>
            <w:tcW w:w="2695" w:type="dxa"/>
          </w:tcPr>
          <w:p>
            <w:pPr>
              <w:pStyle w:val="TableParagraph"/>
              <w:spacing w:line="273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line="273" w:lineRule="exact" w:before="5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585" w:hRule="atLeast"/>
        </w:trPr>
        <w:tc>
          <w:tcPr>
            <w:tcW w:w="2695" w:type="dxa"/>
          </w:tcPr>
          <w:p>
            <w:pPr>
              <w:pStyle w:val="TableParagraph"/>
              <w:spacing w:before="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  <w:p>
            <w:pPr>
              <w:pStyle w:val="TableParagraph"/>
              <w:spacing w:line="256" w:lineRule="exact" w:before="26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4662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spacing w:before="7"/>
              <w:ind w:left="1334"/>
              <w:jc w:val="left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0" w:footer="294" w:top="1120" w:bottom="1390" w:left="1540" w:right="7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1" w:after="0"/>
            <w:ind w:left="882" w:right="0" w:hanging="720"/>
            <w:jc w:val="left"/>
            <w:rPr>
              <w:b w:val="0"/>
            </w:rPr>
          </w:pPr>
          <w:hyperlink w:history="true" w:anchor="_TOC_250044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43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42">
            <w:r>
              <w:rPr/>
              <w:t>Formation of</w:t>
            </w:r>
            <w:r>
              <w:rPr>
                <w:spacing w:val="-1"/>
              </w:rPr>
              <w:t> </w:t>
            </w:r>
            <w:r>
              <w:rPr/>
              <w:t>Clay</w:t>
              <w:tab/>
              <w:t>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41">
            <w:r>
              <w:rPr/>
              <w:t>Weathering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40">
            <w:r>
              <w:rPr/>
              <w:t>Distribution of</w:t>
            </w:r>
            <w:r>
              <w:rPr>
                <w:spacing w:val="-1"/>
              </w:rPr>
              <w:t> </w:t>
            </w:r>
            <w:r>
              <w:rPr/>
              <w:t>Clay</w:t>
            </w:r>
            <w:r>
              <w:rPr>
                <w:spacing w:val="-5"/>
              </w:rPr>
              <w:t> </w:t>
            </w:r>
            <w:r>
              <w:rPr/>
              <w:t>in Nigeria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39"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 Clay</w:t>
            </w:r>
            <w:r>
              <w:rPr>
                <w:spacing w:val="-5"/>
              </w:rPr>
              <w:t> </w:t>
            </w:r>
            <w:r>
              <w:rPr/>
              <w:t>Materials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38">
            <w:r>
              <w:rPr/>
              <w:t>Industrial</w:t>
            </w:r>
            <w:r>
              <w:rPr>
                <w:spacing w:val="1"/>
              </w:rPr>
              <w:t> </w:t>
            </w:r>
            <w:r>
              <w:rPr/>
              <w:t>Application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Clay</w:t>
              <w:tab/>
              <w:t>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37">
            <w:r>
              <w:rPr/>
              <w:t>Ceramic</w:t>
            </w:r>
            <w:r>
              <w:rPr>
                <w:spacing w:val="-1"/>
              </w:rPr>
              <w:t> </w:t>
            </w:r>
            <w:r>
              <w:rPr/>
              <w:t>industry</w:t>
              <w:tab/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1" w:val="left" w:leader="none"/>
              <w:tab w:pos="882" w:val="left" w:leader="none"/>
              <w:tab w:pos="892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36">
            <w:r>
              <w:rPr/>
              <w:t>Construction</w:t>
            </w:r>
            <w:r>
              <w:rPr>
                <w:spacing w:val="-1"/>
              </w:rPr>
              <w:t> </w:t>
            </w:r>
            <w:r>
              <w:rPr/>
              <w:t>industry</w:t>
              <w:tab/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4" w:after="0"/>
            <w:ind w:left="882" w:right="0" w:hanging="720"/>
            <w:jc w:val="left"/>
          </w:pPr>
          <w:hyperlink w:history="true" w:anchor="_TOC_250035">
            <w:r>
              <w:rPr/>
              <w:t>Pharmaceutical</w:t>
            </w:r>
            <w:r>
              <w:rPr>
                <w:spacing w:val="-1"/>
              </w:rPr>
              <w:t> </w:t>
            </w:r>
            <w:r>
              <w:rPr/>
              <w:t>industry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34">
            <w:r>
              <w:rPr/>
              <w:t>Paper industry</w:t>
              <w:tab/>
              <w:t>10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33">
            <w:r>
              <w:rPr/>
              <w:t>Textile</w:t>
            </w:r>
            <w:r>
              <w:rPr>
                <w:spacing w:val="-1"/>
              </w:rPr>
              <w:t> </w:t>
            </w:r>
            <w:r>
              <w:rPr/>
              <w:t>and paint industry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32">
            <w:r>
              <w:rPr/>
              <w:t>Specification</w:t>
            </w:r>
            <w:r>
              <w:rPr>
                <w:spacing w:val="-1"/>
              </w:rPr>
              <w:t> </w:t>
            </w:r>
            <w:r>
              <w:rPr/>
              <w:t>for use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3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Research Problem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30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29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28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27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14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26">
            <w:r>
              <w:rPr/>
              <w:t>Location, extent and accessibility</w:t>
              <w:tab/>
              <w:t>14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4" w:after="0"/>
            <w:ind w:left="882" w:right="0" w:hanging="720"/>
            <w:jc w:val="left"/>
          </w:pPr>
          <w:hyperlink w:history="true" w:anchor="_TOC_250025">
            <w:r>
              <w:rPr/>
              <w:t>Relief</w:t>
            </w:r>
            <w:r>
              <w:rPr>
                <w:spacing w:val="-2"/>
              </w:rPr>
              <w:t> </w:t>
            </w:r>
            <w:r>
              <w:rPr/>
              <w:t>and drainage</w:t>
              <w:tab/>
              <w:t>15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r>
            <w:rPr/>
            <w:t>Climate</w:t>
          </w:r>
          <w:r>
            <w:rPr>
              <w:spacing w:val="-2"/>
            </w:rPr>
            <w:t> </w:t>
          </w:r>
          <w:r>
            <w:rPr/>
            <w:t>and vegetation</w:t>
            <w:tab/>
            <w:t>16</w:t>
          </w:r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1" w:after="0"/>
            <w:ind w:left="882" w:right="0" w:hanging="720"/>
            <w:jc w:val="left"/>
          </w:pPr>
          <w:r>
            <w:rPr/>
            <w:t>Settlement</w:t>
          </w:r>
          <w:r>
            <w:rPr>
              <w:spacing w:val="-1"/>
            </w:rPr>
            <w:t> </w:t>
          </w:r>
          <w:r>
            <w:rPr/>
            <w:t>and land use</w:t>
            <w:tab/>
            <w:t>16</w:t>
          </w:r>
        </w:p>
        <w:p>
          <w:pPr>
            <w:pStyle w:val="TOC2"/>
            <w:numPr>
              <w:ilvl w:val="1"/>
              <w:numId w:val="1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24">
            <w:r>
              <w:rPr/>
              <w:t>Regional</w:t>
            </w:r>
            <w:r>
              <w:rPr>
                <w:spacing w:val="-1"/>
              </w:rPr>
              <w:t> </w:t>
            </w:r>
            <w:r>
              <w:rPr/>
              <w:t>Geology</w:t>
            </w:r>
            <w:r>
              <w:rPr>
                <w:spacing w:val="-3"/>
              </w:rPr>
              <w:t> </w:t>
            </w:r>
            <w:r>
              <w:rPr/>
              <w:t>and Structural Setting</w:t>
              <w:tab/>
              <w:t>17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23">
            <w:r>
              <w:rPr/>
              <w:t>Stratigraphy</w:t>
            </w:r>
            <w:r>
              <w:rPr>
                <w:spacing w:val="-4"/>
              </w:rPr>
              <w:t> </w:t>
            </w:r>
            <w:r>
              <w:rPr/>
              <w:t>and sedimentation of bida</w:t>
            </w:r>
            <w:r>
              <w:rPr>
                <w:spacing w:val="-1"/>
              </w:rPr>
              <w:t> </w:t>
            </w:r>
            <w:r>
              <w:rPr/>
              <w:t>basin</w:t>
              <w:tab/>
              <w:t>19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3" w:after="0"/>
            <w:ind w:left="882" w:right="0" w:hanging="720"/>
            <w:jc w:val="left"/>
          </w:pPr>
          <w:r>
            <w:rPr/>
            <w:t>Bida</w:t>
          </w:r>
          <w:r>
            <w:rPr>
              <w:spacing w:val="-1"/>
            </w:rPr>
            <w:t> </w:t>
          </w:r>
          <w:r>
            <w:rPr/>
            <w:t>sandstone</w:t>
          </w:r>
          <w:r>
            <w:rPr>
              <w:spacing w:val="1"/>
            </w:rPr>
            <w:t> </w:t>
          </w:r>
          <w:r>
            <w:rPr/>
            <w:t>formation</w:t>
            <w:tab/>
            <w:t>21</w:t>
          </w:r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1" w:after="0"/>
            <w:ind w:left="882" w:right="0" w:hanging="720"/>
            <w:jc w:val="left"/>
          </w:pPr>
          <w:r>
            <w:rPr/>
            <w:t>Sakpe</w:t>
          </w:r>
          <w:r>
            <w:rPr>
              <w:spacing w:val="-2"/>
            </w:rPr>
            <w:t> </w:t>
          </w:r>
          <w:r>
            <w:rPr/>
            <w:t>ironstone formation</w:t>
            <w:tab/>
            <w:t>21</w:t>
          </w:r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r>
            <w:rPr/>
            <w:t>Enagi</w:t>
          </w:r>
          <w:r>
            <w:rPr>
              <w:spacing w:val="-1"/>
            </w:rPr>
            <w:t> </w:t>
          </w:r>
          <w:r>
            <w:rPr/>
            <w:t>siltstone formation</w:t>
            <w:tab/>
            <w:t>22</w:t>
          </w:r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22">
            <w:r>
              <w:rPr/>
              <w:t>Batati</w:t>
            </w:r>
            <w:r>
              <w:rPr>
                <w:spacing w:val="-1"/>
              </w:rPr>
              <w:t> </w:t>
            </w:r>
            <w:r>
              <w:rPr/>
              <w:t>ironstone</w:t>
              <w:tab/>
              <w:t>22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21">
            <w:r>
              <w:rPr/>
              <w:t>Lokoja formation</w:t>
              <w:tab/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20">
            <w:r>
              <w:rPr/>
              <w:t>Patti</w:t>
            </w:r>
            <w:r>
              <w:rPr>
                <w:spacing w:val="-1"/>
              </w:rPr>
              <w:t> </w:t>
            </w:r>
            <w:r>
              <w:rPr/>
              <w:t>formation</w:t>
              <w:tab/>
              <w:t>26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2" w:val="left" w:leader="none"/>
              <w:tab w:pos="9043" w:val="right" w:leader="none"/>
            </w:tabs>
            <w:spacing w:line="240" w:lineRule="auto" w:before="24" w:after="0"/>
            <w:ind w:left="882" w:right="0" w:hanging="720"/>
            <w:jc w:val="left"/>
          </w:pPr>
          <w:hyperlink w:history="true" w:anchor="_TOC_250019">
            <w:r>
              <w:rPr/>
              <w:t>Agbaja</w:t>
            </w:r>
            <w:r>
              <w:rPr>
                <w:spacing w:val="-1"/>
              </w:rPr>
              <w:t> </w:t>
            </w:r>
            <w:r>
              <w:rPr/>
              <w:t>ironstone</w:t>
              <w:tab/>
              <w:t>26</w:t>
            </w:r>
          </w:hyperlink>
        </w:p>
        <w:p>
          <w:pPr>
            <w:pStyle w:val="TOC1"/>
            <w:spacing w:before="345"/>
            <w:ind w:left="162" w:firstLine="0"/>
          </w:pPr>
          <w:hyperlink w:history="true" w:anchor="_TOC_250018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17" w:after="0"/>
            <w:ind w:left="882" w:right="0" w:hanging="720"/>
            <w:jc w:val="left"/>
            <w:rPr>
              <w:b w:val="0"/>
            </w:rPr>
          </w:pPr>
          <w:hyperlink w:history="true" w:anchor="_TOC_250017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28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1" w:val="left" w:leader="none"/>
              <w:tab w:pos="882" w:val="left" w:leader="none"/>
              <w:tab w:pos="9043" w:val="right" w:leader="none"/>
            </w:tabs>
            <w:spacing w:line="240" w:lineRule="auto" w:before="24" w:after="20"/>
            <w:ind w:left="882" w:right="0" w:hanging="720"/>
            <w:jc w:val="left"/>
          </w:pPr>
          <w:hyperlink w:history="true" w:anchor="_TOC_250016">
            <w:r>
              <w:rPr/>
              <w:t>Previous</w:t>
            </w:r>
            <w:r>
              <w:rPr>
                <w:spacing w:val="-1"/>
              </w:rPr>
              <w:t> </w:t>
            </w:r>
            <w:r>
              <w:rPr/>
              <w:t>works</w:t>
              <w:tab/>
              <w:t>28</w:t>
            </w:r>
          </w:hyperlink>
        </w:p>
        <w:p>
          <w:pPr>
            <w:pStyle w:val="TOC1"/>
            <w:spacing w:before="73"/>
            <w:ind w:left="162" w:firstLine="0"/>
          </w:pPr>
          <w:hyperlink w:history="true" w:anchor="_TOC_25001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17" w:after="0"/>
            <w:ind w:left="882" w:right="0" w:hanging="720"/>
            <w:jc w:val="left"/>
            <w:rPr>
              <w:b w:val="0"/>
            </w:rPr>
          </w:pPr>
          <w:hyperlink w:history="true" w:anchor="_TOC_250014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</w:r>
            <w:r>
              <w:rPr>
                <w:b w:val="0"/>
              </w:rPr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13">
            <w:r>
              <w:rPr/>
              <w:t>Fieldwork and</w:t>
            </w:r>
            <w:r>
              <w:rPr>
                <w:spacing w:val="-2"/>
              </w:rPr>
              <w:t> </w:t>
            </w:r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Collection</w:t>
              <w:tab/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12">
            <w:r>
              <w:rPr/>
              <w:t>Laboratory</w:t>
            </w:r>
            <w:r>
              <w:rPr>
                <w:spacing w:val="-6"/>
              </w:rPr>
              <w:t> </w:t>
            </w:r>
            <w:r>
              <w:rPr/>
              <w:t>Analysis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11">
            <w:r>
              <w:rPr/>
              <w:t>Geotechnical</w:t>
            </w:r>
            <w:r>
              <w:rPr>
                <w:spacing w:val="-2"/>
              </w:rPr>
              <w:t> </w:t>
            </w:r>
            <w:r>
              <w:rPr/>
              <w:t>tests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10">
            <w:r>
              <w:rPr/>
              <w:t>Shrinkage</w:t>
            </w:r>
            <w:r>
              <w:rPr>
                <w:spacing w:val="-2"/>
              </w:rPr>
              <w:t> </w:t>
            </w:r>
            <w:r>
              <w:rPr/>
              <w:t>limit</w:t>
            </w:r>
            <w:r>
              <w:rPr>
                <w:spacing w:val="2"/>
              </w:rPr>
              <w:t> </w:t>
            </w:r>
            <w:r>
              <w:rPr/>
              <w:t>test</w:t>
              <w:tab/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r>
            <w:rPr/>
            <w:t>X-Ray</w:t>
          </w:r>
          <w:r>
            <w:rPr>
              <w:spacing w:val="-7"/>
            </w:rPr>
            <w:t> </w:t>
          </w:r>
          <w:r>
            <w:rPr/>
            <w:t>diffraction</w:t>
          </w:r>
          <w:r>
            <w:rPr>
              <w:spacing w:val="-2"/>
            </w:rPr>
            <w:t> </w:t>
          </w:r>
          <w:r>
            <w:rPr/>
            <w:t>(XRD)</w:t>
          </w:r>
          <w:r>
            <w:rPr>
              <w:spacing w:val="-1"/>
            </w:rPr>
            <w:t> </w:t>
          </w:r>
          <w:r>
            <w:rPr/>
            <w:t>analysis</w:t>
            <w:tab/>
            <w:t>36</w:t>
          </w:r>
        </w:p>
        <w:p>
          <w:pPr>
            <w:pStyle w:val="TOC2"/>
            <w:numPr>
              <w:ilvl w:val="2"/>
              <w:numId w:val="3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1" w:after="0"/>
            <w:ind w:left="882" w:right="0" w:hanging="720"/>
            <w:jc w:val="left"/>
          </w:pPr>
          <w:r>
            <w:rPr/>
            <w:t>X-Ray</w:t>
          </w:r>
          <w:r>
            <w:rPr>
              <w:spacing w:val="-7"/>
            </w:rPr>
            <w:t> </w:t>
          </w:r>
          <w:r>
            <w:rPr/>
            <w:t>fluorescence</w:t>
          </w:r>
          <w:r>
            <w:rPr>
              <w:spacing w:val="-2"/>
            </w:rPr>
            <w:t> </w:t>
          </w:r>
          <w:r>
            <w:rPr/>
            <w:t>(XRF)</w:t>
          </w:r>
          <w:r>
            <w:rPr>
              <w:spacing w:val="-1"/>
            </w:rPr>
            <w:t> </w:t>
          </w:r>
          <w:r>
            <w:rPr/>
            <w:t>analysis</w:t>
            <w:tab/>
            <w:t>36</w:t>
          </w:r>
        </w:p>
        <w:p>
          <w:pPr>
            <w:pStyle w:val="TOC1"/>
            <w:spacing w:before="27"/>
            <w:ind w:left="162" w:firstLine="0"/>
          </w:pPr>
          <w:hyperlink w:history="true" w:anchor="_TOC_250009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16" w:after="0"/>
            <w:ind w:left="882" w:right="0" w:hanging="720"/>
            <w:jc w:val="left"/>
            <w:rPr>
              <w:b w:val="0"/>
            </w:rPr>
          </w:pPr>
          <w:r>
            <w:rPr/>
            <w:t>RESULT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</w:t>
            <w:tab/>
          </w:r>
          <w:r>
            <w:rPr>
              <w:b w:val="0"/>
            </w:rPr>
            <w:t>38</w:t>
          </w:r>
        </w:p>
        <w:p>
          <w:pPr>
            <w:pStyle w:val="TOC2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4" w:after="0"/>
            <w:ind w:left="882" w:right="0" w:hanging="720"/>
            <w:jc w:val="left"/>
          </w:pPr>
          <w:hyperlink w:history="true" w:anchor="_TOC_250008">
            <w:r>
              <w:rPr/>
              <w:t>Field</w:t>
            </w:r>
            <w:r>
              <w:rPr>
                <w:spacing w:val="-1"/>
              </w:rPr>
              <w:t> </w:t>
            </w:r>
            <w:r>
              <w:rPr/>
              <w:t>Relationship</w:t>
              <w:tab/>
              <w:t>38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07">
            <w:r>
              <w:rPr/>
              <w:t>Laboratory</w:t>
            </w:r>
            <w:r>
              <w:rPr>
                <w:spacing w:val="-6"/>
              </w:rPr>
              <w:t> </w:t>
            </w:r>
            <w:r>
              <w:rPr/>
              <w:t>Result</w:t>
              <w:tab/>
              <w:t>44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06">
            <w:r>
              <w:rPr/>
              <w:t>Atterberg’s</w:t>
            </w:r>
            <w:r>
              <w:rPr>
                <w:spacing w:val="-2"/>
              </w:rPr>
              <w:t> </w:t>
            </w:r>
            <w:r>
              <w:rPr/>
              <w:t>limit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shrinkage</w:t>
            </w:r>
            <w:r>
              <w:rPr>
                <w:spacing w:val="-2"/>
              </w:rPr>
              <w:t> </w:t>
            </w:r>
            <w:r>
              <w:rPr/>
              <w:t>test</w:t>
              <w:tab/>
              <w:t>44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r>
            <w:rPr/>
            <w:t>X-Ray</w:t>
          </w:r>
          <w:r>
            <w:rPr>
              <w:spacing w:val="-6"/>
            </w:rPr>
            <w:t> </w:t>
          </w:r>
          <w:r>
            <w:rPr/>
            <w:t>diffraction</w:t>
          </w:r>
          <w:r>
            <w:rPr>
              <w:spacing w:val="1"/>
            </w:rPr>
            <w:t> </w:t>
          </w:r>
          <w:r>
            <w:rPr/>
            <w:t>r</w:t>
          </w:r>
          <w:r>
            <w:rPr>
              <w:spacing w:val="-1"/>
            </w:rPr>
            <w:t> </w:t>
          </w:r>
          <w:r>
            <w:rPr/>
            <w:t>result</w:t>
            <w:tab/>
            <w:t>45</w:t>
          </w:r>
        </w:p>
        <w:p>
          <w:pPr>
            <w:pStyle w:val="TOC2"/>
            <w:numPr>
              <w:ilvl w:val="2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r>
            <w:rPr/>
            <w:t>Geochemical</w:t>
          </w:r>
          <w:r>
            <w:rPr>
              <w:spacing w:val="-2"/>
            </w:rPr>
            <w:t> </w:t>
          </w:r>
          <w:r>
            <w:rPr/>
            <w:t>result</w:t>
            <w:tab/>
            <w:t>52</w:t>
          </w:r>
        </w:p>
        <w:p>
          <w:pPr>
            <w:pStyle w:val="TOC2"/>
            <w:numPr>
              <w:ilvl w:val="1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05">
            <w:r>
              <w:rPr/>
              <w:t>Industrial</w:t>
            </w:r>
            <w:r>
              <w:rPr>
                <w:spacing w:val="-1"/>
              </w:rPr>
              <w:t> </w:t>
            </w:r>
            <w:r>
              <w:rPr/>
              <w:t>potentials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kutigi</w:t>
            </w:r>
            <w:r>
              <w:rPr>
                <w:spacing w:val="-1"/>
              </w:rPr>
              <w:t> </w:t>
            </w:r>
            <w:r>
              <w:rPr/>
              <w:t>clay</w:t>
            </w:r>
            <w:r>
              <w:rPr>
                <w:spacing w:val="-6"/>
              </w:rPr>
              <w:t> </w:t>
            </w:r>
            <w:r>
              <w:rPr/>
              <w:t>deposits</w:t>
              <w:tab/>
              <w:t>60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04">
            <w:r>
              <w:rPr/>
              <w:t>Uses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specification</w:t>
              <w:tab/>
              <w:t>61</w:t>
            </w:r>
          </w:hyperlink>
        </w:p>
        <w:p>
          <w:pPr>
            <w:pStyle w:val="TOC1"/>
            <w:spacing w:before="26"/>
            <w:ind w:left="162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CONCLUSION</w:t>
          </w:r>
        </w:p>
        <w:p>
          <w:pPr>
            <w:pStyle w:val="TOC1"/>
            <w:numPr>
              <w:ilvl w:val="1"/>
              <w:numId w:val="5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17" w:after="0"/>
            <w:ind w:left="882" w:right="0" w:hanging="720"/>
            <w:jc w:val="left"/>
            <w:rPr>
              <w:b w:val="0"/>
            </w:rPr>
          </w:pPr>
          <w:hyperlink w:history="true" w:anchor="_TOC_250003">
            <w:r>
              <w:rPr/>
              <w:t>CONCLUSION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</w:r>
            <w:r>
              <w:rPr>
                <w:b w:val="0"/>
              </w:rPr>
              <w:t>67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2" w:after="0"/>
            <w:ind w:left="882" w:right="0" w:hanging="720"/>
            <w:jc w:val="left"/>
          </w:pPr>
          <w:hyperlink w:history="true" w:anchor="_TOC_250002">
            <w:r>
              <w:rPr/>
              <w:t>Conclusion</w:t>
              <w:tab/>
              <w:t>67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1" w:val="left" w:leader="none"/>
              <w:tab w:pos="882" w:val="left" w:leader="none"/>
              <w:tab w:pos="8803" w:val="left" w:leader="none"/>
            </w:tabs>
            <w:spacing w:line="240" w:lineRule="auto" w:before="21" w:after="0"/>
            <w:ind w:left="882" w:right="0" w:hanging="720"/>
            <w:jc w:val="left"/>
          </w:pPr>
          <w:hyperlink w:history="true" w:anchor="_TOC_250001">
            <w:r>
              <w:rPr/>
              <w:t>Recommendations</w:t>
              <w:tab/>
              <w:t>68</w:t>
            </w:r>
          </w:hyperlink>
        </w:p>
        <w:p>
          <w:pPr>
            <w:pStyle w:val="TOC2"/>
            <w:tabs>
              <w:tab w:pos="8803" w:val="left" w:leader="none"/>
            </w:tabs>
            <w:spacing w:before="24"/>
            <w:ind w:left="162" w:firstLine="0"/>
          </w:pPr>
          <w:hyperlink w:history="true" w:anchor="_TOC_250000">
            <w:r>
              <w:rPr/>
              <w:t>REFERENCES</w:t>
              <w:tab/>
              <w:t>69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390" w:left="15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882"/>
        <w:gridCol w:w="646"/>
      </w:tblGrid>
      <w:tr>
        <w:trPr>
          <w:trHeight w:val="281" w:hRule="atLeast"/>
        </w:trPr>
        <w:tc>
          <w:tcPr>
            <w:tcW w:w="704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882" w:type="dxa"/>
          </w:tcPr>
          <w:p>
            <w:pPr>
              <w:pStyle w:val="TableParagraph"/>
              <w:spacing w:line="262" w:lineRule="exact"/>
              <w:ind w:left="3031" w:right="2867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64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704" w:type="dxa"/>
          </w:tcPr>
          <w:p>
            <w:pPr>
              <w:pStyle w:val="TableParagraph"/>
              <w:spacing w:line="269" w:lineRule="exact" w:before="5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88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646" w:type="dxa"/>
          </w:tcPr>
          <w:p>
            <w:pPr>
              <w:pStyle w:val="TableParagraph"/>
              <w:spacing w:line="269" w:lineRule="exact" w:before="5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295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3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Kaolin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Industries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3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297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5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Geotechnical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Kutigi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Deposit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297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5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Minerals Composition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98" w:hRule="atLeast"/>
        </w:trPr>
        <w:tc>
          <w:tcPr>
            <w:tcW w:w="704" w:type="dxa"/>
          </w:tcPr>
          <w:p>
            <w:pPr>
              <w:pStyle w:val="TableParagraph"/>
              <w:spacing w:line="273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882" w:type="dxa"/>
          </w:tcPr>
          <w:p>
            <w:pPr>
              <w:pStyle w:val="TableParagraph"/>
              <w:spacing w:line="273" w:lineRule="exact" w:before="5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Samples Mineral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 know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Deposit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646" w:type="dxa"/>
          </w:tcPr>
          <w:p>
            <w:pPr>
              <w:pStyle w:val="TableParagraph"/>
              <w:spacing w:line="273" w:lineRule="exact"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98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7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Kutigi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Deposit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7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297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5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Major Oxide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Compared to other Clay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Occurrence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Nigeria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97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5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Coating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297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5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Paper Filler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97" w:hRule="atLeast"/>
        </w:trPr>
        <w:tc>
          <w:tcPr>
            <w:tcW w:w="704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882" w:type="dxa"/>
          </w:tcPr>
          <w:p>
            <w:pPr>
              <w:pStyle w:val="TableParagraph"/>
              <w:spacing w:line="272" w:lineRule="exact" w:before="5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Ceramics</w:t>
            </w:r>
          </w:p>
        </w:tc>
        <w:tc>
          <w:tcPr>
            <w:tcW w:w="646" w:type="dxa"/>
          </w:tcPr>
          <w:p>
            <w:pPr>
              <w:pStyle w:val="TableParagraph"/>
              <w:spacing w:line="272" w:lineRule="exact" w:before="5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281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882" w:type="dxa"/>
          </w:tcPr>
          <w:p>
            <w:pPr>
              <w:pStyle w:val="TableParagraph"/>
              <w:spacing w:line="256" w:lineRule="exact" w:before="6"/>
              <w:ind w:left="65"/>
              <w:jc w:val="left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Pharmaceutics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Cosmetics Industry</w:t>
            </w:r>
          </w:p>
        </w:tc>
        <w:tc>
          <w:tcPr>
            <w:tcW w:w="646" w:type="dxa"/>
          </w:tcPr>
          <w:p>
            <w:pPr>
              <w:pStyle w:val="TableParagraph"/>
              <w:spacing w:line="256" w:lineRule="exact" w:before="6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type w:val="continuous"/>
          <w:pgSz w:w="11910" w:h="16840"/>
          <w:pgMar w:top="1340" w:bottom="480" w:left="1540" w:right="740"/>
        </w:sect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674"/>
        <w:gridCol w:w="810"/>
      </w:tblGrid>
      <w:tr>
        <w:trPr>
          <w:trHeight w:val="282" w:hRule="atLeast"/>
        </w:trPr>
        <w:tc>
          <w:tcPr>
            <w:tcW w:w="74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674" w:type="dxa"/>
          </w:tcPr>
          <w:p>
            <w:pPr>
              <w:pStyle w:val="TableParagraph"/>
              <w:spacing w:line="263" w:lineRule="exact"/>
              <w:ind w:left="2882" w:right="2689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81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96" w:hRule="atLeast"/>
        </w:trPr>
        <w:tc>
          <w:tcPr>
            <w:tcW w:w="749" w:type="dxa"/>
          </w:tcPr>
          <w:p>
            <w:pPr>
              <w:pStyle w:val="TableParagraph"/>
              <w:spacing w:line="270" w:lineRule="exact" w:before="7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767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spacing w:line="270" w:lineRule="exact" w:before="7"/>
              <w:ind w:left="2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295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3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Tectonic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Settings and Processes Involved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Recycling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Minerals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3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Locations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 Industrial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Geological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Bida Basin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Geological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 Basin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Geographical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Subdivision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Northern, 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Southern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Parts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Stratigraphic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Successions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Basin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Lithological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KTG1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Lithological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KTG2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298" w:hRule="atLeast"/>
        </w:trPr>
        <w:tc>
          <w:tcPr>
            <w:tcW w:w="749" w:type="dxa"/>
          </w:tcPr>
          <w:p>
            <w:pPr>
              <w:pStyle w:val="TableParagraph"/>
              <w:spacing w:line="273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674" w:type="dxa"/>
          </w:tcPr>
          <w:p>
            <w:pPr>
              <w:pStyle w:val="TableParagraph"/>
              <w:spacing w:line="273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Diffratograph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 KTG1A</w:t>
            </w:r>
          </w:p>
        </w:tc>
        <w:tc>
          <w:tcPr>
            <w:tcW w:w="810" w:type="dxa"/>
          </w:tcPr>
          <w:p>
            <w:pPr>
              <w:pStyle w:val="TableParagraph"/>
              <w:spacing w:line="273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298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7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7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Diffratograph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 KTG1G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7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Diffratograph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 KTG2B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6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6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X-Ray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Diffratograph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 KTG2F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6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Chart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Percentage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Mineralogical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Major Oxide of the 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Chart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Average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Oxide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297" w:hRule="atLeast"/>
        </w:trPr>
        <w:tc>
          <w:tcPr>
            <w:tcW w:w="749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674" w:type="dxa"/>
          </w:tcPr>
          <w:p>
            <w:pPr>
              <w:pStyle w:val="TableParagraph"/>
              <w:spacing w:line="272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A-CN-K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(After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Nebsitt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Young,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1982)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Clay</w:t>
            </w:r>
          </w:p>
        </w:tc>
        <w:tc>
          <w:tcPr>
            <w:tcW w:w="810" w:type="dxa"/>
          </w:tcPr>
          <w:p>
            <w:pPr>
              <w:pStyle w:val="TableParagraph"/>
              <w:spacing w:line="272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281" w:hRule="atLeast"/>
        </w:trPr>
        <w:tc>
          <w:tcPr>
            <w:tcW w:w="749" w:type="dxa"/>
          </w:tcPr>
          <w:p>
            <w:pPr>
              <w:pStyle w:val="TableParagraph"/>
              <w:spacing w:line="256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674" w:type="dxa"/>
          </w:tcPr>
          <w:p>
            <w:pPr>
              <w:pStyle w:val="TableParagraph"/>
              <w:spacing w:line="256" w:lineRule="exact" w:before="5"/>
              <w:ind w:left="20"/>
              <w:jc w:val="left"/>
              <w:rPr>
                <w:sz w:val="24"/>
              </w:rPr>
            </w:pPr>
            <w:r>
              <w:rPr>
                <w:sz w:val="24"/>
              </w:rPr>
              <w:t>Binary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Depositional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Clays</w:t>
            </w:r>
          </w:p>
        </w:tc>
        <w:tc>
          <w:tcPr>
            <w:tcW w:w="810" w:type="dxa"/>
          </w:tcPr>
          <w:p>
            <w:pPr>
              <w:pStyle w:val="TableParagraph"/>
              <w:spacing w:line="256" w:lineRule="exact" w:before="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6878"/>
        <w:gridCol w:w="1686"/>
      </w:tblGrid>
      <w:tr>
        <w:trPr>
          <w:trHeight w:val="281" w:hRule="atLeast"/>
        </w:trPr>
        <w:tc>
          <w:tcPr>
            <w:tcW w:w="67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878" w:type="dxa"/>
          </w:tcPr>
          <w:p>
            <w:pPr>
              <w:pStyle w:val="TableParagraph"/>
              <w:spacing w:line="262" w:lineRule="exact"/>
              <w:ind w:left="30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168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670" w:type="dxa"/>
          </w:tcPr>
          <w:p>
            <w:pPr>
              <w:pStyle w:val="TableParagraph"/>
              <w:spacing w:line="269" w:lineRule="exact" w:before="5"/>
              <w:ind w:left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</w:tc>
        <w:tc>
          <w:tcPr>
            <w:tcW w:w="687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spacing w:line="269" w:lineRule="exact" w:before="5"/>
              <w:ind w:left="11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295" w:hRule="atLeast"/>
        </w:trPr>
        <w:tc>
          <w:tcPr>
            <w:tcW w:w="670" w:type="dxa"/>
          </w:tcPr>
          <w:p>
            <w:pPr>
              <w:pStyle w:val="TableParagraph"/>
              <w:spacing w:line="272" w:lineRule="exact" w:before="3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6878" w:type="dxa"/>
          </w:tcPr>
          <w:p>
            <w:pPr>
              <w:pStyle w:val="TableParagraph"/>
              <w:spacing w:line="272" w:lineRule="exact" w:before="3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Lithological Section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Stone</w:t>
            </w:r>
          </w:p>
        </w:tc>
        <w:tc>
          <w:tcPr>
            <w:tcW w:w="1686" w:type="dxa"/>
          </w:tcPr>
          <w:p>
            <w:pPr>
              <w:pStyle w:val="TableParagraph"/>
              <w:spacing w:line="272" w:lineRule="exact" w:before="3"/>
              <w:ind w:left="1143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297" w:hRule="atLeast"/>
        </w:trPr>
        <w:tc>
          <w:tcPr>
            <w:tcW w:w="670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6878" w:type="dxa"/>
          </w:tcPr>
          <w:p>
            <w:pPr>
              <w:pStyle w:val="TableParagraph"/>
              <w:spacing w:line="272" w:lineRule="exact" w:before="5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Exposed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with Tinted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 Colour 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KTG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686" w:type="dxa"/>
          </w:tcPr>
          <w:p>
            <w:pPr>
              <w:pStyle w:val="TableParagraph"/>
              <w:spacing w:line="272" w:lineRule="exact" w:before="5"/>
              <w:ind w:left="1143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297" w:hRule="atLeast"/>
        </w:trPr>
        <w:tc>
          <w:tcPr>
            <w:tcW w:w="670" w:type="dxa"/>
          </w:tcPr>
          <w:p>
            <w:pPr>
              <w:pStyle w:val="TableParagraph"/>
              <w:spacing w:line="272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6878" w:type="dxa"/>
          </w:tcPr>
          <w:p>
            <w:pPr>
              <w:pStyle w:val="TableParagraph"/>
              <w:spacing w:line="272" w:lineRule="exact" w:before="5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Clay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Occurring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Irregular Lenticular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KTG2</w:t>
            </w:r>
          </w:p>
        </w:tc>
        <w:tc>
          <w:tcPr>
            <w:tcW w:w="1686" w:type="dxa"/>
          </w:tcPr>
          <w:p>
            <w:pPr>
              <w:pStyle w:val="TableParagraph"/>
              <w:spacing w:line="272" w:lineRule="exact" w:before="5"/>
              <w:ind w:left="1143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281" w:hRule="atLeast"/>
        </w:trPr>
        <w:tc>
          <w:tcPr>
            <w:tcW w:w="670" w:type="dxa"/>
          </w:tcPr>
          <w:p>
            <w:pPr>
              <w:pStyle w:val="TableParagraph"/>
              <w:spacing w:line="256" w:lineRule="exact" w:before="5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6878" w:type="dxa"/>
          </w:tcPr>
          <w:p>
            <w:pPr>
              <w:pStyle w:val="TableParagraph"/>
              <w:spacing w:line="256" w:lineRule="exact" w:before="5"/>
              <w:ind w:left="99"/>
              <w:jc w:val="left"/>
              <w:rPr>
                <w:sz w:val="24"/>
              </w:rPr>
            </w:pPr>
            <w:r>
              <w:rPr>
                <w:sz w:val="24"/>
              </w:rPr>
              <w:t>Clay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 Milky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White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 KTG2</w:t>
            </w:r>
          </w:p>
        </w:tc>
        <w:tc>
          <w:tcPr>
            <w:tcW w:w="1686" w:type="dxa"/>
          </w:tcPr>
          <w:p>
            <w:pPr>
              <w:pStyle w:val="TableParagraph"/>
              <w:spacing w:line="256" w:lineRule="exact" w:before="5"/>
              <w:ind w:left="1143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1910" w:h="16840"/>
          <w:pgMar w:header="0" w:footer="294" w:top="1120" w:bottom="480" w:left="1540" w:right="740"/>
        </w:sectPr>
      </w:pPr>
    </w:p>
    <w:p>
      <w:pPr>
        <w:pStyle w:val="Heading1"/>
        <w:ind w:left="327" w:right="1308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6"/>
        </w:numPr>
        <w:tabs>
          <w:tab w:pos="3385" w:val="left" w:leader="none"/>
          <w:tab w:pos="3386" w:val="left" w:leader="none"/>
        </w:tabs>
        <w:spacing w:line="240" w:lineRule="auto" w:before="0" w:after="0"/>
        <w:ind w:left="3385" w:right="0" w:hanging="2941"/>
        <w:jc w:val="both"/>
      </w:pPr>
      <w:bookmarkStart w:name="_TOC_250044" w:id="1"/>
      <w:bookmarkEnd w:id="1"/>
      <w:r>
        <w:rPr/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1" w:after="0"/>
        <w:ind w:left="1165" w:right="0" w:hanging="721"/>
        <w:jc w:val="both"/>
      </w:pPr>
      <w:bookmarkStart w:name="_TOC_250043" w:id="2"/>
      <w:r>
        <w:rPr/>
        <w:t>Background 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bookmarkEnd w:id="2"/>
      <w:r>
        <w:rPr/>
        <w:t>Study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445" w:right="667"/>
        <w:jc w:val="both"/>
      </w:pPr>
      <w:r>
        <w:rPr/>
        <w:t>The joint nomenclature committees of the Association Internationale pour l‟Etude des</w:t>
      </w:r>
      <w:r>
        <w:rPr>
          <w:spacing w:val="1"/>
        </w:rPr>
        <w:t> </w:t>
      </w:r>
      <w:r>
        <w:rPr/>
        <w:t>Argiles</w:t>
      </w:r>
      <w:r>
        <w:rPr>
          <w:spacing w:val="1"/>
        </w:rPr>
        <w:t> </w:t>
      </w:r>
      <w:r>
        <w:rPr/>
        <w:t>(AIPEA)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Society (CMS)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„clay‟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naturally occurring geological material composed primarily of fine-grained minerals,</w:t>
      </w:r>
      <w:r>
        <w:rPr>
          <w:spacing w:val="1"/>
        </w:rPr>
        <w:t> </w:t>
      </w:r>
      <w:r>
        <w:rPr/>
        <w:t>which is generally plastic at appropriate water contents and will harden when dried or</w:t>
      </w:r>
      <w:r>
        <w:rPr>
          <w:spacing w:val="1"/>
        </w:rPr>
        <w:t> </w:t>
      </w:r>
      <w:r>
        <w:rPr/>
        <w:t>fired</w:t>
      </w:r>
      <w:r>
        <w:rPr>
          <w:spacing w:val="1"/>
        </w:rPr>
        <w:t> </w:t>
      </w:r>
      <w:r>
        <w:rPr/>
        <w:t>(Guggenheim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small-sized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normally &lt;2 μm, found in soils, sediments or as alteration products of rocks (López-</w:t>
      </w:r>
      <w:r>
        <w:rPr>
          <w:spacing w:val="1"/>
        </w:rPr>
        <w:t> </w:t>
      </w:r>
      <w:r>
        <w:rPr/>
        <w:t>Galindo </w:t>
      </w:r>
      <w:r>
        <w:rPr>
          <w:i/>
        </w:rPr>
        <w:t>et al</w:t>
      </w:r>
      <w:r>
        <w:rPr/>
        <w:t>., 2007). Most geologists, however, refer to sheet silicates when they speak</w:t>
      </w:r>
      <w:r>
        <w:rPr>
          <w:spacing w:val="1"/>
        </w:rPr>
        <w:t> </w:t>
      </w:r>
      <w:r>
        <w:rPr/>
        <w:t>of clay minerals (Adamu &amp; Duru, 2020). Clay is richly found in soil, sedimentary rocks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hydrothermal</w:t>
      </w:r>
      <w:r>
        <w:rPr>
          <w:spacing w:val="1"/>
        </w:rPr>
        <w:t> </w:t>
      </w:r>
      <w:r>
        <w:rPr/>
        <w:t>deposits</w:t>
      </w:r>
      <w:r>
        <w:rPr>
          <w:spacing w:val="2"/>
        </w:rPr>
        <w:t> </w:t>
      </w:r>
      <w:r>
        <w:rPr/>
        <w:t>(Omang</w:t>
      </w:r>
      <w:r>
        <w:rPr>
          <w:spacing w:val="-3"/>
        </w:rPr>
        <w:t> </w:t>
      </w:r>
      <w:r>
        <w:rPr>
          <w:i/>
        </w:rPr>
        <w:t>et al., </w:t>
      </w:r>
      <w:r>
        <w:rPr/>
        <w:t>2019).</w:t>
      </w:r>
    </w:p>
    <w:p>
      <w:pPr>
        <w:pStyle w:val="BodyText"/>
        <w:spacing w:line="480" w:lineRule="auto" w:before="3"/>
        <w:ind w:left="445" w:right="669"/>
        <w:jc w:val="both"/>
      </w:pPr>
      <w:r>
        <w:rPr/>
        <w:t>Clay mineral-rich deposits are usually formed in two principal ways: (i) by sedimentary</w:t>
      </w:r>
      <w:r>
        <w:rPr>
          <w:spacing w:val="1"/>
        </w:rPr>
        <w:t> </w:t>
      </w:r>
      <w:r>
        <w:rPr/>
        <w:t>processes by which parent minerals are weathered in situ to form predominantly a</w:t>
      </w:r>
      <w:r>
        <w:rPr>
          <w:spacing w:val="1"/>
        </w:rPr>
        <w:t> </w:t>
      </w:r>
      <w:r>
        <w:rPr/>
        <w:t>Kaolinitic clay rich residual soil and (ii) by primary hydrothermal alteration of the host</w:t>
      </w:r>
      <w:r>
        <w:rPr>
          <w:spacing w:val="1"/>
        </w:rPr>
        <w:t> </w:t>
      </w:r>
      <w:r>
        <w:rPr/>
        <w:t>rock. In geologic context, clays are sedimentary deposits constituted by accumulations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chemical weathering</w:t>
      </w:r>
      <w:r>
        <w:rPr>
          <w:spacing w:val="-3"/>
        </w:rPr>
        <w:t> </w:t>
      </w:r>
      <w:r>
        <w:rPr/>
        <w:t>rocks (Adamu &amp;</w:t>
      </w:r>
      <w:r>
        <w:rPr>
          <w:spacing w:val="-2"/>
        </w:rPr>
        <w:t> </w:t>
      </w:r>
      <w:r>
        <w:rPr/>
        <w:t>Duru,</w:t>
      </w:r>
      <w:r>
        <w:rPr>
          <w:spacing w:val="4"/>
        </w:rPr>
        <w:t> </w:t>
      </w:r>
      <w:r>
        <w:rPr/>
        <w:t>2020).</w:t>
      </w:r>
    </w:p>
    <w:p>
      <w:pPr>
        <w:pStyle w:val="BodyText"/>
        <w:spacing w:line="480" w:lineRule="auto" w:before="1"/>
        <w:ind w:left="445" w:right="672"/>
        <w:jc w:val="both"/>
      </w:pPr>
      <w:r>
        <w:rPr/>
        <w:t>Two classes of clays are defined on the basis of their location relative to the parent</w:t>
      </w:r>
      <w:r>
        <w:rPr>
          <w:spacing w:val="1"/>
        </w:rPr>
        <w:t> </w:t>
      </w:r>
      <w:r>
        <w:rPr/>
        <w:t>rocks: (i) primary or residual; and (ii) secondary or transported or sedimentary clays</w:t>
      </w:r>
      <w:r>
        <w:rPr>
          <w:spacing w:val="1"/>
        </w:rPr>
        <w:t> </w:t>
      </w:r>
      <w:r>
        <w:rPr/>
        <w:t>(Punmia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Arora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hydrothermal alteration of volcanic and granitic rocks with examples as hydrothermal</w:t>
      </w:r>
      <w:r>
        <w:rPr>
          <w:spacing w:val="1"/>
        </w:rPr>
        <w:t> </w:t>
      </w:r>
      <w:r>
        <w:rPr/>
        <w:t>and volcanic clay types. Secondary clay deposits are products of chemical weathering of</w:t>
      </w:r>
      <w:r>
        <w:rPr>
          <w:spacing w:val="-57"/>
        </w:rPr>
        <w:t> </w:t>
      </w:r>
      <w:r>
        <w:rPr/>
        <w:t>pre-existing rocks during which alumino-silicates are altered into clays, such as residual</w:t>
      </w:r>
      <w:r>
        <w:rPr>
          <w:spacing w:val="1"/>
        </w:rPr>
        <w:t> </w:t>
      </w:r>
      <w:r>
        <w:rPr/>
        <w:t>and sedimentary clays. However, clay can further be classified on the basis of genetic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industrial</w:t>
      </w:r>
      <w:r>
        <w:rPr>
          <w:spacing w:val="2"/>
        </w:rPr>
        <w:t> </w:t>
      </w:r>
      <w:r>
        <w:rPr/>
        <w:t>characteristics (Omang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2019).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right="226"/>
        <w:jc w:val="center"/>
      </w:pPr>
      <w:r>
        <w:rPr/>
        <w:t>1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67"/>
        <w:jc w:val="both"/>
      </w:pPr>
      <w:r>
        <w:rPr/>
        <w:t>In many instances, clay materials are formed in one environment by the accumulation or</w:t>
      </w:r>
      <w:r>
        <w:rPr>
          <w:spacing w:val="-57"/>
        </w:rPr>
        <w:t> </w:t>
      </w:r>
      <w:r>
        <w:rPr/>
        <w:t>alteration of clay minerals formed in others.</w:t>
      </w:r>
      <w:r>
        <w:rPr>
          <w:spacing w:val="1"/>
        </w:rPr>
        <w:t> </w:t>
      </w:r>
      <w:r>
        <w:rPr/>
        <w:t>Thus the</w:t>
      </w:r>
      <w:r>
        <w:rPr>
          <w:spacing w:val="1"/>
        </w:rPr>
        <w:t> </w:t>
      </w:r>
      <w:r>
        <w:rPr/>
        <w:t>geological history of a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environments</w:t>
      </w:r>
      <w:r>
        <w:rPr>
          <w:spacing w:val="-1"/>
        </w:rPr>
        <w:t> </w:t>
      </w:r>
      <w:r>
        <w:rPr/>
        <w:t>(Al-</w:t>
      </w:r>
      <w:r>
        <w:rPr>
          <w:spacing w:val="-1"/>
        </w:rPr>
        <w:t> </w:t>
      </w:r>
      <w:r>
        <w:rPr/>
        <w:t>Ani</w:t>
      </w:r>
      <w:r>
        <w:rPr>
          <w:spacing w:val="2"/>
        </w:rPr>
        <w:t> </w:t>
      </w:r>
      <w:r>
        <w:rPr/>
        <w:t>&amp; Sarapaa, 2008).</w:t>
      </w:r>
    </w:p>
    <w:p>
      <w:pPr>
        <w:pStyle w:val="BodyText"/>
        <w:spacing w:line="480" w:lineRule="auto"/>
        <w:ind w:left="445" w:right="664"/>
        <w:jc w:val="both"/>
      </w:pPr>
      <w:r>
        <w:rPr/>
        <w:t>Clay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phyllosilicate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hydrous</w:t>
      </w:r>
      <w:r>
        <w:rPr>
          <w:spacing w:val="1"/>
        </w:rPr>
        <w:t> </w:t>
      </w:r>
      <w:r>
        <w:rPr/>
        <w:t>aluminium</w:t>
      </w:r>
      <w:r>
        <w:rPr>
          <w:spacing w:val="1"/>
        </w:rPr>
        <w:t> </w:t>
      </w:r>
      <w:r>
        <w:rPr/>
        <w:t>silicates,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mainly of</w:t>
      </w:r>
      <w:r>
        <w:rPr>
          <w:spacing w:val="1"/>
        </w:rPr>
        <w:t> </w:t>
      </w:r>
      <w:r>
        <w:rPr/>
        <w:t>silica,</w:t>
      </w:r>
      <w:r>
        <w:rPr>
          <w:spacing w:val="1"/>
        </w:rPr>
        <w:t> </w:t>
      </w:r>
      <w:r>
        <w:rPr/>
        <w:t>alumina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components impart plasticity to the clay and harden when dried or fired. They also</w:t>
      </w:r>
      <w:r>
        <w:rPr>
          <w:spacing w:val="1"/>
        </w:rPr>
        <w:t> </w:t>
      </w:r>
      <w:r>
        <w:rPr/>
        <w:t>contain impurities known as associated minerals such as potassium, sodium, calcium,</w:t>
      </w:r>
      <w:r>
        <w:rPr>
          <w:spacing w:val="1"/>
        </w:rPr>
        <w:t> </w:t>
      </w:r>
      <w:r>
        <w:rPr/>
        <w:t>iron and organic matter in small amounts; these minerals tend to reduce clay plasticity</w:t>
      </w:r>
      <w:r>
        <w:rPr>
          <w:spacing w:val="1"/>
        </w:rPr>
        <w:t> </w:t>
      </w:r>
      <w:r>
        <w:rPr/>
        <w:t>(Al- Ani &amp;</w:t>
      </w:r>
      <w:r>
        <w:rPr>
          <w:spacing w:val="1"/>
        </w:rPr>
        <w:t> </w:t>
      </w:r>
      <w:r>
        <w:rPr/>
        <w:t>Sarapaa,</w:t>
      </w:r>
      <w:r>
        <w:rPr>
          <w:spacing w:val="2"/>
        </w:rPr>
        <w:t> </w:t>
      </w:r>
      <w:r>
        <w:rPr/>
        <w:t>2008).</w:t>
      </w:r>
    </w:p>
    <w:p>
      <w:pPr>
        <w:pStyle w:val="BodyText"/>
        <w:spacing w:line="480" w:lineRule="auto" w:before="2"/>
        <w:ind w:left="445" w:right="672"/>
        <w:jc w:val="both"/>
      </w:pPr>
      <w:r>
        <w:rPr/>
        <w:t>Clay minerals are among the most important and abundant raw mineral of industrial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 has variety of uses depending on factors such as clay mineral constituent,</w:t>
      </w:r>
      <w:r>
        <w:rPr>
          <w:spacing w:val="1"/>
        </w:rPr>
        <w:t> </w:t>
      </w:r>
      <w:r>
        <w:rPr/>
        <w:t>non-clay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matter,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exchangeable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salt,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(Onyeobi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2013).</w:t>
      </w:r>
      <w:r>
        <w:rPr>
          <w:spacing w:val="1"/>
        </w:rPr>
        <w:t> </w:t>
      </w:r>
      <w:r>
        <w:rPr/>
        <w:t>Millions of tons</w:t>
      </w:r>
      <w:r>
        <w:rPr>
          <w:spacing w:val="1"/>
        </w:rPr>
        <w:t> </w:t>
      </w:r>
      <w:r>
        <w:rPr/>
        <w:t>are utilized annually in</w:t>
      </w:r>
      <w:r>
        <w:rPr>
          <w:spacing w:val="1"/>
        </w:rPr>
        <w:t> </w:t>
      </w:r>
      <w:r>
        <w:rPr/>
        <w:t>a large variety of applications such</w:t>
      </w:r>
      <w:r>
        <w:rPr>
          <w:spacing w:val="1"/>
        </w:rPr>
        <w:t> </w:t>
      </w:r>
      <w:r>
        <w:rPr/>
        <w:t>as in</w:t>
      </w:r>
      <w:r>
        <w:rPr>
          <w:spacing w:val="1"/>
        </w:rPr>
        <w:t> </w:t>
      </w:r>
      <w:r>
        <w:rPr/>
        <w:t>geology, the process industries, agriculture, environmental remediation and construction</w:t>
      </w:r>
      <w:r>
        <w:rPr>
          <w:spacing w:val="-57"/>
        </w:rPr>
        <w:t> </w:t>
      </w:r>
      <w:r>
        <w:rPr/>
        <w:t>(Al-Ani &amp; Sarapaa, 2008 &amp; Murray, 2003). Their use falls into two contrasting, broad</w:t>
      </w:r>
      <w:r>
        <w:rPr>
          <w:spacing w:val="1"/>
        </w:rPr>
        <w:t> </w:t>
      </w:r>
      <w:r>
        <w:rPr/>
        <w:t>classes:</w:t>
      </w:r>
    </w:p>
    <w:p>
      <w:pPr>
        <w:pStyle w:val="ListParagraph"/>
        <w:numPr>
          <w:ilvl w:val="0"/>
          <w:numId w:val="7"/>
        </w:numPr>
        <w:tabs>
          <w:tab w:pos="659" w:val="left" w:leader="none"/>
        </w:tabs>
        <w:spacing w:line="480" w:lineRule="auto" w:before="0" w:after="0"/>
        <w:ind w:left="445" w:right="678" w:firstLine="0"/>
        <w:jc w:val="both"/>
        <w:rPr>
          <w:sz w:val="24"/>
        </w:rPr>
      </w:pPr>
      <w:r>
        <w:rPr>
          <w:sz w:val="24"/>
        </w:rPr>
        <w:t>Usage that utilise their inertness and stability. A large variety of industrial uses are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related to the</w:t>
      </w:r>
      <w:r>
        <w:rPr>
          <w:spacing w:val="-1"/>
          <w:sz w:val="24"/>
        </w:rPr>
        <w:t> </w:t>
      </w:r>
      <w:r>
        <w:rPr>
          <w:sz w:val="24"/>
        </w:rPr>
        <w:t>unique</w:t>
      </w:r>
      <w:r>
        <w:rPr>
          <w:spacing w:val="2"/>
          <w:sz w:val="24"/>
        </w:rPr>
        <w:t> </w:t>
      </w:r>
      <w:r>
        <w:rPr>
          <w:sz w:val="24"/>
        </w:rPr>
        <w:t>rheological properties of</w:t>
      </w:r>
      <w:r>
        <w:rPr>
          <w:spacing w:val="1"/>
          <w:sz w:val="24"/>
        </w:rPr>
        <w:t> </w:t>
      </w:r>
      <w:r>
        <w:rPr>
          <w:sz w:val="24"/>
        </w:rPr>
        <w:t>clay</w:t>
      </w:r>
      <w:r>
        <w:rPr>
          <w:spacing w:val="-8"/>
          <w:sz w:val="24"/>
        </w:rPr>
        <w:t> </w:t>
      </w:r>
      <w:r>
        <w:rPr>
          <w:sz w:val="24"/>
        </w:rPr>
        <w:t>and clay</w:t>
      </w:r>
      <w:r>
        <w:rPr>
          <w:spacing w:val="-10"/>
          <w:sz w:val="24"/>
        </w:rPr>
        <w:t> </w:t>
      </w:r>
      <w:r>
        <w:rPr>
          <w:sz w:val="24"/>
        </w:rPr>
        <w:t>mineral dispersions.</w:t>
      </w:r>
    </w:p>
    <w:p>
      <w:pPr>
        <w:pStyle w:val="ListParagraph"/>
        <w:numPr>
          <w:ilvl w:val="0"/>
          <w:numId w:val="7"/>
        </w:numPr>
        <w:tabs>
          <w:tab w:pos="700" w:val="left" w:leader="none"/>
        </w:tabs>
        <w:spacing w:line="240" w:lineRule="auto" w:before="0" w:after="0"/>
        <w:ind w:left="699" w:right="0" w:hanging="255"/>
        <w:jc w:val="both"/>
        <w:rPr>
          <w:sz w:val="24"/>
        </w:rPr>
      </w:pPr>
      <w:r>
        <w:rPr>
          <w:sz w:val="24"/>
        </w:rPr>
        <w:t>Usage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utilise their</w:t>
      </w:r>
      <w:r>
        <w:rPr>
          <w:spacing w:val="3"/>
          <w:sz w:val="24"/>
        </w:rPr>
        <w:t> </w:t>
      </w:r>
      <w:r>
        <w:rPr>
          <w:sz w:val="24"/>
        </w:rPr>
        <w:t>reactivity</w:t>
      </w:r>
      <w:r>
        <w:rPr>
          <w:spacing w:val="-9"/>
          <w:sz w:val="24"/>
        </w:rPr>
        <w:t> </w:t>
      </w:r>
      <w:r>
        <w:rPr>
          <w:sz w:val="24"/>
        </w:rPr>
        <w:t>and catalytic</w:t>
      </w:r>
      <w:r>
        <w:rPr>
          <w:spacing w:val="2"/>
          <w:sz w:val="24"/>
        </w:rPr>
        <w:t> </w:t>
      </w:r>
      <w:r>
        <w:rPr>
          <w:sz w:val="24"/>
        </w:rPr>
        <w:t>activity</w:t>
      </w:r>
      <w:r>
        <w:rPr>
          <w:spacing w:val="-9"/>
          <w:sz w:val="24"/>
        </w:rPr>
        <w:t> </w:t>
      </w:r>
      <w:r>
        <w:rPr>
          <w:sz w:val="24"/>
        </w:rPr>
        <w:t>(Harvey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Lagaly,</w:t>
      </w:r>
      <w:r>
        <w:rPr>
          <w:spacing w:val="1"/>
          <w:sz w:val="24"/>
        </w:rPr>
        <w:t> </w:t>
      </w:r>
      <w:r>
        <w:rPr>
          <w:sz w:val="24"/>
        </w:rPr>
        <w:t>2013).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445" w:right="675"/>
        <w:jc w:val="both"/>
      </w:pPr>
      <w:r>
        <w:rPr/>
        <w:t>Geological origin and environment of formation play an important role in the type 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deposit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clay deposit</w:t>
      </w:r>
      <w:r>
        <w:rPr>
          <w:spacing w:val="1"/>
        </w:rPr>
        <w:t> </w:t>
      </w:r>
      <w:r>
        <w:rPr/>
        <w:t>drastically changes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characteristic of the clay</w:t>
      </w:r>
      <w:r>
        <w:rPr>
          <w:spacing w:val="-5"/>
        </w:rPr>
        <w:t> </w:t>
      </w:r>
      <w:r>
        <w:rPr/>
        <w:t>(Alvarez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2017</w:t>
      </w:r>
      <w:r>
        <w:rPr>
          <w:spacing w:val="5"/>
        </w:rPr>
        <w:t> </w:t>
      </w:r>
      <w:r>
        <w:rPr/>
        <w:t>&amp;</w:t>
      </w:r>
      <w:r>
        <w:rPr>
          <w:spacing w:val="-1"/>
        </w:rPr>
        <w:t> </w:t>
      </w:r>
      <w:r>
        <w:rPr/>
        <w:t>Oyebanjo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2020).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right="226"/>
        <w:jc w:val="center"/>
      </w:pPr>
      <w:r>
        <w:rPr/>
        <w:t>2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2"/>
        <w:jc w:val="both"/>
      </w:pPr>
      <w:r>
        <w:rPr/>
        <w:t>In industrial applications of clays four types of clays are distinguishes: (i) bentonites</w:t>
      </w:r>
      <w:r>
        <w:rPr>
          <w:spacing w:val="1"/>
        </w:rPr>
        <w:t> </w:t>
      </w:r>
      <w:r>
        <w:rPr/>
        <w:t>with montmorillonite as the principal clay mineral constituent, (ii) kaolin containing</w:t>
      </w:r>
      <w:r>
        <w:rPr>
          <w:spacing w:val="1"/>
        </w:rPr>
        <w:t> </w:t>
      </w:r>
      <w:r>
        <w:rPr/>
        <w:t>kaolinite, (iii) palygorskite and sepiolite, and (iv) „common clays‟ which often contain</w:t>
      </w:r>
      <w:r>
        <w:rPr>
          <w:spacing w:val="1"/>
        </w:rPr>
        <w:t> </w:t>
      </w:r>
      <w:r>
        <w:rPr/>
        <w:t>illite/smectite mixed-layer minerals (Bergaya &amp; Lagaly, 2013). In some cases the clay is</w:t>
      </w:r>
      <w:r>
        <w:rPr>
          <w:spacing w:val="-57"/>
        </w:rPr>
        <w:t> </w:t>
      </w:r>
      <w:r>
        <w:rPr/>
        <w:t>used for its chemical composition such as kaolin for use as a raw material to make</w:t>
      </w:r>
      <w:r>
        <w:rPr>
          <w:spacing w:val="1"/>
        </w:rPr>
        <w:t> </w:t>
      </w:r>
      <w:r>
        <w:rPr/>
        <w:t>fibreglass or clays and shales in the mix</w:t>
      </w:r>
      <w:r>
        <w:rPr>
          <w:spacing w:val="60"/>
        </w:rPr>
        <w:t> </w:t>
      </w:r>
      <w:r>
        <w:rPr/>
        <w:t>to make cement.</w:t>
      </w:r>
      <w:r>
        <w:rPr>
          <w:spacing w:val="60"/>
        </w:rPr>
        <w:t> </w:t>
      </w:r>
      <w:r>
        <w:rPr/>
        <w:t>For a particular clay to be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it must meet the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specification.</w:t>
      </w:r>
    </w:p>
    <w:p>
      <w:pPr>
        <w:pStyle w:val="BodyText"/>
        <w:spacing w:line="480" w:lineRule="auto" w:before="2"/>
        <w:ind w:left="445" w:right="673"/>
        <w:jc w:val="both"/>
      </w:pPr>
      <w:r>
        <w:rPr/>
        <w:t>The physical and chemical properties of particular clay minerals are dependent on the</w:t>
      </w:r>
      <w:r>
        <w:rPr>
          <w:spacing w:val="1"/>
        </w:rPr>
        <w:t> </w:t>
      </w:r>
      <w:r>
        <w:rPr/>
        <w:t>structure and composition of the clay and account for most differences in their 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(Omang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kaolin,</w:t>
      </w:r>
      <w:r>
        <w:rPr>
          <w:spacing w:val="1"/>
        </w:rPr>
        <w:t> </w:t>
      </w:r>
      <w:r>
        <w:rPr/>
        <w:t>smectites,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palygorskite–</w:t>
      </w:r>
      <w:r>
        <w:rPr>
          <w:spacing w:val="1"/>
        </w:rPr>
        <w:t> </w:t>
      </w:r>
      <w:r>
        <w:rPr/>
        <w:t>sepiolite are very different even though the fundamental building blocks, which are the</w:t>
      </w:r>
      <w:r>
        <w:rPr>
          <w:spacing w:val="1"/>
        </w:rPr>
        <w:t> </w:t>
      </w:r>
      <w:r>
        <w:rPr/>
        <w:t>tetrahedral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octahedral</w:t>
      </w:r>
      <w:r>
        <w:rPr>
          <w:spacing w:val="1"/>
        </w:rPr>
        <w:t> </w:t>
      </w:r>
      <w:r>
        <w:rPr/>
        <w:t>sheets,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similar.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octahedral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tetrahedral</w:t>
      </w:r>
      <w:r>
        <w:rPr>
          <w:spacing w:val="1"/>
        </w:rPr>
        <w:t> </w:t>
      </w:r>
      <w:r>
        <w:rPr/>
        <w:t>sheets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minor</w:t>
      </w:r>
      <w:r>
        <w:rPr>
          <w:spacing w:val="-57"/>
        </w:rPr>
        <w:t> </w:t>
      </w:r>
      <w:r>
        <w:rPr/>
        <w:t>differences in the physical and chemical properties that control the applications of a</w:t>
      </w:r>
      <w:r>
        <w:rPr>
          <w:spacing w:val="1"/>
        </w:rPr>
        <w:t> </w:t>
      </w:r>
      <w:r>
        <w:rPr/>
        <w:t>particular clay mineral (Murray, 2006). For this</w:t>
      </w:r>
      <w:r>
        <w:rPr>
          <w:spacing w:val="1"/>
        </w:rPr>
        <w:t> </w:t>
      </w:r>
      <w:r>
        <w:rPr/>
        <w:t>reason, understanding these properties</w:t>
      </w:r>
      <w:r>
        <w:rPr>
          <w:spacing w:val="1"/>
        </w:rPr>
        <w:t> </w:t>
      </w:r>
      <w:r>
        <w:rPr/>
        <w:t>of clay is of great importance as it provides valuable information on the selection 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clay in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(Semiz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Celik,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investigates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Kutigi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mineralogy</w:t>
      </w:r>
      <w:r>
        <w:rPr>
          <w:spacing w:val="-6"/>
        </w:rPr>
        <w:t> </w:t>
      </w:r>
      <w:r>
        <w:rPr/>
        <w:t>and chemical</w:t>
      </w:r>
      <w:r>
        <w:rPr>
          <w:spacing w:val="5"/>
        </w:rPr>
        <w:t> </w:t>
      </w:r>
      <w:r>
        <w:rPr/>
        <w:t>characteristics.</w:t>
      </w: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9" w:after="0"/>
        <w:ind w:left="1165" w:right="0" w:hanging="721"/>
        <w:jc w:val="both"/>
      </w:pPr>
      <w:bookmarkStart w:name="_TOC_250042" w:id="3"/>
      <w:r>
        <w:rPr/>
        <w:t>Formation of</w:t>
      </w:r>
      <w:r>
        <w:rPr>
          <w:spacing w:val="-2"/>
        </w:rPr>
        <w:t> </w:t>
      </w:r>
      <w:bookmarkEnd w:id="3"/>
      <w:r>
        <w:rPr/>
        <w:t>Clay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45" w:right="674"/>
        <w:jc w:val="both"/>
      </w:pPr>
      <w:r>
        <w:rPr/>
        <w:t>The understanding of the formation of clay mineral is important in that the properties of</w:t>
      </w:r>
      <w:r>
        <w:rPr>
          <w:spacing w:val="1"/>
        </w:rPr>
        <w:t> </w:t>
      </w:r>
      <w:r>
        <w:rPr/>
        <w:t>clay minerals are origin dependent (Murray, 2007). Clay minerals occur in weathering</w:t>
      </w:r>
      <w:r>
        <w:rPr>
          <w:spacing w:val="1"/>
        </w:rPr>
        <w:t> </w:t>
      </w:r>
      <w:r>
        <w:rPr/>
        <w:t>crusts and soils, continental and marine sediments, volcanic deposits, geothermal fields,</w:t>
      </w:r>
      <w:r>
        <w:rPr>
          <w:spacing w:val="1"/>
        </w:rPr>
        <w:t> </w:t>
      </w:r>
      <w:r>
        <w:rPr/>
        <w:t>altered</w:t>
      </w:r>
      <w:r>
        <w:rPr>
          <w:spacing w:val="25"/>
        </w:rPr>
        <w:t> </w:t>
      </w:r>
      <w:r>
        <w:rPr/>
        <w:t>wallrock</w:t>
      </w:r>
      <w:r>
        <w:rPr>
          <w:spacing w:val="28"/>
        </w:rPr>
        <w:t> </w:t>
      </w:r>
      <w:r>
        <w:rPr/>
        <w:t>produced</w:t>
      </w:r>
      <w:r>
        <w:rPr>
          <w:spacing w:val="28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28"/>
        </w:rPr>
        <w:t> </w:t>
      </w:r>
      <w:r>
        <w:rPr/>
        <w:t>intrusion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plutonic</w:t>
      </w:r>
      <w:r>
        <w:rPr>
          <w:spacing w:val="27"/>
        </w:rPr>
        <w:t> </w:t>
      </w:r>
      <w:r>
        <w:rPr/>
        <w:t>rocks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hydrothermal</w:t>
      </w:r>
      <w:r>
        <w:rPr>
          <w:spacing w:val="28"/>
        </w:rPr>
        <w:t> </w:t>
      </w:r>
      <w:r>
        <w:rPr/>
        <w:t>fluids,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right="226"/>
        <w:jc w:val="center"/>
      </w:pPr>
      <w:r>
        <w:rPr/>
        <w:t>3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2"/>
        <w:jc w:val="both"/>
      </w:pPr>
      <w:r>
        <w:rPr/>
        <w:t>and</w:t>
      </w:r>
      <w:r>
        <w:rPr>
          <w:spacing w:val="1"/>
        </w:rPr>
        <w:t> </w:t>
      </w:r>
      <w:r>
        <w:rPr/>
        <w:t>very low</w:t>
      </w:r>
      <w:r>
        <w:rPr>
          <w:spacing w:val="1"/>
        </w:rPr>
        <w:t> </w:t>
      </w:r>
      <w:r>
        <w:rPr/>
        <w:t>grade metamorphic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(Galan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different in the physical and physio-chemical properties of clay mineral formed in one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physio-chemical</w:t>
      </w:r>
      <w:r>
        <w:rPr>
          <w:spacing w:val="1"/>
        </w:rPr>
        <w:t> </w:t>
      </w:r>
      <w:r>
        <w:rPr/>
        <w:t>properties of a kaolin group mineral formed in one environment may be considerably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another.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hydrothermal,</w:t>
      </w:r>
      <w:r>
        <w:rPr>
          <w:spacing w:val="1"/>
        </w:rPr>
        <w:t> </w:t>
      </w:r>
      <w:r>
        <w:rPr/>
        <w:t>residual,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different,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origins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comparable</w:t>
      </w:r>
      <w:r>
        <w:rPr>
          <w:spacing w:val="-2"/>
        </w:rPr>
        <w:t> </w:t>
      </w:r>
      <w:r>
        <w:rPr/>
        <w:t>properties</w:t>
      </w:r>
      <w:r>
        <w:rPr>
          <w:spacing w:val="2"/>
        </w:rPr>
        <w:t> </w:t>
      </w:r>
      <w:r>
        <w:rPr/>
        <w:t>(Galan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1998).</w:t>
      </w:r>
    </w:p>
    <w:p>
      <w:pPr>
        <w:pStyle w:val="BodyText"/>
        <w:spacing w:line="480" w:lineRule="auto" w:before="2"/>
        <w:ind w:left="445" w:right="671"/>
        <w:jc w:val="both"/>
      </w:pPr>
      <w:r>
        <w:rPr/>
        <w:t>During weathering processes many common igneous and metamorphic rock-forming</w:t>
      </w:r>
      <w:r>
        <w:rPr>
          <w:spacing w:val="1"/>
        </w:rPr>
        <w:t> </w:t>
      </w:r>
      <w:r>
        <w:rPr/>
        <w:t>silicates are destroyed while minerals such as micas, quartz and some heavy minerals</w:t>
      </w:r>
      <w:r>
        <w:rPr>
          <w:spacing w:val="1"/>
        </w:rPr>
        <w:t> </w:t>
      </w:r>
      <w:r>
        <w:rPr/>
        <w:t>which are highly resistant to alteration in the soil forming environment are inherited</w:t>
      </w:r>
      <w:r>
        <w:rPr>
          <w:spacing w:val="1"/>
        </w:rPr>
        <w:t> </w:t>
      </w:r>
      <w:r>
        <w:rPr/>
        <w:t>directly, change in environmental condition such as solution composition allow the</w:t>
      </w:r>
      <w:r>
        <w:rPr>
          <w:spacing w:val="1"/>
        </w:rPr>
        <w:t> </w:t>
      </w:r>
      <w:r>
        <w:rPr/>
        <w:t>minerals to evolve by subtracting (degradation) or adding (aggradation) elements to</w:t>
      </w:r>
      <w:r>
        <w:rPr>
          <w:spacing w:val="1"/>
        </w:rPr>
        <w:t> </w:t>
      </w:r>
      <w:r>
        <w:rPr/>
        <w:t>exchangeable and structural positions (Galan </w:t>
      </w:r>
      <w:r>
        <w:rPr>
          <w:i/>
        </w:rPr>
        <w:t>et al</w:t>
      </w:r>
      <w:r>
        <w:rPr/>
        <w:t>., 2013). Subtraction (degradation)</w:t>
      </w:r>
      <w:r>
        <w:rPr>
          <w:spacing w:val="1"/>
        </w:rPr>
        <w:t> </w:t>
      </w:r>
      <w:r>
        <w:rPr/>
        <w:t>occurs during weathering and soil formation, subaqueous alteration (halmyrolysis), and</w:t>
      </w:r>
      <w:r>
        <w:rPr>
          <w:spacing w:val="1"/>
        </w:rPr>
        <w:t> </w:t>
      </w:r>
      <w:r>
        <w:rPr/>
        <w:t>degrading</w:t>
      </w:r>
      <w:r>
        <w:rPr>
          <w:spacing w:val="1"/>
        </w:rPr>
        <w:t> </w:t>
      </w:r>
      <w:r>
        <w:rPr/>
        <w:t>diagenesis.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(aggradation) occur in soils, during sedimentation, and during diagenesis</w:t>
      </w:r>
      <w:r>
        <w:rPr>
          <w:spacing w:val="60"/>
        </w:rPr>
        <w:t> </w:t>
      </w:r>
      <w:r>
        <w:rPr/>
        <w:t>(Bergaya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2006). Merriman (2005) stated that almost all of the common rock-forming minerals</w:t>
      </w:r>
      <w:r>
        <w:rPr>
          <w:spacing w:val="-57"/>
        </w:rPr>
        <w:t> </w:t>
      </w:r>
      <w:r>
        <w:rPr/>
        <w:t>are capable of forming clay minerals during weathering with exception of quartz; his</w:t>
      </w:r>
      <w:r>
        <w:rPr>
          <w:spacing w:val="1"/>
        </w:rPr>
        <w:t> </w:t>
      </w:r>
      <w:r>
        <w:rPr/>
        <w:t>clay cycle (Figure 1.1) illustrates the processes and pathways associated with recycling</w:t>
      </w:r>
      <w:r>
        <w:rPr>
          <w:spacing w:val="1"/>
        </w:rPr>
        <w:t> </w:t>
      </w:r>
      <w:r>
        <w:rPr/>
        <w:t>clay</w:t>
      </w:r>
      <w:r>
        <w:rPr>
          <w:spacing w:val="-9"/>
        </w:rPr>
        <w:t> </w:t>
      </w:r>
      <w:r>
        <w:rPr/>
        <w:t>minerals in the</w:t>
      </w:r>
      <w:r>
        <w:rPr>
          <w:spacing w:val="2"/>
        </w:rPr>
        <w:t> </w:t>
      </w:r>
      <w:r>
        <w:rPr/>
        <w:t>earth crust.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ind w:right="226"/>
        <w:jc w:val="center"/>
      </w:pPr>
      <w:r>
        <w:rPr/>
        <w:t>4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458"/>
        <w:rPr>
          <w:sz w:val="20"/>
        </w:rPr>
      </w:pPr>
      <w:r>
        <w:rPr>
          <w:sz w:val="20"/>
        </w:rPr>
        <w:pict>
          <v:group style="width:397.35pt;height:285.850pt;mso-position-horizontal-relative:char;mso-position-vertical-relative:line" coordorigin="0,0" coordsize="7947,5717">
            <v:shape style="position:absolute;left:493;top:149;width:7186;height:5403" type="#_x0000_t75" stroked="false">
              <v:imagedata r:id="rId7" o:title=""/>
            </v:shape>
            <v:rect style="position:absolute;left:15;top:15;width:7917;height:5687" filled="false" stroked="true" strokeweight="1.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45" w:lineRule="exact"/>
        <w:ind w:left="327" w:right="1398"/>
        <w:jc w:val="center"/>
      </w:pPr>
      <w:r>
        <w:rPr/>
        <w:t>Figure</w:t>
      </w:r>
      <w:r>
        <w:rPr>
          <w:spacing w:val="-4"/>
        </w:rPr>
        <w:t> </w:t>
      </w:r>
      <w:r>
        <w:rPr/>
        <w:t>1.1:</w:t>
      </w:r>
      <w:r>
        <w:rPr>
          <w:spacing w:val="-2"/>
        </w:rPr>
        <w:t> </w:t>
      </w:r>
      <w:r>
        <w:rPr/>
        <w:t>Tectonic</w:t>
      </w:r>
      <w:r>
        <w:rPr>
          <w:spacing w:val="-2"/>
        </w:rPr>
        <w:t> </w:t>
      </w:r>
      <w:r>
        <w:rPr/>
        <w:t>settings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recycling</w:t>
      </w:r>
    </w:p>
    <w:p>
      <w:pPr>
        <w:pStyle w:val="BodyText"/>
        <w:spacing w:before="41"/>
        <w:ind w:left="327" w:right="1444"/>
        <w:jc w:val="center"/>
      </w:pPr>
      <w:r>
        <w:rPr/>
        <w:t>Clay</w:t>
      </w:r>
      <w:r>
        <w:rPr>
          <w:spacing w:val="-1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(Merriman,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</w:pPr>
    </w:p>
    <w:p>
      <w:pPr>
        <w:pStyle w:val="BodyText"/>
        <w:spacing w:line="480" w:lineRule="auto"/>
        <w:ind w:left="445" w:right="673"/>
        <w:jc w:val="both"/>
      </w:pPr>
      <w:r>
        <w:rPr/>
        <w:t>Keller</w:t>
      </w:r>
      <w:r>
        <w:rPr>
          <w:spacing w:val="1"/>
        </w:rPr>
        <w:t> </w:t>
      </w:r>
      <w:r>
        <w:rPr/>
        <w:t>(1970)</w:t>
      </w:r>
      <w:r>
        <w:rPr>
          <w:spacing w:val="1"/>
        </w:rPr>
        <w:t> </w:t>
      </w:r>
      <w:r>
        <w:rPr/>
        <w:t>identify six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minerals:</w:t>
      </w:r>
      <w:r>
        <w:rPr>
          <w:spacing w:val="1"/>
        </w:rPr>
        <w:t> </w:t>
      </w:r>
      <w:r>
        <w:rPr/>
        <w:t>(1) crystallization</w:t>
      </w:r>
      <w:r>
        <w:rPr>
          <w:spacing w:val="2"/>
        </w:rPr>
        <w:t> </w:t>
      </w:r>
      <w:r>
        <w:rPr/>
        <w:t>from</w:t>
      </w:r>
      <w:r>
        <w:rPr>
          <w:spacing w:val="1"/>
        </w:rPr>
        <w:t> </w:t>
      </w:r>
      <w:r>
        <w:rPr/>
        <w:t>solution,</w:t>
      </w:r>
      <w:r>
        <w:rPr>
          <w:spacing w:val="3"/>
        </w:rPr>
        <w:t> </w:t>
      </w:r>
      <w:r>
        <w:rPr/>
        <w:t>equivalent;</w:t>
      </w:r>
      <w:r>
        <w:rPr>
          <w:spacing w:val="3"/>
        </w:rPr>
        <w:t> </w:t>
      </w:r>
      <w:r>
        <w:rPr/>
        <w:t>(2)</w:t>
      </w:r>
      <w:r>
        <w:rPr>
          <w:spacing w:val="-3"/>
        </w:rPr>
        <w:t> </w:t>
      </w:r>
      <w:r>
        <w:rPr/>
        <w:t>replacement</w:t>
      </w:r>
      <w:r>
        <w:rPr>
          <w:spacing w:val="4"/>
        </w:rPr>
        <w:t> </w:t>
      </w:r>
      <w:r>
        <w:rPr/>
        <w:t>by</w:t>
      </w:r>
      <w:r>
        <w:rPr>
          <w:spacing w:val="-5"/>
        </w:rPr>
        <w:t> </w:t>
      </w:r>
      <w:r>
        <w:rPr/>
        <w:t>clay</w:t>
      </w:r>
      <w:r>
        <w:rPr>
          <w:spacing w:val="-6"/>
        </w:rPr>
        <w:t> </w:t>
      </w:r>
      <w:r>
        <w:rPr/>
        <w:t>minerals;</w:t>
      </w:r>
    </w:p>
    <w:p>
      <w:pPr>
        <w:pStyle w:val="BodyText"/>
        <w:spacing w:line="477" w:lineRule="auto"/>
        <w:ind w:left="445" w:right="682"/>
        <w:jc w:val="both"/>
      </w:pPr>
      <w:r>
        <w:rPr/>
        <w:t>(3) weathering of silicate minerals and rocks (not clay minerals); (4) weathering of other</w:t>
      </w:r>
      <w:r>
        <w:rPr>
          <w:spacing w:val="-57"/>
        </w:rPr>
        <w:t> </w:t>
      </w:r>
      <w:r>
        <w:rPr/>
        <w:t>clay minerals; (5) diagenesis, reconstitution, and ion exchange; and (6) hydrothermal</w:t>
      </w:r>
      <w:r>
        <w:rPr>
          <w:spacing w:val="1"/>
        </w:rPr>
        <w:t> </w:t>
      </w:r>
      <w:r>
        <w:rPr/>
        <w:t>alteration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minerals</w:t>
      </w:r>
      <w:r>
        <w:rPr>
          <w:spacing w:val="2"/>
        </w:rPr>
        <w:t> </w:t>
      </w:r>
      <w:r>
        <w:rPr/>
        <w:t>and rocks.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6" w:after="0"/>
        <w:ind w:left="1165" w:right="0" w:hanging="721"/>
        <w:jc w:val="both"/>
      </w:pPr>
      <w:bookmarkStart w:name="_TOC_250041" w:id="4"/>
      <w:bookmarkEnd w:id="4"/>
      <w:r>
        <w:rPr/>
        <w:t>Weathering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45" w:right="669"/>
        <w:jc w:val="both"/>
      </w:pPr>
      <w:r>
        <w:rPr/>
        <w:t>The physical disintegration and chemical decomposition at</w:t>
      </w:r>
      <w:r>
        <w:rPr>
          <w:spacing w:val="60"/>
        </w:rPr>
        <w:t> </w:t>
      </w:r>
      <w:r>
        <w:rPr/>
        <w:t>-5</w:t>
      </w:r>
      <w:r>
        <w:rPr>
          <w:rFonts w:ascii="Symbol" w:hAnsi="Symbol"/>
        </w:rPr>
        <w:t></w:t>
      </w:r>
      <w:r>
        <w:rPr/>
        <w:t>C </w:t>
      </w:r>
      <w:r>
        <w:rPr>
          <w:rFonts w:ascii="Symbol" w:hAnsi="Symbol"/>
        </w:rPr>
        <w:t></w:t>
      </w:r>
      <w:r>
        <w:rPr/>
        <w:t> T </w:t>
      </w:r>
      <w:r>
        <w:rPr>
          <w:rFonts w:ascii="Symbol" w:hAnsi="Symbol"/>
        </w:rPr>
        <w:t></w:t>
      </w:r>
      <w:r>
        <w:rPr/>
        <w:t> 25</w:t>
      </w:r>
      <w:r>
        <w:rPr>
          <w:rFonts w:ascii="Symbol" w:hAnsi="Symbol"/>
        </w:rPr>
        <w:t></w:t>
      </w:r>
      <w:r>
        <w:rPr/>
        <w:t>C, leads to</w:t>
      </w:r>
      <w:r>
        <w:rPr>
          <w:spacing w:val="1"/>
        </w:rPr>
        <w:t> </w:t>
      </w:r>
      <w:r>
        <w:rPr/>
        <w:t>the transformation of original rock-forming minerals into clay minerals and soluble</w:t>
      </w:r>
      <w:r>
        <w:rPr>
          <w:spacing w:val="1"/>
        </w:rPr>
        <w:t> </w:t>
      </w:r>
      <w:r>
        <w:rPr/>
        <w:t>elements</w:t>
      </w:r>
      <w:r>
        <w:rPr>
          <w:spacing w:val="47"/>
        </w:rPr>
        <w:t> </w:t>
      </w:r>
      <w:r>
        <w:rPr/>
        <w:t>(Merriman,</w:t>
      </w:r>
      <w:r>
        <w:rPr>
          <w:spacing w:val="45"/>
        </w:rPr>
        <w:t> </w:t>
      </w:r>
      <w:r>
        <w:rPr/>
        <w:t>2005).</w:t>
      </w:r>
      <w:r>
        <w:rPr>
          <w:spacing w:val="44"/>
        </w:rPr>
        <w:t> </w:t>
      </w:r>
      <w:r>
        <w:rPr/>
        <w:t>Primary</w:t>
      </w:r>
      <w:r>
        <w:rPr>
          <w:spacing w:val="37"/>
        </w:rPr>
        <w:t> </w:t>
      </w:r>
      <w:r>
        <w:rPr/>
        <w:t>factors</w:t>
      </w:r>
      <w:r>
        <w:rPr>
          <w:spacing w:val="45"/>
        </w:rPr>
        <w:t> </w:t>
      </w:r>
      <w:r>
        <w:rPr/>
        <w:t>that</w:t>
      </w:r>
      <w:r>
        <w:rPr>
          <w:spacing w:val="45"/>
        </w:rPr>
        <w:t> </w:t>
      </w:r>
      <w:r>
        <w:rPr/>
        <w:t>influence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transformation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-58"/>
        </w:rPr>
        <w:t> </w:t>
      </w:r>
      <w:r>
        <w:rPr/>
        <w:t>rock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type,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(rainfall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temperature), time,</w:t>
      </w:r>
      <w:r>
        <w:rPr>
          <w:spacing w:val="1"/>
        </w:rPr>
        <w:t> </w:t>
      </w:r>
      <w:r>
        <w:rPr/>
        <w:t>topography (affecting the water and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drainage),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organisms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organic matter</w:t>
      </w:r>
      <w:r>
        <w:rPr>
          <w:spacing w:val="3"/>
        </w:rPr>
        <w:t> </w:t>
      </w:r>
      <w:r>
        <w:rPr/>
        <w:t>(Galan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Ferell,</w:t>
      </w:r>
      <w:r>
        <w:rPr>
          <w:spacing w:val="4"/>
        </w:rPr>
        <w:t> </w:t>
      </w:r>
      <w:r>
        <w:rPr/>
        <w:t>2013),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</w:t>
      </w:r>
    </w:p>
    <w:p>
      <w:pPr>
        <w:pStyle w:val="BodyText"/>
        <w:spacing w:line="396" w:lineRule="auto"/>
        <w:ind w:left="4639" w:right="683" w:hanging="4194"/>
        <w:jc w:val="both"/>
      </w:pPr>
      <w:r>
        <w:rPr/>
        <w:t>sectite</w:t>
      </w:r>
      <w:r>
        <w:rPr>
          <w:spacing w:val="45"/>
        </w:rPr>
        <w:t> </w:t>
      </w:r>
      <w:r>
        <w:rPr/>
        <w:t>is</w:t>
      </w:r>
      <w:r>
        <w:rPr>
          <w:spacing w:val="47"/>
        </w:rPr>
        <w:t> </w:t>
      </w:r>
      <w:r>
        <w:rPr/>
        <w:t>most</w:t>
      </w:r>
      <w:r>
        <w:rPr>
          <w:spacing w:val="47"/>
        </w:rPr>
        <w:t> </w:t>
      </w:r>
      <w:r>
        <w:rPr/>
        <w:t>likely</w:t>
      </w:r>
      <w:r>
        <w:rPr>
          <w:spacing w:val="32"/>
        </w:rPr>
        <w:t> </w:t>
      </w:r>
      <w:r>
        <w:rPr/>
        <w:t>to</w:t>
      </w:r>
      <w:r>
        <w:rPr>
          <w:spacing w:val="48"/>
        </w:rPr>
        <w:t> </w:t>
      </w:r>
      <w:r>
        <w:rPr/>
        <w:t>form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acidic</w:t>
      </w:r>
      <w:r>
        <w:rPr>
          <w:spacing w:val="45"/>
        </w:rPr>
        <w:t> </w:t>
      </w:r>
      <w:r>
        <w:rPr/>
        <w:t>and</w:t>
      </w:r>
      <w:r>
        <w:rPr>
          <w:spacing w:val="51"/>
        </w:rPr>
        <w:t> </w:t>
      </w:r>
      <w:r>
        <w:rPr/>
        <w:t>basic</w:t>
      </w:r>
      <w:r>
        <w:rPr>
          <w:spacing w:val="46"/>
        </w:rPr>
        <w:t> </w:t>
      </w:r>
      <w:r>
        <w:rPr/>
        <w:t>igneous</w:t>
      </w:r>
      <w:r>
        <w:rPr>
          <w:spacing w:val="46"/>
        </w:rPr>
        <w:t> </w:t>
      </w:r>
      <w:r>
        <w:rPr/>
        <w:t>parent</w:t>
      </w:r>
      <w:r>
        <w:rPr>
          <w:spacing w:val="47"/>
        </w:rPr>
        <w:t> </w:t>
      </w:r>
      <w:r>
        <w:rPr/>
        <w:t>rocks</w:t>
      </w:r>
      <w:r>
        <w:rPr>
          <w:spacing w:val="47"/>
        </w:rPr>
        <w:t> </w:t>
      </w:r>
      <w:r>
        <w:rPr/>
        <w:t>when</w:t>
      </w:r>
      <w:r>
        <w:rPr>
          <w:spacing w:val="47"/>
        </w:rPr>
        <w:t> </w:t>
      </w:r>
      <w:r>
        <w:rPr/>
        <w:t>the</w:t>
      </w:r>
      <w:r>
        <w:rPr>
          <w:spacing w:val="-58"/>
        </w:rPr>
        <w:t> </w:t>
      </w:r>
      <w:r>
        <w:rPr/>
        <w:t>5</w:t>
      </w:r>
    </w:p>
    <w:p>
      <w:pPr>
        <w:spacing w:after="0" w:line="396" w:lineRule="auto"/>
        <w:jc w:val="both"/>
        <w:sectPr>
          <w:pgSz w:w="11910" w:h="16840"/>
          <w:pgMar w:header="0" w:footer="294" w:top="1580" w:bottom="480" w:left="1540" w:right="740"/>
        </w:sectPr>
      </w:pPr>
    </w:p>
    <w:p>
      <w:pPr>
        <w:pStyle w:val="BodyText"/>
        <w:spacing w:line="480" w:lineRule="auto" w:before="64"/>
        <w:ind w:left="445" w:right="672"/>
        <w:jc w:val="both"/>
      </w:pPr>
      <w:r>
        <w:rPr/>
        <w:t>annual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kaolinite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abundant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high.</w:t>
      </w:r>
      <w:r>
        <w:rPr>
          <w:spacing w:val="1"/>
        </w:rPr>
        <w:t> </w:t>
      </w:r>
      <w:r>
        <w:rPr/>
        <w:t>Abundant K</w:t>
      </w:r>
      <w:r>
        <w:rPr>
          <w:vertAlign w:val="superscript"/>
        </w:rPr>
        <w:t>+</w:t>
      </w:r>
      <w:r>
        <w:rPr>
          <w:vertAlign w:val="baseline"/>
        </w:rPr>
        <w:t> and Al</w:t>
      </w:r>
      <w:r>
        <w:rPr>
          <w:vertAlign w:val="superscript"/>
        </w:rPr>
        <w:t>3+</w:t>
      </w:r>
      <w:r>
        <w:rPr>
          <w:vertAlign w:val="baseline"/>
        </w:rPr>
        <w:t> in a granitic terrane favour the formation of illite in climates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moderate rainfall while Illite may not form in regions of basic igneous rocks. In areas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high rainfall, the alteration suite is dominated by mixtures of kaolinite and halloysite</w:t>
      </w:r>
      <w:r>
        <w:rPr>
          <w:spacing w:val="1"/>
          <w:vertAlign w:val="baseline"/>
        </w:rPr>
        <w:t> </w:t>
      </w:r>
      <w:r>
        <w:rPr>
          <w:vertAlign w:val="baseline"/>
        </w:rPr>
        <w:t>with vermiculite and gibbsite. This relationship was derived from a study of califomia</w:t>
      </w:r>
      <w:r>
        <w:rPr>
          <w:spacing w:val="1"/>
          <w:vertAlign w:val="baseline"/>
        </w:rPr>
        <w:t> </w:t>
      </w:r>
      <w:r>
        <w:rPr>
          <w:vertAlign w:val="baseline"/>
        </w:rPr>
        <w:t>soils</w:t>
      </w:r>
      <w:r>
        <w:rPr>
          <w:spacing w:val="-1"/>
          <w:vertAlign w:val="baseline"/>
        </w:rPr>
        <w:t> </w:t>
      </w:r>
      <w:r>
        <w:rPr>
          <w:vertAlign w:val="baseline"/>
        </w:rPr>
        <w:t>(Barshad, 1966).</w:t>
      </w:r>
    </w:p>
    <w:p>
      <w:pPr>
        <w:pStyle w:val="BodyText"/>
        <w:spacing w:line="480" w:lineRule="auto" w:before="1"/>
        <w:ind w:left="445" w:right="674"/>
        <w:jc w:val="both"/>
      </w:pPr>
      <w:r>
        <w:rPr/>
        <w:t>During weathering, most clay minerals formed by incongruent dissolution of unstable</w:t>
      </w:r>
      <w:r>
        <w:rPr>
          <w:spacing w:val="1"/>
        </w:rPr>
        <w:t> </w:t>
      </w:r>
      <w:r>
        <w:rPr/>
        <w:t>silicates. Reaction of the unstable minerals with less soluble compounds can produce</w:t>
      </w:r>
      <w:r>
        <w:rPr>
          <w:spacing w:val="1"/>
        </w:rPr>
        <w:t> </w:t>
      </w:r>
      <w:r>
        <w:rPr/>
        <w:t>new clay minerals by transformation. Direct precipitation from solution can also give</w:t>
      </w:r>
      <w:r>
        <w:rPr>
          <w:spacing w:val="1"/>
        </w:rPr>
        <w:t> </w:t>
      </w:r>
      <w:r>
        <w:rPr/>
        <w:t>rise to new formed clay minerals with compositions that are very different from those of</w:t>
      </w:r>
      <w:r>
        <w:rPr>
          <w:spacing w:val="-57"/>
        </w:rPr>
        <w:t> </w:t>
      </w:r>
      <w:r>
        <w:rPr/>
        <w:t>the (dissolved) parent minerals by incongruent precipitation. Extensive leaching may</w:t>
      </w:r>
      <w:r>
        <w:rPr>
          <w:spacing w:val="1"/>
        </w:rPr>
        <w:t> </w:t>
      </w:r>
      <w:r>
        <w:rPr/>
        <w:t>promote the formation of simple oxides and flush away most alkali and alkaline earth</w:t>
      </w:r>
      <w:r>
        <w:rPr>
          <w:spacing w:val="1"/>
        </w:rPr>
        <w:t> </w:t>
      </w:r>
      <w:r>
        <w:rPr/>
        <w:t>ions.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weathered rock</w:t>
      </w:r>
      <w:r>
        <w:rPr>
          <w:spacing w:val="1"/>
        </w:rPr>
        <w:t> </w:t>
      </w:r>
      <w:r>
        <w:rPr/>
        <w:t>may contain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minerals,</w:t>
      </w:r>
      <w:r>
        <w:rPr>
          <w:spacing w:val="1"/>
        </w:rPr>
        <w:t> </w:t>
      </w:r>
      <w:r>
        <w:rPr/>
        <w:t>amorphous substances, ions in solution, or newly formed minerals, depending on the</w:t>
      </w:r>
      <w:r>
        <w:rPr>
          <w:spacing w:val="1"/>
        </w:rPr>
        <w:t> </w:t>
      </w:r>
      <w:r>
        <w:rPr/>
        <w:t>degree of hydrolysis and the saturation state of minerals in the soil solution thus most</w:t>
      </w:r>
      <w:r>
        <w:rPr>
          <w:spacing w:val="1"/>
        </w:rPr>
        <w:t> </w:t>
      </w:r>
      <w:r>
        <w:rPr/>
        <w:t>clay contain inherited clay minerals (Galan and Ferell, 2013). Feldspars in rocks are</w:t>
      </w:r>
      <w:r>
        <w:rPr>
          <w:spacing w:val="1"/>
        </w:rPr>
        <w:t> </w:t>
      </w:r>
      <w:r>
        <w:rPr/>
        <w:t>usually</w:t>
      </w:r>
      <w:r>
        <w:rPr>
          <w:spacing w:val="-8"/>
        </w:rPr>
        <w:t> </w:t>
      </w:r>
      <w:r>
        <w:rPr/>
        <w:t>weathered 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clay</w:t>
      </w:r>
      <w:r>
        <w:rPr>
          <w:spacing w:val="-8"/>
        </w:rPr>
        <w:t> </w:t>
      </w:r>
      <w:r>
        <w:rPr/>
        <w:t>mineral as</w:t>
      </w:r>
      <w:r>
        <w:rPr>
          <w:spacing w:val="2"/>
        </w:rPr>
        <w:t> </w:t>
      </w:r>
      <w:r>
        <w:rPr/>
        <w:t>show in equation 2.1</w:t>
      </w:r>
    </w:p>
    <w:p>
      <w:pPr>
        <w:pStyle w:val="Heading1"/>
        <w:tabs>
          <w:tab w:pos="8477" w:val="right" w:leader="hyphen"/>
        </w:tabs>
        <w:spacing w:before="4"/>
        <w:ind w:left="445" w:firstLine="0"/>
        <w:rPr>
          <w:b w:val="0"/>
        </w:rPr>
      </w:pPr>
      <w:r>
        <w:rPr>
          <w:spacing w:val="-1"/>
        </w:rPr>
        <w:t>4KAlSi</w:t>
      </w:r>
      <w:r>
        <w:rPr>
          <w:spacing w:val="-1"/>
          <w:vertAlign w:val="subscript"/>
        </w:rPr>
        <w:t>3</w:t>
      </w:r>
      <w:r>
        <w:rPr>
          <w:spacing w:val="-1"/>
          <w:vertAlign w:val="baseline"/>
        </w:rPr>
        <w:t>O</w:t>
      </w:r>
      <w:r>
        <w:rPr>
          <w:spacing w:val="-1"/>
          <w:vertAlign w:val="subscript"/>
        </w:rPr>
        <w:t>8</w:t>
      </w:r>
      <w:r>
        <w:rPr>
          <w:spacing w:val="61"/>
          <w:vertAlign w:val="baseline"/>
        </w:rPr>
        <w:t> </w:t>
      </w:r>
      <w:r>
        <w:rPr>
          <w:vertAlign w:val="baseline"/>
        </w:rPr>
        <w:t>+   4H</w:t>
      </w:r>
      <w:r>
        <w:rPr>
          <w:vertAlign w:val="superscript"/>
        </w:rPr>
        <w:t>+</w:t>
      </w:r>
      <w:r>
        <w:rPr>
          <w:spacing w:val="103"/>
          <w:vertAlign w:val="baseline"/>
        </w:rPr>
        <w:t> </w:t>
      </w:r>
      <w:r>
        <w:rPr>
          <w:vertAlign w:val="baseline"/>
        </w:rPr>
        <w:t>+</w:t>
      </w:r>
      <w:r>
        <w:rPr>
          <w:spacing w:val="52"/>
          <w:vertAlign w:val="baseline"/>
        </w:rPr>
        <w:t> </w:t>
      </w:r>
      <w:r>
        <w:rPr>
          <w:vertAlign w:val="baseline"/>
        </w:rPr>
        <w:t>2H</w:t>
      </w:r>
      <w:r>
        <w:rPr>
          <w:vertAlign w:val="subscript"/>
        </w:rPr>
        <w:t>2</w:t>
      </w:r>
      <w:r>
        <w:rPr>
          <w:vertAlign w:val="baseline"/>
        </w:rPr>
        <w:t>O   →   </w:t>
      </w:r>
      <w:r>
        <w:rPr>
          <w:spacing w:val="3"/>
          <w:vertAlign w:val="baseline"/>
        </w:rPr>
        <w:t> </w:t>
      </w:r>
      <w:r>
        <w:rPr>
          <w:vertAlign w:val="baseline"/>
        </w:rPr>
        <w:t>4K</w:t>
      </w:r>
      <w:r>
        <w:rPr>
          <w:vertAlign w:val="superscript"/>
        </w:rPr>
        <w:t>+</w:t>
      </w:r>
      <w:r>
        <w:rPr>
          <w:vertAlign w:val="baseline"/>
        </w:rPr>
        <w:t>   </w:t>
      </w:r>
      <w:r>
        <w:rPr>
          <w:spacing w:val="5"/>
          <w:vertAlign w:val="baseline"/>
        </w:rPr>
        <w:t> </w:t>
      </w:r>
      <w:r>
        <w:rPr>
          <w:vertAlign w:val="baseline"/>
        </w:rPr>
        <w:t>+   Al</w:t>
      </w:r>
      <w:r>
        <w:rPr>
          <w:vertAlign w:val="subscript"/>
        </w:rPr>
        <w:t>4</w:t>
      </w:r>
      <w:r>
        <w:rPr>
          <w:vertAlign w:val="baseline"/>
        </w:rPr>
        <w:t>Si</w:t>
      </w:r>
      <w:r>
        <w:rPr>
          <w:vertAlign w:val="subscript"/>
        </w:rPr>
        <w:t>4</w:t>
      </w:r>
      <w:r>
        <w:rPr>
          <w:vertAlign w:val="baseline"/>
        </w:rPr>
        <w:t>O</w:t>
      </w:r>
      <w:r>
        <w:rPr>
          <w:vertAlign w:val="subscript"/>
        </w:rPr>
        <w:t>10</w:t>
      </w:r>
      <w:r>
        <w:rPr>
          <w:spacing w:val="-18"/>
          <w:vertAlign w:val="baseline"/>
        </w:rPr>
        <w:t> </w:t>
      </w:r>
      <w:r>
        <w:rPr>
          <w:vertAlign w:val="baseline"/>
        </w:rPr>
        <w:t>(OH)</w:t>
      </w:r>
      <w:r>
        <w:rPr>
          <w:vertAlign w:val="subscript"/>
        </w:rPr>
        <w:t>8</w:t>
      </w:r>
      <w:r>
        <w:rPr>
          <w:spacing w:val="61"/>
          <w:vertAlign w:val="baseline"/>
        </w:rPr>
        <w:t> </w:t>
      </w:r>
      <w:r>
        <w:rPr>
          <w:vertAlign w:val="baseline"/>
        </w:rPr>
        <w:t>+  </w:t>
      </w:r>
      <w:r>
        <w:rPr>
          <w:spacing w:val="37"/>
          <w:vertAlign w:val="baseline"/>
        </w:rPr>
        <w:t> </w:t>
      </w:r>
      <w:r>
        <w:rPr>
          <w:vertAlign w:val="baseline"/>
        </w:rPr>
        <w:t>8SiO</w:t>
      </w:r>
      <w:r>
        <w:rPr>
          <w:vertAlign w:val="subscript"/>
        </w:rPr>
        <w:t>2</w:t>
      </w:r>
      <w:r>
        <w:rPr>
          <w:position w:val="-2"/>
          <w:vertAlign w:val="baseline"/>
        </w:rPr>
        <w:tab/>
      </w:r>
      <w:r>
        <w:rPr>
          <w:b w:val="0"/>
          <w:vertAlign w:val="baseline"/>
        </w:rPr>
        <w:t>2.1</w:t>
      </w:r>
    </w:p>
    <w:p>
      <w:pPr>
        <w:spacing w:before="278"/>
        <w:ind w:left="445" w:right="0" w:firstLine="0"/>
        <w:jc w:val="both"/>
        <w:rPr>
          <w:b/>
          <w:sz w:val="24"/>
        </w:rPr>
      </w:pPr>
      <w:r>
        <w:rPr>
          <w:b/>
          <w:sz w:val="24"/>
        </w:rPr>
        <w:t>Feldspar        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Hydrogen    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water     </w:t>
      </w:r>
      <w:r>
        <w:rPr>
          <w:b/>
          <w:spacing w:val="34"/>
          <w:sz w:val="24"/>
        </w:rPr>
        <w:t> </w:t>
      </w:r>
      <w:r>
        <w:rPr>
          <w:b/>
          <w:sz w:val="24"/>
        </w:rPr>
        <w:t>Potassium  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Kaolinite      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quartz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0" w:after="0"/>
        <w:ind w:left="1165" w:right="0" w:hanging="721"/>
        <w:jc w:val="both"/>
      </w:pPr>
      <w:bookmarkStart w:name="_TOC_250040" w:id="5"/>
      <w:r>
        <w:rPr/>
        <w:t>Distribution</w:t>
      </w:r>
      <w:r>
        <w:rPr>
          <w:spacing w:val="-2"/>
        </w:rPr>
        <w:t> </w:t>
      </w:r>
      <w:r>
        <w:rPr/>
        <w:t>of Clay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bookmarkEnd w:id="5"/>
      <w:r>
        <w:rPr/>
        <w:t>Nigeria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45" w:right="672"/>
        <w:jc w:val="both"/>
      </w:pPr>
      <w:r>
        <w:rPr/>
        <w:t>Clay</w:t>
      </w:r>
      <w:r>
        <w:rPr>
          <w:spacing w:val="18"/>
        </w:rPr>
        <w:t> </w:t>
      </w:r>
      <w:r>
        <w:rPr/>
        <w:t>has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wide</w:t>
      </w:r>
      <w:r>
        <w:rPr>
          <w:spacing w:val="28"/>
        </w:rPr>
        <w:t> </w:t>
      </w:r>
      <w:r>
        <w:rPr/>
        <w:t>spread</w:t>
      </w:r>
      <w:r>
        <w:rPr>
          <w:spacing w:val="31"/>
        </w:rPr>
        <w:t> </w:t>
      </w:r>
      <w:r>
        <w:rPr/>
        <w:t>occurrence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world,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Nigeria</w:t>
      </w:r>
      <w:r>
        <w:rPr>
          <w:spacing w:val="24"/>
        </w:rPr>
        <w:t> </w:t>
      </w:r>
      <w:r>
        <w:rPr/>
        <w:t>clay</w:t>
      </w:r>
      <w:r>
        <w:rPr>
          <w:spacing w:val="19"/>
        </w:rPr>
        <w:t> </w:t>
      </w:r>
      <w:r>
        <w:rPr/>
        <w:t>is</w:t>
      </w:r>
      <w:r>
        <w:rPr>
          <w:spacing w:val="27"/>
        </w:rPr>
        <w:t> </w:t>
      </w:r>
      <w:r>
        <w:rPr/>
        <w:t>widely</w:t>
      </w:r>
      <w:r>
        <w:rPr>
          <w:spacing w:val="24"/>
        </w:rPr>
        <w:t> </w:t>
      </w:r>
      <w:r>
        <w:rPr/>
        <w:t>distributed</w:t>
      </w:r>
      <w:r>
        <w:rPr>
          <w:spacing w:val="-58"/>
        </w:rPr>
        <w:t> </w:t>
      </w:r>
      <w:r>
        <w:rPr/>
        <w:t>and occurs both as residual and sedimentary clay. More than 80 clay deposits have 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(Akhirevbulu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Ogunbajo,</w:t>
      </w:r>
      <w:r>
        <w:rPr>
          <w:spacing w:val="1"/>
        </w:rPr>
        <w:t> </w:t>
      </w:r>
      <w:r>
        <w:rPr/>
        <w:t>2011),</w:t>
      </w:r>
      <w:r>
        <w:rPr>
          <w:spacing w:val="60"/>
        </w:rPr>
        <w:t> </w:t>
      </w:r>
      <w:r>
        <w:rPr/>
        <w:t>having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(Kefas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Consequently,</w:t>
      </w:r>
      <w:r>
        <w:rPr>
          <w:spacing w:val="16"/>
        </w:rPr>
        <w:t> </w:t>
      </w:r>
      <w:r>
        <w:rPr/>
        <w:t>such</w:t>
      </w:r>
      <w:r>
        <w:rPr>
          <w:spacing w:val="18"/>
        </w:rPr>
        <w:t> </w:t>
      </w:r>
      <w:r>
        <w:rPr/>
        <w:t>clays</w:t>
      </w:r>
      <w:r>
        <w:rPr>
          <w:spacing w:val="17"/>
        </w:rPr>
        <w:t> </w:t>
      </w:r>
      <w:r>
        <w:rPr/>
        <w:t>as</w:t>
      </w:r>
      <w:r>
        <w:rPr>
          <w:spacing w:val="17"/>
        </w:rPr>
        <w:t> </w:t>
      </w:r>
      <w:r>
        <w:rPr/>
        <w:t>Azare</w:t>
      </w:r>
      <w:r>
        <w:rPr>
          <w:spacing w:val="15"/>
        </w:rPr>
        <w:t> </w:t>
      </w:r>
      <w:r>
        <w:rPr/>
        <w:t>clay,</w:t>
      </w:r>
      <w:r>
        <w:rPr>
          <w:spacing w:val="17"/>
        </w:rPr>
        <w:t> </w:t>
      </w:r>
      <w:r>
        <w:rPr/>
        <w:t>Amire</w:t>
      </w:r>
      <w:r>
        <w:rPr>
          <w:spacing w:val="16"/>
        </w:rPr>
        <w:t> </w:t>
      </w:r>
      <w:r>
        <w:rPr/>
        <w:t>clay,</w:t>
      </w:r>
      <w:r>
        <w:rPr>
          <w:spacing w:val="16"/>
        </w:rPr>
        <w:t> </w:t>
      </w:r>
      <w:r>
        <w:rPr/>
        <w:t>Dura</w:t>
      </w:r>
      <w:r>
        <w:rPr>
          <w:spacing w:val="13"/>
        </w:rPr>
        <w:t> </w:t>
      </w:r>
      <w:r>
        <w:rPr/>
        <w:t>clay,</w:t>
      </w:r>
      <w:r>
        <w:rPr>
          <w:spacing w:val="19"/>
        </w:rPr>
        <w:t> </w:t>
      </w:r>
      <w:r>
        <w:rPr/>
        <w:t>Nsu</w:t>
      </w:r>
      <w:r>
        <w:rPr>
          <w:spacing w:val="19"/>
        </w:rPr>
        <w:t> </w:t>
      </w:r>
      <w:r>
        <w:rPr/>
        <w:t>clay,</w:t>
      </w:r>
      <w:r>
        <w:rPr>
          <w:spacing w:val="19"/>
        </w:rPr>
        <w:t> </w:t>
      </w:r>
      <w:r>
        <w:rPr/>
        <w:t>Ukpor</w:t>
      </w:r>
      <w:r>
        <w:rPr>
          <w:spacing w:val="16"/>
        </w:rPr>
        <w:t> </w:t>
      </w:r>
      <w:r>
        <w:rPr/>
        <w:t>clay,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right="226"/>
        <w:jc w:val="center"/>
      </w:pPr>
      <w:r>
        <w:rPr/>
        <w:t>6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67"/>
        <w:jc w:val="both"/>
      </w:pPr>
      <w:r>
        <w:rPr/>
        <w:t>Enugu fireclay, Jos kaolin, Afuze clay, Usen clay, Uzalla clay, Kankara kaolin, and</w:t>
      </w:r>
      <w:r>
        <w:rPr>
          <w:spacing w:val="1"/>
        </w:rPr>
        <w:t> </w:t>
      </w:r>
      <w:r>
        <w:rPr/>
        <w:t>Getzo kaolin have been characterized and found useful applications for bricks, pottery</w:t>
      </w:r>
      <w:r>
        <w:rPr>
          <w:spacing w:val="1"/>
        </w:rPr>
        <w:t> </w:t>
      </w:r>
      <w:r>
        <w:rPr/>
        <w:t>and refractory uses (Benneth (2008), Omotoyinbo and Oluwole (2008) and Abuh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.(2014)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1260475</wp:posOffset>
            </wp:positionH>
            <wp:positionV relativeFrom="paragraph">
              <wp:posOffset>214613</wp:posOffset>
            </wp:positionV>
            <wp:extent cx="5017496" cy="3619500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496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085" w:right="1667" w:hanging="2041"/>
      </w:pPr>
      <w:r>
        <w:rPr/>
        <w:t>Figure 1.2: locations of some industrial clay mineral deposits in Nigeria</w:t>
      </w:r>
      <w:r>
        <w:rPr>
          <w:spacing w:val="-57"/>
        </w:rPr>
        <w:t> </w:t>
      </w:r>
      <w:r>
        <w:rPr/>
        <w:t>(Obaje </w:t>
      </w:r>
      <w:r>
        <w:rPr>
          <w:i/>
        </w:rPr>
        <w:t>et al., </w:t>
      </w:r>
      <w:r>
        <w:rPr/>
        <w:t>2019)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225" w:after="0"/>
        <w:ind w:left="1165" w:right="0" w:hanging="721"/>
        <w:jc w:val="both"/>
      </w:pPr>
      <w:bookmarkStart w:name="_TOC_250039" w:id="6"/>
      <w:r>
        <w:rPr/>
        <w:t>Properties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Clay</w:t>
      </w:r>
      <w:r>
        <w:rPr>
          <w:spacing w:val="-1"/>
        </w:rPr>
        <w:t> </w:t>
      </w:r>
      <w:bookmarkEnd w:id="6"/>
      <w:r>
        <w:rPr/>
        <w:t>Materials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445" w:right="678"/>
        <w:jc w:val="both"/>
      </w:pPr>
      <w:r>
        <w:rPr/>
        <w:t>The physicochemical properties of a particular clay mineral are largely dependent on its</w:t>
      </w:r>
      <w:r>
        <w:rPr>
          <w:spacing w:val="1"/>
        </w:rPr>
        <w:t> </w:t>
      </w:r>
      <w:r>
        <w:rPr/>
        <w:t>structure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composition.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structure</w:t>
      </w:r>
      <w:r>
        <w:rPr>
          <w:spacing w:val="9"/>
        </w:rPr>
        <w:t> </w:t>
      </w:r>
      <w:r>
        <w:rPr/>
        <w:t>and</w:t>
      </w:r>
      <w:r>
        <w:rPr>
          <w:spacing w:val="15"/>
        </w:rPr>
        <w:t> </w:t>
      </w:r>
      <w:r>
        <w:rPr/>
        <w:t>composition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major</w:t>
      </w:r>
      <w:r>
        <w:rPr>
          <w:spacing w:val="12"/>
        </w:rPr>
        <w:t> </w:t>
      </w:r>
      <w:r>
        <w:rPr/>
        <w:t>industrial</w:t>
      </w:r>
      <w:r>
        <w:rPr>
          <w:spacing w:val="13"/>
        </w:rPr>
        <w:t> </w:t>
      </w:r>
      <w:r>
        <w:rPr/>
        <w:t>clays,</w:t>
      </w:r>
    </w:p>
    <w:p>
      <w:pPr>
        <w:pStyle w:val="BodyText"/>
        <w:spacing w:line="480" w:lineRule="auto" w:before="1"/>
        <w:ind w:left="445" w:right="662"/>
        <w:jc w:val="both"/>
      </w:pPr>
      <w:r>
        <w:rPr/>
        <w:t>i.e. kaolins, smectites and illite are very different even though each is comprised of</w:t>
      </w:r>
      <w:r>
        <w:rPr>
          <w:spacing w:val="1"/>
        </w:rPr>
        <w:t> </w:t>
      </w:r>
      <w:r>
        <w:rPr/>
        <w:t>octahedral and tetrahedral sheets as their basic</w:t>
      </w:r>
      <w:r>
        <w:rPr>
          <w:spacing w:val="1"/>
        </w:rPr>
        <w:t> </w:t>
      </w:r>
      <w:r>
        <w:rPr/>
        <w:t>building blocks The octahedral and</w:t>
      </w:r>
      <w:r>
        <w:rPr>
          <w:spacing w:val="1"/>
        </w:rPr>
        <w:t> </w:t>
      </w:r>
      <w:r>
        <w:rPr/>
        <w:t>tetrahedral sheets arrangement and composition in various clay minerals account for the</w:t>
      </w:r>
      <w:r>
        <w:rPr>
          <w:spacing w:val="1"/>
        </w:rPr>
        <w:t> </w:t>
      </w:r>
      <w:r>
        <w:rPr/>
        <w:t>differences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their</w:t>
      </w:r>
      <w:r>
        <w:rPr>
          <w:spacing w:val="52"/>
        </w:rPr>
        <w:t> </w:t>
      </w:r>
      <w:r>
        <w:rPr/>
        <w:t>physical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chemical</w:t>
      </w:r>
      <w:r>
        <w:rPr>
          <w:spacing w:val="50"/>
        </w:rPr>
        <w:t> </w:t>
      </w:r>
      <w:r>
        <w:rPr/>
        <w:t>properties</w:t>
      </w:r>
      <w:r>
        <w:rPr>
          <w:spacing w:val="50"/>
        </w:rPr>
        <w:t> </w:t>
      </w:r>
      <w:r>
        <w:rPr/>
        <w:t>which</w:t>
      </w:r>
      <w:r>
        <w:rPr>
          <w:spacing w:val="51"/>
        </w:rPr>
        <w:t> </w:t>
      </w:r>
      <w:r>
        <w:rPr/>
        <w:t>contribute</w:t>
      </w:r>
      <w:r>
        <w:rPr>
          <w:spacing w:val="55"/>
        </w:rPr>
        <w:t> </w:t>
      </w:r>
      <w:r>
        <w:rPr/>
        <w:t>to</w:t>
      </w:r>
      <w:r>
        <w:rPr>
          <w:spacing w:val="50"/>
        </w:rPr>
        <w:t> </w:t>
      </w:r>
      <w:r>
        <w:rPr/>
        <w:t>most</w:t>
      </w:r>
      <w:r>
        <w:rPr>
          <w:spacing w:val="50"/>
        </w:rPr>
        <w:t> </w:t>
      </w:r>
      <w:r>
        <w:rPr/>
        <w:t>clay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pStyle w:val="BodyText"/>
        <w:ind w:right="226"/>
        <w:jc w:val="center"/>
      </w:pPr>
      <w:r>
        <w:rPr/>
        <w:t>7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77" w:lineRule="auto" w:before="64"/>
        <w:ind w:left="445" w:right="679"/>
        <w:jc w:val="both"/>
      </w:pPr>
      <w:r>
        <w:rPr/>
        <w:t>application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(Murray,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physicochemical</w:t>
      </w:r>
      <w:r>
        <w:rPr>
          <w:spacing w:val="60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application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clay</w:t>
      </w:r>
      <w:r>
        <w:rPr>
          <w:spacing w:val="-10"/>
        </w:rPr>
        <w:t> </w:t>
      </w:r>
      <w:r>
        <w:rPr/>
        <w:t>materials include:</w:t>
      </w:r>
    </w:p>
    <w:p>
      <w:pPr>
        <w:pStyle w:val="ListParagraph"/>
        <w:numPr>
          <w:ilvl w:val="1"/>
          <w:numId w:val="8"/>
        </w:numPr>
        <w:tabs>
          <w:tab w:pos="1885" w:val="left" w:leader="none"/>
          <w:tab w:pos="1886" w:val="left" w:leader="none"/>
        </w:tabs>
        <w:spacing w:line="240" w:lineRule="auto" w:before="4" w:after="0"/>
        <w:ind w:left="1885" w:right="0" w:hanging="1081"/>
        <w:jc w:val="left"/>
        <w:rPr>
          <w:sz w:val="24"/>
        </w:rPr>
      </w:pPr>
      <w:r>
        <w:rPr>
          <w:sz w:val="24"/>
        </w:rPr>
        <w:t>Plasticity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885" w:val="left" w:leader="none"/>
          <w:tab w:pos="1886" w:val="left" w:leader="none"/>
        </w:tabs>
        <w:spacing w:line="240" w:lineRule="auto" w:before="0" w:after="0"/>
        <w:ind w:left="1885" w:right="0" w:hanging="1081"/>
        <w:jc w:val="left"/>
        <w:rPr>
          <w:sz w:val="24"/>
        </w:rPr>
      </w:pPr>
      <w:r>
        <w:rPr>
          <w:sz w:val="24"/>
        </w:rPr>
        <w:t>Grit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885" w:val="left" w:leader="none"/>
          <w:tab w:pos="1886" w:val="left" w:leader="none"/>
        </w:tabs>
        <w:spacing w:line="240" w:lineRule="auto" w:before="0" w:after="0"/>
        <w:ind w:left="1885" w:right="0" w:hanging="1081"/>
        <w:jc w:val="left"/>
        <w:rPr>
          <w:sz w:val="24"/>
        </w:rPr>
      </w:pPr>
      <w:r>
        <w:rPr>
          <w:sz w:val="24"/>
        </w:rPr>
        <w:t>Conductivity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885" w:val="left" w:leader="none"/>
          <w:tab w:pos="1886" w:val="left" w:leader="none"/>
        </w:tabs>
        <w:spacing w:line="240" w:lineRule="auto" w:before="0" w:after="0"/>
        <w:ind w:left="1885" w:right="0" w:hanging="1081"/>
        <w:jc w:val="left"/>
        <w:rPr>
          <w:sz w:val="24"/>
        </w:rPr>
      </w:pPr>
      <w:r>
        <w:rPr>
          <w:sz w:val="24"/>
        </w:rPr>
        <w:t>Particle</w:t>
      </w:r>
      <w:r>
        <w:rPr>
          <w:spacing w:val="-2"/>
          <w:sz w:val="24"/>
        </w:rPr>
        <w:t> </w:t>
      </w:r>
      <w:r>
        <w:rPr>
          <w:sz w:val="24"/>
        </w:rPr>
        <w:t>size,</w:t>
      </w:r>
      <w:r>
        <w:rPr>
          <w:spacing w:val="-2"/>
          <w:sz w:val="24"/>
        </w:rPr>
        <w:t> </w:t>
      </w:r>
      <w:r>
        <w:rPr>
          <w:sz w:val="24"/>
        </w:rPr>
        <w:t>shape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8"/>
        </w:numPr>
        <w:tabs>
          <w:tab w:pos="1885" w:val="left" w:leader="none"/>
          <w:tab w:pos="1886" w:val="left" w:leader="none"/>
        </w:tabs>
        <w:spacing w:line="240" w:lineRule="auto" w:before="1" w:after="0"/>
        <w:ind w:left="1885" w:right="0" w:hanging="1081"/>
        <w:jc w:val="left"/>
        <w:rPr>
          <w:sz w:val="24"/>
        </w:rPr>
      </w:pPr>
      <w:r>
        <w:rPr>
          <w:sz w:val="24"/>
        </w:rPr>
        <w:t>Mineralogy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885" w:val="left" w:leader="none"/>
          <w:tab w:pos="1886" w:val="left" w:leader="none"/>
        </w:tabs>
        <w:spacing w:line="240" w:lineRule="auto" w:before="0" w:after="0"/>
        <w:ind w:left="1885" w:right="0" w:hanging="1081"/>
        <w:jc w:val="left"/>
        <w:rPr>
          <w:sz w:val="24"/>
        </w:rPr>
      </w:pPr>
      <w:r>
        <w:rPr>
          <w:sz w:val="24"/>
        </w:rPr>
        <w:t>Chemistry</w:t>
      </w:r>
    </w:p>
    <w:p>
      <w:pPr>
        <w:pStyle w:val="BodyText"/>
      </w:pPr>
    </w:p>
    <w:p>
      <w:pPr>
        <w:pStyle w:val="ListParagraph"/>
        <w:numPr>
          <w:ilvl w:val="1"/>
          <w:numId w:val="8"/>
        </w:numPr>
        <w:tabs>
          <w:tab w:pos="1885" w:val="left" w:leader="none"/>
          <w:tab w:pos="1886" w:val="left" w:leader="none"/>
        </w:tabs>
        <w:spacing w:line="240" w:lineRule="auto" w:before="0" w:after="0"/>
        <w:ind w:left="1885" w:right="0" w:hanging="1081"/>
        <w:jc w:val="left"/>
        <w:rPr>
          <w:sz w:val="24"/>
        </w:rPr>
      </w:pPr>
      <w:r>
        <w:rPr>
          <w:sz w:val="24"/>
        </w:rPr>
        <w:t>Ion</w:t>
      </w:r>
      <w:r>
        <w:rPr>
          <w:spacing w:val="2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</w:p>
    <w:p>
      <w:pPr>
        <w:pStyle w:val="BodyText"/>
      </w:pPr>
    </w:p>
    <w:p>
      <w:pPr>
        <w:pStyle w:val="BodyText"/>
        <w:tabs>
          <w:tab w:pos="1885" w:val="left" w:leader="none"/>
        </w:tabs>
        <w:ind w:left="872"/>
      </w:pPr>
      <w:r>
        <w:rPr/>
        <w:t>(i)</w:t>
        <w:tab/>
        <w:t>Brightness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colour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0" w:after="0"/>
        <w:ind w:left="1165" w:right="0" w:hanging="721"/>
        <w:jc w:val="both"/>
      </w:pPr>
      <w:bookmarkStart w:name="_TOC_250038" w:id="7"/>
      <w:r>
        <w:rPr/>
        <w:t>Industrial</w:t>
      </w:r>
      <w:r>
        <w:rPr>
          <w:spacing w:val="-3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bookmarkEnd w:id="7"/>
      <w:r>
        <w:rPr/>
        <w:t>Clay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4"/>
        <w:jc w:val="both"/>
      </w:pPr>
      <w:r>
        <w:rPr/>
        <w:t>Several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historical, they are essential to our present understanding of how and why the clay</w:t>
      </w:r>
      <w:r>
        <w:rPr>
          <w:spacing w:val="1"/>
        </w:rPr>
        <w:t> </w:t>
      </w:r>
      <w:r>
        <w:rPr/>
        <w:t>minerals have such an extensive industrial utilization. Some of these are (Konta (1995),</w:t>
      </w:r>
      <w:r>
        <w:rPr>
          <w:spacing w:val="1"/>
        </w:rPr>
        <w:t> </w:t>
      </w:r>
      <w:r>
        <w:rPr/>
        <w:t>Galan</w:t>
      </w:r>
      <w:r>
        <w:rPr>
          <w:spacing w:val="-1"/>
        </w:rPr>
        <w:t> </w:t>
      </w:r>
      <w:r>
        <w:rPr/>
        <w:t>(1996),</w:t>
      </w:r>
      <w:r>
        <w:rPr>
          <w:spacing w:val="2"/>
        </w:rPr>
        <w:t> </w:t>
      </w:r>
      <w:r>
        <w:rPr/>
        <w:t>Murray</w:t>
      </w:r>
      <w:r>
        <w:rPr>
          <w:spacing w:val="-5"/>
        </w:rPr>
        <w:t> </w:t>
      </w:r>
      <w:r>
        <w:rPr/>
        <w:t>(2007)</w:t>
      </w:r>
      <w:r>
        <w:rPr>
          <w:spacing w:val="1"/>
        </w:rPr>
        <w:t> </w:t>
      </w:r>
      <w:r>
        <w:rPr/>
        <w:t>&amp; Obaje</w:t>
      </w:r>
      <w:r>
        <w:rPr>
          <w:spacing w:val="2"/>
        </w:rPr>
        <w:t> </w:t>
      </w:r>
      <w:r>
        <w:rPr>
          <w:i/>
        </w:rPr>
        <w:t>et al.</w:t>
      </w:r>
      <w:r>
        <w:rPr>
          <w:i/>
          <w:spacing w:val="-1"/>
        </w:rPr>
        <w:t> </w:t>
      </w:r>
      <w:r>
        <w:rPr/>
        <w:t>(2013).</w:t>
      </w:r>
    </w:p>
    <w:p>
      <w:pPr>
        <w:pStyle w:val="BodyText"/>
        <w:spacing w:line="480" w:lineRule="auto" w:before="1"/>
        <w:ind w:left="445" w:right="674"/>
        <w:jc w:val="both"/>
      </w:pPr>
      <w:r>
        <w:rPr/>
        <w:t>Clay minerals are important in industrial minerals applications, millions of tons are</w:t>
      </w:r>
      <w:r>
        <w:rPr>
          <w:spacing w:val="1"/>
        </w:rPr>
        <w:t> </w:t>
      </w:r>
      <w:r>
        <w:rPr/>
        <w:t>utilized annually in various applications such as the process industries, agriculture, and</w:t>
      </w:r>
      <w:r>
        <w:rPr>
          <w:spacing w:val="1"/>
        </w:rPr>
        <w:t> </w:t>
      </w:r>
      <w:r>
        <w:rPr/>
        <w:t>environmental remediation and construction industries. The important characteristics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shape,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chemistry,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charge,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colour,</w:t>
      </w:r>
      <w:r>
        <w:rPr>
          <w:spacing w:val="1"/>
        </w:rPr>
        <w:t> </w:t>
      </w:r>
      <w:r>
        <w:rPr/>
        <w:t>plasticity,</w:t>
      </w:r>
      <w:r>
        <w:rPr>
          <w:spacing w:val="1"/>
        </w:rPr>
        <w:t> </w:t>
      </w:r>
      <w:r>
        <w:rPr/>
        <w:t>green,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fired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adsorption,</w:t>
      </w:r>
      <w:r>
        <w:rPr>
          <w:spacing w:val="1"/>
        </w:rPr>
        <w:t> </w:t>
      </w:r>
      <w:r>
        <w:rPr/>
        <w:t>abrasion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clay minerals</w:t>
      </w:r>
      <w:r>
        <w:rPr>
          <w:spacing w:val="1"/>
        </w:rPr>
        <w:t> </w:t>
      </w:r>
      <w:r>
        <w:rPr/>
        <w:t>perform a function and are not just inert components of the system (Al-Ani &amp; Sarapaa,</w:t>
      </w:r>
      <w:r>
        <w:rPr>
          <w:spacing w:val="1"/>
        </w:rPr>
        <w:t> </w:t>
      </w:r>
      <w:r>
        <w:rPr/>
        <w:t>2008)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right="226"/>
        <w:jc w:val="center"/>
      </w:pPr>
      <w:r>
        <w:rPr/>
        <w:t>8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bookmarkStart w:name="_TOC_250037" w:id="8"/>
      <w:r>
        <w:rPr/>
        <w:t>Ceramic</w:t>
      </w:r>
      <w:r>
        <w:rPr>
          <w:spacing w:val="-5"/>
        </w:rPr>
        <w:t> </w:t>
      </w:r>
      <w:bookmarkEnd w:id="8"/>
      <w:r>
        <w:rPr/>
        <w:t>industry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76"/>
        <w:jc w:val="both"/>
      </w:pP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mouldable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cohesive</w:t>
      </w:r>
      <w:r>
        <w:rPr>
          <w:spacing w:val="-57"/>
        </w:rPr>
        <w:t> </w:t>
      </w:r>
      <w:r>
        <w:rPr/>
        <w:t>properties with adequate plasticity without undergoing excessive cracking and breakage</w:t>
      </w:r>
      <w:r>
        <w:rPr>
          <w:spacing w:val="1"/>
        </w:rPr>
        <w:t> </w:t>
      </w:r>
      <w:r>
        <w:rPr/>
        <w:t>of clay have made it one of the major raw material for the ceramics industry. Clay in</w:t>
      </w:r>
      <w:r>
        <w:rPr>
          <w:spacing w:val="1"/>
        </w:rPr>
        <w:t> </w:t>
      </w:r>
      <w:r>
        <w:rPr/>
        <w:t>ceramics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carbonates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ions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clay swelling</w:t>
      </w:r>
      <w:r>
        <w:rPr>
          <w:spacing w:val="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crack in</w:t>
      </w:r>
      <w:r>
        <w:rPr>
          <w:spacing w:val="-1"/>
        </w:rPr>
        <w:t> </w:t>
      </w:r>
      <w:r>
        <w:rPr/>
        <w:t>the ceramics</w:t>
      </w:r>
      <w:r>
        <w:rPr>
          <w:spacing w:val="2"/>
        </w:rPr>
        <w:t> </w:t>
      </w:r>
      <w:r>
        <w:rPr/>
        <w:t>formation (Dondi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2014)</w:t>
      </w:r>
    </w:p>
    <w:p>
      <w:pPr>
        <w:pStyle w:val="BodyText"/>
        <w:spacing w:line="480" w:lineRule="auto" w:before="3"/>
        <w:ind w:left="445" w:right="678"/>
        <w:jc w:val="both"/>
      </w:pPr>
      <w:r>
        <w:rPr/>
        <w:t>Obaje </w:t>
      </w:r>
      <w:r>
        <w:rPr>
          <w:i/>
        </w:rPr>
        <w:t>et al</w:t>
      </w:r>
      <w:r>
        <w:rPr/>
        <w:t>. (2013) group major use of clay material in the manufacture of several</w:t>
      </w:r>
      <w:r>
        <w:rPr>
          <w:spacing w:val="1"/>
        </w:rPr>
        <w:t> </w:t>
      </w:r>
      <w:r>
        <w:rPr/>
        <w:t>ceramic</w:t>
      </w:r>
      <w:r>
        <w:rPr>
          <w:spacing w:val="-2"/>
        </w:rPr>
        <w:t> </w:t>
      </w:r>
      <w:r>
        <w:rPr/>
        <w:t>products, namely:</w:t>
      </w:r>
    </w:p>
    <w:p>
      <w:pPr>
        <w:pStyle w:val="ListParagraph"/>
        <w:numPr>
          <w:ilvl w:val="3"/>
          <w:numId w:val="6"/>
        </w:numPr>
        <w:tabs>
          <w:tab w:pos="1163" w:val="left" w:leader="none"/>
        </w:tabs>
        <w:spacing w:line="480" w:lineRule="auto" w:before="0" w:after="0"/>
        <w:ind w:left="1165" w:right="680" w:hanging="360"/>
        <w:jc w:val="left"/>
        <w:rPr>
          <w:sz w:val="24"/>
        </w:rPr>
      </w:pPr>
      <w:r>
        <w:rPr>
          <w:sz w:val="24"/>
        </w:rPr>
        <w:t>Ceramic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electrical</w:t>
      </w:r>
      <w:r>
        <w:rPr>
          <w:spacing w:val="10"/>
          <w:sz w:val="24"/>
        </w:rPr>
        <w:t> </w:t>
      </w:r>
      <w:r>
        <w:rPr>
          <w:sz w:val="24"/>
        </w:rPr>
        <w:t>industry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manufacture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electrical</w:t>
      </w:r>
      <w:r>
        <w:rPr>
          <w:spacing w:val="9"/>
          <w:sz w:val="24"/>
        </w:rPr>
        <w:t> </w:t>
      </w:r>
      <w:r>
        <w:rPr>
          <w:sz w:val="24"/>
        </w:rPr>
        <w:t>insulators,</w:t>
      </w:r>
      <w:r>
        <w:rPr>
          <w:spacing w:val="9"/>
          <w:sz w:val="24"/>
        </w:rPr>
        <w:t> </w:t>
      </w:r>
      <w:r>
        <w:rPr>
          <w:sz w:val="24"/>
        </w:rPr>
        <w:t>motor</w:t>
      </w:r>
      <w:r>
        <w:rPr>
          <w:spacing w:val="-57"/>
          <w:sz w:val="24"/>
        </w:rPr>
        <w:t> </w:t>
      </w:r>
      <w:r>
        <w:rPr>
          <w:sz w:val="24"/>
        </w:rPr>
        <w:t>brushes and battery</w:t>
      </w:r>
      <w:r>
        <w:rPr>
          <w:spacing w:val="-10"/>
          <w:sz w:val="24"/>
        </w:rPr>
        <w:t> </w:t>
      </w:r>
      <w:r>
        <w:rPr>
          <w:sz w:val="24"/>
        </w:rPr>
        <w:t>carbons.</w:t>
      </w:r>
    </w:p>
    <w:p>
      <w:pPr>
        <w:pStyle w:val="ListParagraph"/>
        <w:numPr>
          <w:ilvl w:val="3"/>
          <w:numId w:val="6"/>
        </w:numPr>
        <w:tabs>
          <w:tab w:pos="1228" w:val="left" w:leader="none"/>
        </w:tabs>
        <w:spacing w:line="480" w:lineRule="auto" w:before="0" w:after="0"/>
        <w:ind w:left="1165" w:right="675" w:hanging="360"/>
        <w:jc w:val="left"/>
        <w:rPr>
          <w:sz w:val="24"/>
        </w:rPr>
      </w:pPr>
      <w:r>
        <w:rPr/>
        <w:tab/>
      </w:r>
      <w:r>
        <w:rPr>
          <w:sz w:val="24"/>
        </w:rPr>
        <w:t>Laboratory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engineering</w:t>
      </w:r>
      <w:r>
        <w:rPr>
          <w:spacing w:val="18"/>
          <w:sz w:val="24"/>
        </w:rPr>
        <w:t> </w:t>
      </w:r>
      <w:r>
        <w:rPr>
          <w:sz w:val="24"/>
        </w:rPr>
        <w:t>ceramics</w:t>
      </w:r>
      <w:r>
        <w:rPr>
          <w:spacing w:val="20"/>
          <w:sz w:val="24"/>
        </w:rPr>
        <w:t> </w:t>
      </w:r>
      <w:r>
        <w:rPr>
          <w:sz w:val="24"/>
        </w:rPr>
        <w:t>such</w:t>
      </w:r>
      <w:r>
        <w:rPr>
          <w:spacing w:val="21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jet</w:t>
      </w:r>
      <w:r>
        <w:rPr>
          <w:spacing w:val="20"/>
          <w:sz w:val="24"/>
        </w:rPr>
        <w:t> </w:t>
      </w:r>
      <w:r>
        <w:rPr>
          <w:sz w:val="24"/>
        </w:rPr>
        <w:t>nozzles,</w:t>
      </w:r>
      <w:r>
        <w:rPr>
          <w:spacing w:val="20"/>
          <w:sz w:val="24"/>
        </w:rPr>
        <w:t> </w:t>
      </w:r>
      <w:r>
        <w:rPr>
          <w:sz w:val="24"/>
        </w:rPr>
        <w:t>crucible,</w:t>
      </w:r>
      <w:r>
        <w:rPr>
          <w:spacing w:val="23"/>
          <w:sz w:val="24"/>
        </w:rPr>
        <w:t> </w:t>
      </w:r>
      <w:r>
        <w:rPr>
          <w:sz w:val="24"/>
        </w:rPr>
        <w:t>pestle</w:t>
      </w:r>
      <w:r>
        <w:rPr>
          <w:spacing w:val="-57"/>
          <w:sz w:val="24"/>
        </w:rPr>
        <w:t> </w:t>
      </w:r>
      <w:r>
        <w:rPr>
          <w:sz w:val="24"/>
        </w:rPr>
        <w:t>mortars,</w:t>
      </w:r>
      <w:r>
        <w:rPr>
          <w:spacing w:val="-1"/>
          <w:sz w:val="24"/>
        </w:rPr>
        <w:t> </w:t>
      </w:r>
      <w:r>
        <w:rPr>
          <w:sz w:val="24"/>
        </w:rPr>
        <w:t>rocket motors</w:t>
      </w:r>
      <w:r>
        <w:rPr>
          <w:spacing w:val="2"/>
          <w:sz w:val="24"/>
        </w:rPr>
        <w:t> </w:t>
      </w:r>
      <w:r>
        <w:rPr>
          <w:sz w:val="24"/>
        </w:rPr>
        <w:t>and spark plugs.</w:t>
      </w:r>
    </w:p>
    <w:p>
      <w:pPr>
        <w:pStyle w:val="ListParagraph"/>
        <w:numPr>
          <w:ilvl w:val="3"/>
          <w:numId w:val="6"/>
        </w:numPr>
        <w:tabs>
          <w:tab w:pos="1226" w:val="left" w:leader="none"/>
        </w:tabs>
        <w:spacing w:line="480" w:lineRule="auto" w:before="0" w:after="0"/>
        <w:ind w:left="1165" w:right="680" w:hanging="360"/>
        <w:jc w:val="left"/>
        <w:rPr>
          <w:sz w:val="24"/>
        </w:rPr>
      </w:pPr>
      <w:r>
        <w:rPr>
          <w:sz w:val="24"/>
        </w:rPr>
        <w:t>Domestic</w:t>
      </w:r>
      <w:r>
        <w:rPr>
          <w:spacing w:val="50"/>
          <w:sz w:val="24"/>
        </w:rPr>
        <w:t> </w:t>
      </w:r>
      <w:r>
        <w:rPr>
          <w:sz w:val="24"/>
        </w:rPr>
        <w:t>ceramics</w:t>
      </w:r>
      <w:r>
        <w:rPr>
          <w:spacing w:val="53"/>
          <w:sz w:val="24"/>
        </w:rPr>
        <w:t> </w:t>
      </w:r>
      <w:r>
        <w:rPr>
          <w:sz w:val="24"/>
        </w:rPr>
        <w:t>for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manufacture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table</w:t>
      </w:r>
      <w:r>
        <w:rPr>
          <w:spacing w:val="49"/>
          <w:sz w:val="24"/>
        </w:rPr>
        <w:t> </w:t>
      </w:r>
      <w:r>
        <w:rPr>
          <w:sz w:val="24"/>
        </w:rPr>
        <w:t>wares,</w:t>
      </w:r>
      <w:r>
        <w:rPr>
          <w:spacing w:val="51"/>
          <w:sz w:val="24"/>
        </w:rPr>
        <w:t> </w:t>
      </w:r>
      <w:r>
        <w:rPr>
          <w:sz w:val="24"/>
        </w:rPr>
        <w:t>dinner</w:t>
      </w:r>
      <w:r>
        <w:rPr>
          <w:spacing w:val="48"/>
          <w:sz w:val="24"/>
        </w:rPr>
        <w:t> </w:t>
      </w:r>
      <w:r>
        <w:rPr>
          <w:sz w:val="24"/>
        </w:rPr>
        <w:t>ware,</w:t>
      </w:r>
      <w:r>
        <w:rPr>
          <w:spacing w:val="50"/>
          <w:sz w:val="24"/>
        </w:rPr>
        <w:t> </w:t>
      </w:r>
      <w:r>
        <w:rPr>
          <w:sz w:val="24"/>
        </w:rPr>
        <w:t>flower</w:t>
      </w:r>
      <w:r>
        <w:rPr>
          <w:spacing w:val="-57"/>
          <w:sz w:val="24"/>
        </w:rPr>
        <w:t> </w:t>
      </w:r>
      <w:r>
        <w:rPr>
          <w:sz w:val="24"/>
        </w:rPr>
        <w:t>vases</w:t>
      </w:r>
      <w:r>
        <w:rPr>
          <w:spacing w:val="1"/>
          <w:sz w:val="24"/>
        </w:rPr>
        <w:t> </w:t>
      </w:r>
      <w:r>
        <w:rPr>
          <w:sz w:val="24"/>
        </w:rPr>
        <w:t>and dental wares</w:t>
      </w:r>
      <w:r>
        <w:rPr>
          <w:spacing w:val="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 artificial teeth.</w:t>
      </w:r>
    </w:p>
    <w:p>
      <w:pPr>
        <w:pStyle w:val="ListParagraph"/>
        <w:numPr>
          <w:ilvl w:val="3"/>
          <w:numId w:val="6"/>
        </w:numPr>
        <w:tabs>
          <w:tab w:pos="1223" w:val="left" w:leader="none"/>
        </w:tabs>
        <w:spacing w:line="480" w:lineRule="auto" w:before="1" w:after="0"/>
        <w:ind w:left="1165" w:right="681" w:hanging="360"/>
        <w:jc w:val="left"/>
        <w:rPr>
          <w:sz w:val="24"/>
        </w:rPr>
      </w:pPr>
      <w:r>
        <w:rPr>
          <w:sz w:val="24"/>
        </w:rPr>
        <w:t>Ceramic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building</w:t>
      </w:r>
      <w:r>
        <w:rPr>
          <w:spacing w:val="37"/>
          <w:sz w:val="24"/>
        </w:rPr>
        <w:t> </w:t>
      </w:r>
      <w:r>
        <w:rPr>
          <w:sz w:val="24"/>
        </w:rPr>
        <w:t>materials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manufacture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tiles,</w:t>
      </w:r>
      <w:r>
        <w:rPr>
          <w:spacing w:val="38"/>
          <w:sz w:val="24"/>
        </w:rPr>
        <w:t> </w:t>
      </w:r>
      <w:r>
        <w:rPr>
          <w:sz w:val="24"/>
        </w:rPr>
        <w:t>stoneware</w:t>
      </w:r>
      <w:r>
        <w:rPr>
          <w:spacing w:val="33"/>
          <w:sz w:val="24"/>
        </w:rPr>
        <w:t> </w:t>
      </w:r>
      <w:r>
        <w:rPr>
          <w:sz w:val="24"/>
        </w:rPr>
        <w:t>pipes,</w:t>
      </w:r>
      <w:r>
        <w:rPr>
          <w:spacing w:val="-57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sanitary</w:t>
      </w:r>
      <w:r>
        <w:rPr>
          <w:spacing w:val="-8"/>
          <w:sz w:val="24"/>
        </w:rPr>
        <w:t> </w:t>
      </w:r>
      <w:r>
        <w:rPr>
          <w:sz w:val="24"/>
        </w:rPr>
        <w:t>wares,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fittings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sewage</w:t>
      </w:r>
      <w:r>
        <w:rPr>
          <w:spacing w:val="-2"/>
          <w:sz w:val="24"/>
        </w:rPr>
        <w:t> </w:t>
      </w:r>
      <w:r>
        <w:rPr>
          <w:sz w:val="24"/>
        </w:rPr>
        <w:t>and drainage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0" w:after="0"/>
        <w:ind w:left="1165" w:right="0" w:hanging="721"/>
        <w:jc w:val="both"/>
      </w:pPr>
      <w:bookmarkStart w:name="_TOC_250036" w:id="9"/>
      <w:r>
        <w:rPr/>
        <w:t>Construction</w:t>
      </w:r>
      <w:r>
        <w:rPr>
          <w:spacing w:val="-7"/>
        </w:rPr>
        <w:t> </w:t>
      </w:r>
      <w:bookmarkEnd w:id="9"/>
      <w:r>
        <w:rPr/>
        <w:t>industry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45" w:right="677"/>
        <w:jc w:val="both"/>
      </w:pPr>
      <w:r>
        <w:rPr/>
        <w:t>Clays and bricks are used as construction raw materials. Bricks are made up of 100%</w:t>
      </w:r>
      <w:r>
        <w:rPr>
          <w:spacing w:val="1"/>
        </w:rPr>
        <w:t> </w:t>
      </w:r>
      <w:r>
        <w:rPr/>
        <w:t>earth materials which include shales, clays, and fine-grained lateritic soils. Kaolin with</w:t>
      </w:r>
      <w:r>
        <w:rPr>
          <w:spacing w:val="1"/>
        </w:rPr>
        <w:t> </w:t>
      </w:r>
      <w:r>
        <w:rPr/>
        <w:t>low plasticity is found to be more suitable for the manufacture of white Portland cement</w:t>
      </w:r>
      <w:r>
        <w:rPr>
          <w:spacing w:val="-57"/>
        </w:rPr>
        <w:t> </w:t>
      </w:r>
      <w:r>
        <w:rPr/>
        <w:t>(Konadu </w:t>
      </w:r>
      <w:r>
        <w:rPr>
          <w:i/>
        </w:rPr>
        <w:t>et al., </w:t>
      </w:r>
      <w:r>
        <w:rPr/>
        <w:t>2013). In General Structural products in the construction industry are</w:t>
      </w:r>
      <w:r>
        <w:rPr>
          <w:spacing w:val="1"/>
        </w:rPr>
        <w:t> </w:t>
      </w:r>
      <w:r>
        <w:rPr/>
        <w:t>mainly popular with</w:t>
      </w:r>
      <w:r>
        <w:rPr>
          <w:spacing w:val="1"/>
        </w:rPr>
        <w:t> </w:t>
      </w:r>
      <w:r>
        <w:rPr/>
        <w:t>non-plastic clays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 kaolin</w:t>
      </w:r>
      <w:r>
        <w:rPr>
          <w:spacing w:val="1"/>
        </w:rPr>
        <w:t> </w:t>
      </w:r>
      <w:r>
        <w:rPr/>
        <w:t>based.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plastic</w:t>
      </w:r>
      <w:r>
        <w:rPr>
          <w:spacing w:val="22"/>
        </w:rPr>
        <w:t> </w:t>
      </w:r>
      <w:r>
        <w:rPr/>
        <w:t>clays</w:t>
      </w:r>
      <w:r>
        <w:rPr>
          <w:spacing w:val="26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right</w:t>
      </w:r>
      <w:r>
        <w:rPr>
          <w:spacing w:val="24"/>
        </w:rPr>
        <w:t> </w:t>
      </w:r>
      <w:r>
        <w:rPr/>
        <w:t>proportions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non-clay</w:t>
      </w:r>
      <w:r>
        <w:rPr>
          <w:spacing w:val="14"/>
        </w:rPr>
        <w:t> </w:t>
      </w:r>
      <w:r>
        <w:rPr/>
        <w:t>materials</w:t>
      </w:r>
      <w:r>
        <w:rPr>
          <w:spacing w:val="23"/>
        </w:rPr>
        <w:t> </w:t>
      </w:r>
      <w:r>
        <w:rPr/>
        <w:t>have</w:t>
      </w:r>
      <w:r>
        <w:rPr>
          <w:spacing w:val="24"/>
        </w:rPr>
        <w:t> </w:t>
      </w:r>
      <w:r>
        <w:rPr/>
        <w:t>been</w:t>
      </w:r>
      <w:r>
        <w:rPr>
          <w:spacing w:val="24"/>
        </w:rPr>
        <w:t> </w:t>
      </w:r>
      <w:r>
        <w:rPr/>
        <w:t>successful</w:t>
      </w:r>
      <w:r>
        <w:rPr>
          <w:spacing w:val="26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bricks (Asamoah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right="226"/>
        <w:jc w:val="center"/>
      </w:pPr>
      <w:r>
        <w:rPr/>
        <w:t>9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bookmarkStart w:name="_TOC_250035" w:id="10"/>
      <w:r>
        <w:rPr/>
        <w:t>Pharmaceutical</w:t>
      </w:r>
      <w:r>
        <w:rPr>
          <w:spacing w:val="-8"/>
        </w:rPr>
        <w:t> </w:t>
      </w:r>
      <w:bookmarkEnd w:id="10"/>
      <w:r>
        <w:rPr/>
        <w:t>industry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76"/>
        <w:jc w:val="both"/>
      </w:pPr>
      <w:r>
        <w:rPr/>
        <w:t>Clay materials used in drugs and other health benefits are processed natural clays. 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prime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pharmaceutical,</w:t>
      </w:r>
      <w:r>
        <w:rPr>
          <w:spacing w:val="1"/>
        </w:rPr>
        <w:t> </w:t>
      </w:r>
      <w:r>
        <w:rPr/>
        <w:t>cosmetic,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packaging and</w:t>
      </w:r>
      <w:r>
        <w:rPr>
          <w:spacing w:val="1"/>
        </w:rPr>
        <w:t> </w:t>
      </w:r>
      <w:r>
        <w:rPr/>
        <w:t>other health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(Emamifar,</w:t>
      </w:r>
      <w:r>
        <w:rPr>
          <w:spacing w:val="1"/>
        </w:rPr>
        <w:t> </w:t>
      </w:r>
      <w:r>
        <w:rPr/>
        <w:t>2011) The ideal characteristics of clay for health uses is hampered by the presence of</w:t>
      </w:r>
      <w:r>
        <w:rPr>
          <w:spacing w:val="1"/>
        </w:rPr>
        <w:t> </w:t>
      </w:r>
      <w:r>
        <w:rPr/>
        <w:t>impurities</w:t>
      </w:r>
      <w:r>
        <w:rPr>
          <w:spacing w:val="1"/>
        </w:rPr>
        <w:t> </w:t>
      </w:r>
      <w:r>
        <w:rPr/>
        <w:t>(Aguzzi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interlayer</w:t>
      </w:r>
      <w:r>
        <w:rPr>
          <w:spacing w:val="1"/>
        </w:rPr>
        <w:t> </w:t>
      </w:r>
      <w:r>
        <w:rPr/>
        <w:t>elements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certain</w:t>
      </w:r>
      <w:r>
        <w:rPr>
          <w:spacing w:val="-1"/>
        </w:rPr>
        <w:t> </w:t>
      </w:r>
      <w:r>
        <w:rPr/>
        <w:t>ionic</w:t>
      </w:r>
      <w:r>
        <w:rPr>
          <w:spacing w:val="-1"/>
        </w:rPr>
        <w:t> </w:t>
      </w:r>
      <w:r>
        <w:rPr/>
        <w:t>attachments</w:t>
      </w:r>
      <w:r>
        <w:rPr>
          <w:spacing w:val="4"/>
        </w:rPr>
        <w:t> </w:t>
      </w:r>
      <w:r>
        <w:rPr/>
        <w:t>to the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1"/>
        </w:rPr>
        <w:t> </w:t>
      </w:r>
      <w:r>
        <w:rPr/>
        <w:t>biologically</w:t>
      </w:r>
      <w:r>
        <w:rPr>
          <w:spacing w:val="-8"/>
        </w:rPr>
        <w:t> </w:t>
      </w:r>
      <w:r>
        <w:rPr/>
        <w:t>unfriendly.</w:t>
      </w:r>
    </w:p>
    <w:p>
      <w:pPr>
        <w:pStyle w:val="BodyText"/>
        <w:spacing w:line="480" w:lineRule="auto" w:before="3"/>
        <w:ind w:left="445" w:right="672"/>
        <w:jc w:val="both"/>
      </w:pPr>
      <w:r>
        <w:rPr/>
        <w:t>The inclusions of elements such as arsenide, zirconium, mercury, lead, lithium, cobalt,</w:t>
      </w:r>
      <w:r>
        <w:rPr>
          <w:spacing w:val="1"/>
        </w:rPr>
        <w:t> </w:t>
      </w:r>
      <w:r>
        <w:rPr/>
        <w:t>copper, nickel, molybdenum and vanadium in the clay minerals are potentially toxic to</w:t>
      </w:r>
      <w:r>
        <w:rPr>
          <w:spacing w:val="1"/>
        </w:rPr>
        <w:t> </w:t>
      </w:r>
      <w:r>
        <w:rPr/>
        <w:t>biological systems (Tiburu </w:t>
      </w:r>
      <w:r>
        <w:rPr>
          <w:i/>
        </w:rPr>
        <w:t>et al., </w:t>
      </w:r>
      <w:r>
        <w:rPr/>
        <w:t>2017). The medical properties of clay minerals have</w:t>
      </w:r>
      <w:r>
        <w:rPr>
          <w:spacing w:val="1"/>
        </w:rPr>
        <w:t> </w:t>
      </w:r>
      <w:r>
        <w:rPr/>
        <w:t>been known for centuries. They are especially consumed by geophagic people and</w:t>
      </w:r>
      <w:r>
        <w:rPr>
          <w:spacing w:val="1"/>
        </w:rPr>
        <w:t> </w:t>
      </w:r>
      <w:r>
        <w:rPr/>
        <w:t>especially pregnant women. The mineral component of clay such as iron, calcium, and</w:t>
      </w:r>
      <w:r>
        <w:rPr>
          <w:spacing w:val="1"/>
        </w:rPr>
        <w:t> </w:t>
      </w:r>
      <w:r>
        <w:rPr/>
        <w:t>zinc, improves health. However, these clays are mostly unprocessed hence contains</w:t>
      </w:r>
      <w:r>
        <w:rPr>
          <w:spacing w:val="1"/>
        </w:rPr>
        <w:t> </w:t>
      </w:r>
      <w:r>
        <w:rPr/>
        <w:t>potentially toxic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arsenide,</w:t>
      </w:r>
      <w:r>
        <w:rPr>
          <w:spacing w:val="1"/>
        </w:rPr>
        <w:t> </w:t>
      </w:r>
      <w:r>
        <w:rPr/>
        <w:t>zirconium,</w:t>
      </w:r>
      <w:r>
        <w:rPr>
          <w:spacing w:val="1"/>
        </w:rPr>
        <w:t> </w:t>
      </w:r>
      <w:r>
        <w:rPr/>
        <w:t>mercury,</w:t>
      </w:r>
      <w:r>
        <w:rPr>
          <w:spacing w:val="1"/>
        </w:rPr>
        <w:t> </w:t>
      </w:r>
      <w:r>
        <w:rPr/>
        <w:t>lead,</w:t>
      </w:r>
      <w:r>
        <w:rPr>
          <w:spacing w:val="1"/>
        </w:rPr>
        <w:t> </w:t>
      </w:r>
      <w:r>
        <w:rPr/>
        <w:t>lithium,</w:t>
      </w:r>
      <w:r>
        <w:rPr>
          <w:spacing w:val="1"/>
        </w:rPr>
        <w:t> </w:t>
      </w:r>
      <w:r>
        <w:rPr/>
        <w:t>cobalt, copper, nickel, molybdenum and vanadium (Choy </w:t>
      </w:r>
      <w:r>
        <w:rPr>
          <w:i/>
        </w:rPr>
        <w:t>et al</w:t>
      </w:r>
      <w:r>
        <w:rPr/>
        <w:t>., 2007). These toxic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unknowingly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individual‟s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minerals may encompass biomedical applications, and food packaging (Asantewah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2016). Clays, especially kaolinite, have been used for centuries in pharmaceutical</w:t>
      </w:r>
      <w:r>
        <w:rPr>
          <w:spacing w:val="1"/>
        </w:rPr>
        <w:t> </w:t>
      </w:r>
      <w:r>
        <w:rPr/>
        <w:t>preparations of intestinal adsorbent drugs and other therapeutically useful applications.</w:t>
      </w:r>
      <w:r>
        <w:rPr>
          <w:spacing w:val="1"/>
        </w:rPr>
        <w:t> </w:t>
      </w:r>
      <w:r>
        <w:rPr/>
        <w:t>Clays such as montmorillonite, kaolinite and attapulgite are used in the preparation of</w:t>
      </w:r>
      <w:r>
        <w:rPr>
          <w:spacing w:val="1"/>
        </w:rPr>
        <w:t> </w:t>
      </w:r>
      <w:r>
        <w:rPr/>
        <w:t>pastes,</w:t>
      </w:r>
      <w:r>
        <w:rPr>
          <w:spacing w:val="1"/>
        </w:rPr>
        <w:t> </w:t>
      </w:r>
      <w:r>
        <w:rPr/>
        <w:t>ointments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 lotions.</w:t>
      </w:r>
      <w:r>
        <w:rPr>
          <w:spacing w:val="1"/>
        </w:rPr>
        <w:t> </w:t>
      </w:r>
      <w:r>
        <w:rPr/>
        <w:t>These clays are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cosmetic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because of their</w:t>
      </w:r>
      <w:r>
        <w:rPr>
          <w:spacing w:val="-1"/>
        </w:rPr>
        <w:t> </w:t>
      </w:r>
      <w:r>
        <w:rPr/>
        <w:t>adsorption properties</w:t>
      </w:r>
      <w:r>
        <w:rPr>
          <w:spacing w:val="1"/>
        </w:rPr>
        <w:t> </w:t>
      </w:r>
      <w:r>
        <w:rPr/>
        <w:t>(Harvey</w:t>
      </w:r>
      <w:r>
        <w:rPr>
          <w:spacing w:val="-5"/>
        </w:rPr>
        <w:t> </w:t>
      </w:r>
      <w:r>
        <w:rPr/>
        <w:t>&amp; largely, 2013).</w:t>
      </w:r>
    </w:p>
    <w:p>
      <w:pPr>
        <w:pStyle w:val="Heading1"/>
        <w:numPr>
          <w:ilvl w:val="2"/>
          <w:numId w:val="6"/>
        </w:numPr>
        <w:tabs>
          <w:tab w:pos="1226" w:val="left" w:leader="none"/>
        </w:tabs>
        <w:spacing w:line="240" w:lineRule="auto" w:before="9" w:after="0"/>
        <w:ind w:left="1225" w:right="0" w:hanging="781"/>
        <w:jc w:val="both"/>
      </w:pPr>
      <w:bookmarkStart w:name="_TOC_250034" w:id="11"/>
      <w:r>
        <w:rPr/>
        <w:t>Paper</w:t>
      </w:r>
      <w:r>
        <w:rPr>
          <w:spacing w:val="-6"/>
        </w:rPr>
        <w:t> </w:t>
      </w:r>
      <w:bookmarkEnd w:id="11"/>
      <w:r>
        <w:rPr/>
        <w:t>industry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4"/>
        <w:jc w:val="both"/>
      </w:pPr>
      <w:r>
        <w:rPr/>
        <w:t>One of the most important applications of kaolin is coating and filling paper. As filler,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kaolin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mixed</w:t>
      </w:r>
      <w:r>
        <w:rPr>
          <w:spacing w:val="4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cellulose</w:t>
      </w:r>
      <w:r>
        <w:rPr>
          <w:spacing w:val="5"/>
        </w:rPr>
        <w:t> </w:t>
      </w:r>
      <w:r>
        <w:rPr/>
        <w:t>fibres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wood</w:t>
      </w:r>
      <w:r>
        <w:rPr>
          <w:spacing w:val="3"/>
        </w:rPr>
        <w:t> </w:t>
      </w:r>
      <w:r>
        <w:rPr/>
        <w:t>pulp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coating;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kaolin</w:t>
      </w:r>
      <w:r>
        <w:rPr>
          <w:spacing w:val="4"/>
        </w:rPr>
        <w:t> </w:t>
      </w:r>
      <w:r>
        <w:rPr/>
        <w:t>is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49" w:right="275"/>
        <w:jc w:val="center"/>
      </w:pPr>
      <w:r>
        <w:rPr/>
        <w:t>10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69"/>
        <w:jc w:val="both"/>
      </w:pPr>
      <w:r>
        <w:rPr/>
        <w:t>mixed with water, adhesives, and various additives and coated onto the surface of the</w:t>
      </w:r>
      <w:r>
        <w:rPr>
          <w:spacing w:val="1"/>
        </w:rPr>
        <w:t> </w:t>
      </w:r>
      <w:r>
        <w:rPr/>
        <w:t>paper (Murray, 2006). The coating makes the paper sheet smoother, brighter, glossier,</w:t>
      </w:r>
      <w:r>
        <w:rPr>
          <w:spacing w:val="1"/>
        </w:rPr>
        <w:t> </w:t>
      </w:r>
      <w:r>
        <w:rPr/>
        <w:t>more opaque, and most importantly, improves the printability (Bundy, 1993). Paper that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coated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interwoven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configuration. Uncoated paper does not meet the stringent requirements for high quality</w:t>
      </w:r>
      <w:r>
        <w:rPr>
          <w:spacing w:val="1"/>
        </w:rPr>
        <w:t> </w:t>
      </w:r>
      <w:r>
        <w:rPr/>
        <w:t>printing and particularly multicolour printing. The fine particle size and platy shape of</w:t>
      </w:r>
      <w:r>
        <w:rPr>
          <w:spacing w:val="1"/>
        </w:rPr>
        <w:t> </w:t>
      </w:r>
      <w:r>
        <w:rPr/>
        <w:t>kaolinite are ideal for imparting a smooth, dense surface that is uniformly porous. This</w:t>
      </w:r>
      <w:r>
        <w:rPr>
          <w:spacing w:val="1"/>
        </w:rPr>
        <w:t> </w:t>
      </w:r>
      <w:r>
        <w:rPr/>
        <w:t>gives</w:t>
      </w:r>
      <w:r>
        <w:rPr>
          <w:spacing w:val="-1"/>
        </w:rPr>
        <w:t> </w:t>
      </w:r>
      <w:r>
        <w:rPr/>
        <w:t>the paper more</w:t>
      </w:r>
      <w:r>
        <w:rPr>
          <w:spacing w:val="-1"/>
        </w:rPr>
        <w:t> </w:t>
      </w:r>
      <w:r>
        <w:rPr/>
        <w:t>uniform ink receptivity</w:t>
      </w:r>
      <w:r>
        <w:rPr>
          <w:spacing w:val="-10"/>
        </w:rPr>
        <w:t> </w:t>
      </w:r>
      <w:r>
        <w:rPr/>
        <w:t>(Murray, 2006).</w:t>
      </w:r>
    </w:p>
    <w:p>
      <w:pPr>
        <w:pStyle w:val="Heading1"/>
        <w:numPr>
          <w:ilvl w:val="2"/>
          <w:numId w:val="6"/>
        </w:numPr>
        <w:tabs>
          <w:tab w:pos="1226" w:val="left" w:leader="none"/>
        </w:tabs>
        <w:spacing w:line="240" w:lineRule="auto" w:before="11" w:after="0"/>
        <w:ind w:left="1225" w:right="0" w:hanging="781"/>
        <w:jc w:val="both"/>
      </w:pPr>
      <w:bookmarkStart w:name="_TOC_250033" w:id="12"/>
      <w:r>
        <w:rPr/>
        <w:t>Textile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paint</w:t>
      </w:r>
      <w:r>
        <w:rPr>
          <w:spacing w:val="-3"/>
        </w:rPr>
        <w:t> </w:t>
      </w:r>
      <w:bookmarkEnd w:id="12"/>
      <w:r>
        <w:rPr/>
        <w:t>industry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68"/>
        <w:jc w:val="both"/>
      </w:pPr>
      <w:r>
        <w:rPr/>
        <w:t>Textiles are expected to improve in the quality of material and dye-ability. The fabric</w:t>
      </w:r>
      <w:r>
        <w:rPr>
          <w:spacing w:val="1"/>
        </w:rPr>
        <w:t> </w:t>
      </w:r>
      <w:r>
        <w:rPr/>
        <w:t>industries are required to enhance clothing characteristics such as susceptibility to flame</w:t>
      </w:r>
      <w:r>
        <w:rPr>
          <w:spacing w:val="-57"/>
        </w:rPr>
        <w:t> </w:t>
      </w:r>
      <w:r>
        <w:rPr/>
        <w:t>and thermal degradation (Asamoah </w:t>
      </w:r>
      <w:r>
        <w:rPr>
          <w:i/>
        </w:rPr>
        <w:t>et al., </w:t>
      </w:r>
      <w:r>
        <w:rPr/>
        <w:t>2018). Textiles coated with thin layer of</w:t>
      </w:r>
      <w:r>
        <w:rPr>
          <w:spacing w:val="1"/>
        </w:rPr>
        <w:t> </w:t>
      </w:r>
      <w:r>
        <w:rPr/>
        <w:t>nanoclay as compared to raw textiles have improved characteristics. In addition, textiles</w:t>
      </w:r>
      <w:r>
        <w:rPr>
          <w:spacing w:val="1"/>
        </w:rPr>
        <w:t> </w:t>
      </w:r>
      <w:r>
        <w:rPr/>
        <w:t>coated</w:t>
      </w:r>
      <w:r>
        <w:rPr>
          <w:spacing w:val="1"/>
        </w:rPr>
        <w:t> </w:t>
      </w:r>
      <w:r>
        <w:rPr/>
        <w:t>nanoclay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bentonite,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electrolyte</w:t>
      </w:r>
      <w:r>
        <w:rPr>
          <w:spacing w:val="1"/>
        </w:rPr>
        <w:t> </w:t>
      </w:r>
      <w:r>
        <w:rPr/>
        <w:t>admixtures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dye-ability.</w:t>
      </w:r>
      <w:r>
        <w:rPr>
          <w:spacing w:val="1"/>
        </w:rPr>
        <w:t> </w:t>
      </w:r>
      <w:r>
        <w:rPr/>
        <w:t>Nanoclay interacts with both direct and basic dye through favourable ion exchange and</w:t>
      </w:r>
      <w:r>
        <w:rPr>
          <w:spacing w:val="1"/>
        </w:rPr>
        <w:t> </w:t>
      </w:r>
      <w:r>
        <w:rPr/>
        <w:t>hydrogen</w:t>
      </w:r>
      <w:r>
        <w:rPr>
          <w:spacing w:val="-1"/>
        </w:rPr>
        <w:t> </w:t>
      </w:r>
      <w:r>
        <w:rPr/>
        <w:t>bonding.</w:t>
      </w:r>
    </w:p>
    <w:p>
      <w:pPr>
        <w:pStyle w:val="BodyText"/>
        <w:spacing w:line="480" w:lineRule="auto" w:before="1"/>
        <w:ind w:left="445" w:right="676"/>
        <w:jc w:val="both"/>
      </w:pPr>
      <w:r>
        <w:rPr/>
        <w:t>Nanoclay increases water content (Malakul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1998); this enables</w:t>
      </w:r>
      <w:r>
        <w:rPr>
          <w:spacing w:val="60"/>
        </w:rPr>
        <w:t> </w:t>
      </w:r>
      <w:r>
        <w:rPr/>
        <w:t>the quality of</w:t>
      </w:r>
      <w:r>
        <w:rPr>
          <w:spacing w:val="1"/>
        </w:rPr>
        <w:t> </w:t>
      </w:r>
      <w:r>
        <w:rPr/>
        <w:t>paint through increased diffusion of dye colour. Clays are found to increase the stability</w:t>
      </w:r>
      <w:r>
        <w:rPr>
          <w:spacing w:val="1"/>
        </w:rPr>
        <w:t> </w:t>
      </w:r>
      <w:r>
        <w:rPr/>
        <w:t>efficiency of paints which are basically oil emulsions (Li &amp; Jaroniec, 2003).</w:t>
      </w:r>
      <w:r>
        <w:rPr>
          <w:spacing w:val="1"/>
        </w:rPr>
        <w:t> </w:t>
      </w:r>
      <w:r>
        <w:rPr/>
        <w:t>Clays in</w:t>
      </w:r>
      <w:r>
        <w:rPr>
          <w:spacing w:val="1"/>
        </w:rPr>
        <w:t> </w:t>
      </w:r>
      <w:r>
        <w:rPr/>
        <w:t>emulsions which is due to their adsorptive character, absorbs water to prevent water</w:t>
      </w:r>
      <w:r>
        <w:rPr>
          <w:spacing w:val="1"/>
        </w:rPr>
        <w:t> </w:t>
      </w:r>
      <w:r>
        <w:rPr/>
        <w:t>penetration</w:t>
      </w:r>
      <w:r>
        <w:rPr>
          <w:spacing w:val="-1"/>
        </w:rPr>
        <w:t> </w:t>
      </w:r>
      <w:r>
        <w:rPr/>
        <w:t>into paint</w:t>
      </w:r>
      <w:r>
        <w:rPr>
          <w:spacing w:val="-1"/>
        </w:rPr>
        <w:t> </w:t>
      </w:r>
      <w:r>
        <w:rPr/>
        <w:t>which could</w:t>
      </w:r>
      <w:r>
        <w:rPr>
          <w:spacing w:val="-1"/>
        </w:rPr>
        <w:t> </w:t>
      </w:r>
      <w:r>
        <w:rPr/>
        <w:t>degrade</w:t>
      </w:r>
      <w:r>
        <w:rPr>
          <w:spacing w:val="-1"/>
        </w:rPr>
        <w:t> </w:t>
      </w:r>
      <w:r>
        <w:rPr/>
        <w:t>paint</w:t>
      </w:r>
      <w:r>
        <w:rPr>
          <w:spacing w:val="3"/>
        </w:rPr>
        <w:t> </w:t>
      </w:r>
      <w:r>
        <w:rPr/>
        <w:t>(Balaras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2000).</w:t>
      </w: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8" w:after="0"/>
        <w:ind w:left="1165" w:right="0" w:hanging="721"/>
        <w:jc w:val="both"/>
      </w:pPr>
      <w:bookmarkStart w:name="_TOC_250032" w:id="13"/>
      <w:r>
        <w:rPr/>
        <w:t>Specification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bookmarkEnd w:id="13"/>
      <w:r>
        <w:rPr/>
        <w:t>use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84"/>
        <w:jc w:val="both"/>
      </w:pPr>
      <w:r>
        <w:rPr/>
        <w:t>Clay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impurities such as SiO</w:t>
      </w:r>
      <w:r>
        <w:rPr>
          <w:vertAlign w:val="subscript"/>
        </w:rPr>
        <w:t>2</w:t>
      </w:r>
      <w:r>
        <w:rPr>
          <w:vertAlign w:val="baseline"/>
        </w:rPr>
        <w:t>,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TiO</w:t>
      </w:r>
      <w:r>
        <w:rPr>
          <w:vertAlign w:val="subscript"/>
        </w:rPr>
        <w:t>2</w:t>
      </w:r>
      <w:r>
        <w:rPr>
          <w:vertAlign w:val="baseline"/>
        </w:rPr>
        <w:t>, CaO, MgO and Na</w:t>
      </w:r>
      <w:r>
        <w:rPr>
          <w:vertAlign w:val="subscript"/>
        </w:rPr>
        <w:t>2</w:t>
      </w:r>
      <w:r>
        <w:rPr>
          <w:vertAlign w:val="baseline"/>
        </w:rPr>
        <w:t>O which should be kept low as</w:t>
      </w:r>
      <w:r>
        <w:rPr>
          <w:spacing w:val="-58"/>
          <w:vertAlign w:val="baseline"/>
        </w:rPr>
        <w:t> </w:t>
      </w:r>
      <w:r>
        <w:rPr>
          <w:vertAlign w:val="baseline"/>
        </w:rPr>
        <w:t>per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8"/>
          <w:vertAlign w:val="baseline"/>
        </w:rPr>
        <w:t> </w:t>
      </w:r>
      <w:r>
        <w:rPr>
          <w:vertAlign w:val="baseline"/>
        </w:rPr>
        <w:t>specifications.</w:t>
      </w:r>
      <w:r>
        <w:rPr>
          <w:spacing w:val="11"/>
          <w:vertAlign w:val="baseline"/>
        </w:rPr>
        <w:t> </w:t>
      </w:r>
      <w:r>
        <w:rPr>
          <w:vertAlign w:val="baseline"/>
        </w:rPr>
        <w:t>Apart</w:t>
      </w:r>
      <w:r>
        <w:rPr>
          <w:spacing w:val="9"/>
          <w:vertAlign w:val="baseline"/>
        </w:rPr>
        <w:t> </w:t>
      </w:r>
      <w:r>
        <w:rPr>
          <w:vertAlign w:val="baseline"/>
        </w:rPr>
        <w:t>from</w:t>
      </w:r>
      <w:r>
        <w:rPr>
          <w:spacing w:val="12"/>
          <w:vertAlign w:val="baseline"/>
        </w:rPr>
        <w:t> </w:t>
      </w:r>
      <w:r>
        <w:rPr>
          <w:vertAlign w:val="baseline"/>
        </w:rPr>
        <w:t>these,</w:t>
      </w:r>
      <w:r>
        <w:rPr>
          <w:spacing w:val="1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1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3"/>
          <w:vertAlign w:val="baseline"/>
        </w:rPr>
        <w:t> </w:t>
      </w:r>
      <w:r>
        <w:rPr>
          <w:vertAlign w:val="baseline"/>
        </w:rPr>
        <w:t>such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9"/>
          <w:vertAlign w:val="baseline"/>
        </w:rPr>
        <w:t> </w:t>
      </w:r>
      <w:r>
        <w:rPr>
          <w:vertAlign w:val="baseline"/>
        </w:rPr>
        <w:t>plasticity,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49" w:right="275"/>
        <w:jc w:val="center"/>
      </w:pPr>
      <w:r>
        <w:rPr/>
        <w:t>11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4"/>
        <w:jc w:val="both"/>
      </w:pPr>
      <w:r>
        <w:rPr/>
        <w:t>brightness, colour, grit content, particle size and conductivity play an important role in</w:t>
      </w:r>
      <w:r>
        <w:rPr>
          <w:spacing w:val="1"/>
        </w:rPr>
        <w:t> </w:t>
      </w:r>
      <w:r>
        <w:rPr/>
        <w:t>deciding about the end use of clay (Chatterjee, 2009). Table 1.1 shows some selected</w:t>
      </w:r>
      <w:r>
        <w:rPr>
          <w:spacing w:val="1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specification for 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Kaolin.</w:t>
      </w:r>
    </w:p>
    <w:p>
      <w:pPr>
        <w:pStyle w:val="Heading1"/>
        <w:spacing w:before="11"/>
        <w:ind w:left="423" w:firstLine="0"/>
      </w:pPr>
      <w:r>
        <w:rPr/>
        <w:t>Table</w:t>
      </w:r>
      <w:r>
        <w:rPr>
          <w:spacing w:val="-4"/>
        </w:rPr>
        <w:t> </w:t>
      </w:r>
      <w:r>
        <w:rPr/>
        <w:t>1.1:</w:t>
      </w:r>
      <w:r>
        <w:rPr>
          <w:spacing w:val="-5"/>
        </w:rPr>
        <w:t> </w:t>
      </w:r>
      <w:r>
        <w:rPr/>
        <w:t>Specification for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Kaolin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some</w:t>
      </w:r>
      <w:r>
        <w:rPr>
          <w:spacing w:val="-5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industries.</w:t>
      </w:r>
    </w:p>
    <w:p>
      <w:pPr>
        <w:pStyle w:val="BodyText"/>
        <w:spacing w:before="9"/>
        <w:rPr>
          <w:b/>
        </w:rPr>
      </w:pPr>
    </w:p>
    <w:tbl>
      <w:tblPr>
        <w:tblW w:w="0" w:type="auto"/>
        <w:jc w:val="left"/>
        <w:tblInd w:w="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1"/>
        <w:gridCol w:w="1180"/>
        <w:gridCol w:w="1501"/>
        <w:gridCol w:w="1479"/>
        <w:gridCol w:w="2396"/>
      </w:tblGrid>
      <w:tr>
        <w:trPr>
          <w:trHeight w:val="1029" w:hRule="atLeast"/>
        </w:trPr>
        <w:tc>
          <w:tcPr>
            <w:tcW w:w="1811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30" w:lineRule="atLeast" w:before="1"/>
              <w:ind w:left="338" w:firstLine="1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Chemical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Composition</w:t>
            </w:r>
          </w:p>
        </w:tc>
        <w:tc>
          <w:tcPr>
            <w:tcW w:w="118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60" w:firstLine="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Paper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Coating</w:t>
            </w:r>
          </w:p>
        </w:tc>
        <w:tc>
          <w:tcPr>
            <w:tcW w:w="15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7" w:lineRule="exact"/>
              <w:ind w:left="148"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Paper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Filler</w:t>
            </w:r>
          </w:p>
        </w:tc>
        <w:tc>
          <w:tcPr>
            <w:tcW w:w="14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7" w:lineRule="exact"/>
              <w:ind w:left="203" w:right="331"/>
              <w:rPr>
                <w:b/>
                <w:sz w:val="20"/>
              </w:rPr>
            </w:pPr>
            <w:r>
              <w:rPr>
                <w:b/>
                <w:sz w:val="20"/>
              </w:rPr>
              <w:t>Ceramics</w:t>
            </w:r>
          </w:p>
        </w:tc>
        <w:tc>
          <w:tcPr>
            <w:tcW w:w="239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764" w:hanging="413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Pharmaceutics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and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cosmetics</w:t>
            </w:r>
          </w:p>
        </w:tc>
      </w:tr>
      <w:tr>
        <w:trPr>
          <w:trHeight w:val="353" w:hRule="atLeast"/>
        </w:trPr>
        <w:tc>
          <w:tcPr>
            <w:tcW w:w="1811" w:type="dxa"/>
          </w:tcPr>
          <w:p>
            <w:pPr>
              <w:pStyle w:val="TableParagraph"/>
              <w:spacing w:before="1"/>
              <w:ind w:left="114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SiO</w:t>
            </w:r>
            <w:r>
              <w:rPr>
                <w:b/>
                <w:sz w:val="20"/>
                <w:vertAlign w:val="subscript"/>
              </w:rPr>
              <w:t>2</w:t>
            </w:r>
          </w:p>
        </w:tc>
        <w:tc>
          <w:tcPr>
            <w:tcW w:w="1180" w:type="dxa"/>
          </w:tcPr>
          <w:p>
            <w:pPr>
              <w:pStyle w:val="TableParagraph"/>
              <w:spacing w:line="222" w:lineRule="exact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49</w:t>
            </w:r>
          </w:p>
        </w:tc>
        <w:tc>
          <w:tcPr>
            <w:tcW w:w="1501" w:type="dxa"/>
          </w:tcPr>
          <w:p>
            <w:pPr>
              <w:pStyle w:val="TableParagraph"/>
              <w:spacing w:line="222" w:lineRule="exact"/>
              <w:ind w:left="148" w:right="123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48</w:t>
            </w:r>
          </w:p>
        </w:tc>
        <w:tc>
          <w:tcPr>
            <w:tcW w:w="1479" w:type="dxa"/>
          </w:tcPr>
          <w:p>
            <w:pPr>
              <w:pStyle w:val="TableParagraph"/>
              <w:spacing w:line="222" w:lineRule="exact"/>
              <w:ind w:left="209" w:right="331"/>
              <w:rPr>
                <w:sz w:val="20"/>
              </w:rPr>
            </w:pPr>
            <w:r>
              <w:rPr>
                <w:sz w:val="20"/>
              </w:rPr>
              <w:t>48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-50</w:t>
            </w:r>
          </w:p>
        </w:tc>
        <w:tc>
          <w:tcPr>
            <w:tcW w:w="2396" w:type="dxa"/>
          </w:tcPr>
          <w:p>
            <w:pPr>
              <w:pStyle w:val="TableParagraph"/>
              <w:spacing w:line="222" w:lineRule="exact"/>
              <w:ind w:left="634" w:right="662"/>
              <w:rPr>
                <w:sz w:val="20"/>
              </w:rPr>
            </w:pPr>
            <w:r>
              <w:rPr>
                <w:sz w:val="20"/>
              </w:rPr>
              <w:t>44.621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46.4</w:t>
            </w:r>
          </w:p>
        </w:tc>
      </w:tr>
      <w:tr>
        <w:trPr>
          <w:trHeight w:val="459" w:hRule="atLeast"/>
        </w:trPr>
        <w:tc>
          <w:tcPr>
            <w:tcW w:w="1811" w:type="dxa"/>
          </w:tcPr>
          <w:p>
            <w:pPr>
              <w:pStyle w:val="TableParagraph"/>
              <w:spacing w:before="106"/>
              <w:ind w:left="114" w:right="233"/>
              <w:rPr>
                <w:b/>
                <w:sz w:val="20"/>
              </w:rPr>
            </w:pPr>
            <w:r>
              <w:rPr>
                <w:b/>
                <w:sz w:val="20"/>
              </w:rPr>
              <w:t>Al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  <w:vertAlign w:val="baseline"/>
              </w:rPr>
              <w:t>O</w:t>
            </w:r>
            <w:r>
              <w:rPr>
                <w:b/>
                <w:sz w:val="20"/>
                <w:vertAlign w:val="subscript"/>
              </w:rPr>
              <w:t>3</w:t>
            </w:r>
          </w:p>
        </w:tc>
        <w:tc>
          <w:tcPr>
            <w:tcW w:w="1180" w:type="dxa"/>
          </w:tcPr>
          <w:p>
            <w:pPr>
              <w:pStyle w:val="TableParagraph"/>
              <w:spacing w:before="97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38</w:t>
            </w:r>
          </w:p>
        </w:tc>
        <w:tc>
          <w:tcPr>
            <w:tcW w:w="1501" w:type="dxa"/>
          </w:tcPr>
          <w:p>
            <w:pPr>
              <w:pStyle w:val="TableParagraph"/>
              <w:spacing w:before="99"/>
              <w:ind w:left="148" w:right="123"/>
              <w:rPr>
                <w:sz w:val="20"/>
              </w:rPr>
            </w:pPr>
            <w:r>
              <w:rPr>
                <w:sz w:val="20"/>
              </w:rPr>
              <w:t>37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38</w:t>
            </w:r>
          </w:p>
        </w:tc>
        <w:tc>
          <w:tcPr>
            <w:tcW w:w="1479" w:type="dxa"/>
          </w:tcPr>
          <w:p>
            <w:pPr>
              <w:pStyle w:val="TableParagraph"/>
              <w:spacing w:before="99"/>
              <w:ind w:left="210" w:right="331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37</w:t>
            </w:r>
          </w:p>
        </w:tc>
        <w:tc>
          <w:tcPr>
            <w:tcW w:w="2396" w:type="dxa"/>
          </w:tcPr>
          <w:p>
            <w:pPr>
              <w:pStyle w:val="TableParagraph"/>
              <w:spacing w:before="97"/>
              <w:ind w:left="631" w:right="662"/>
              <w:rPr>
                <w:sz w:val="20"/>
              </w:rPr>
            </w:pPr>
            <w:r>
              <w:rPr>
                <w:sz w:val="20"/>
              </w:rPr>
              <w:t>38.1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39.5</w:t>
            </w:r>
          </w:p>
        </w:tc>
      </w:tr>
      <w:tr>
        <w:trPr>
          <w:trHeight w:val="459" w:hRule="atLeast"/>
        </w:trPr>
        <w:tc>
          <w:tcPr>
            <w:tcW w:w="1811" w:type="dxa"/>
          </w:tcPr>
          <w:p>
            <w:pPr>
              <w:pStyle w:val="TableParagraph"/>
              <w:spacing w:before="105"/>
              <w:ind w:left="11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Fe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  <w:vertAlign w:val="baseline"/>
              </w:rPr>
              <w:t>O</w:t>
            </w:r>
            <w:r>
              <w:rPr>
                <w:b/>
                <w:sz w:val="20"/>
                <w:vertAlign w:val="subscript"/>
              </w:rPr>
              <w:t>3</w:t>
            </w:r>
          </w:p>
        </w:tc>
        <w:tc>
          <w:tcPr>
            <w:tcW w:w="1180" w:type="dxa"/>
          </w:tcPr>
          <w:p>
            <w:pPr>
              <w:pStyle w:val="TableParagraph"/>
              <w:spacing w:before="98"/>
              <w:ind w:right="278"/>
              <w:jc w:val="right"/>
              <w:rPr>
                <w:sz w:val="20"/>
              </w:rPr>
            </w:pPr>
            <w:r>
              <w:rPr>
                <w:sz w:val="20"/>
              </w:rPr>
              <w:t>0.5-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1.0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0"/>
              <w:ind w:left="148" w:right="128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-1.0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0"/>
              <w:ind w:left="212" w:right="331"/>
              <w:rPr>
                <w:sz w:val="20"/>
              </w:rPr>
            </w:pPr>
            <w:r>
              <w:rPr>
                <w:sz w:val="20"/>
              </w:rPr>
              <w:t>0.6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-1</w:t>
            </w:r>
          </w:p>
        </w:tc>
        <w:tc>
          <w:tcPr>
            <w:tcW w:w="2396" w:type="dxa"/>
          </w:tcPr>
          <w:p>
            <w:pPr>
              <w:pStyle w:val="TableParagraph"/>
              <w:spacing w:before="98"/>
              <w:ind w:left="634" w:right="660"/>
              <w:rPr>
                <w:sz w:val="20"/>
              </w:rPr>
            </w:pPr>
            <w:r>
              <w:rPr>
                <w:sz w:val="20"/>
              </w:rPr>
              <w:t>0.1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0.2</w:t>
            </w:r>
          </w:p>
        </w:tc>
      </w:tr>
      <w:tr>
        <w:trPr>
          <w:trHeight w:val="452" w:hRule="atLeast"/>
        </w:trPr>
        <w:tc>
          <w:tcPr>
            <w:tcW w:w="1811" w:type="dxa"/>
          </w:tcPr>
          <w:p>
            <w:pPr>
              <w:pStyle w:val="TableParagraph"/>
              <w:spacing w:before="106"/>
              <w:ind w:left="11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MnO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9"/>
              <w:ind w:left="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01" w:type="dxa"/>
          </w:tcPr>
          <w:p>
            <w:pPr>
              <w:pStyle w:val="TableParagraph"/>
              <w:spacing w:before="99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79" w:type="dxa"/>
          </w:tcPr>
          <w:p>
            <w:pPr>
              <w:pStyle w:val="TableParagraph"/>
              <w:spacing w:before="99"/>
              <w:ind w:right="11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811" w:type="dxa"/>
          </w:tcPr>
          <w:p>
            <w:pPr>
              <w:pStyle w:val="TableParagraph"/>
              <w:spacing w:before="112"/>
              <w:ind w:left="114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MgO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4"/>
              <w:ind w:left="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7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7"/>
              <w:ind w:right="11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396" w:type="dxa"/>
          </w:tcPr>
          <w:p>
            <w:pPr>
              <w:pStyle w:val="TableParagraph"/>
              <w:spacing w:before="105"/>
              <w:ind w:left="634" w:right="660"/>
              <w:rPr>
                <w:sz w:val="20"/>
              </w:rPr>
            </w:pPr>
            <w:r>
              <w:rPr>
                <w:sz w:val="20"/>
              </w:rPr>
              <w:t>0.1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0.2</w:t>
            </w:r>
          </w:p>
        </w:tc>
      </w:tr>
      <w:tr>
        <w:trPr>
          <w:trHeight w:val="511" w:hRule="atLeast"/>
        </w:trPr>
        <w:tc>
          <w:tcPr>
            <w:tcW w:w="1811" w:type="dxa"/>
          </w:tcPr>
          <w:p>
            <w:pPr>
              <w:pStyle w:val="TableParagraph"/>
              <w:spacing w:before="113"/>
              <w:ind w:left="114"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CaO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5"/>
              <w:ind w:left="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8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8"/>
              <w:ind w:right="11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396" w:type="dxa"/>
          </w:tcPr>
          <w:p>
            <w:pPr>
              <w:pStyle w:val="TableParagraph"/>
              <w:spacing w:before="106"/>
              <w:ind w:left="634" w:right="660"/>
              <w:rPr>
                <w:sz w:val="20"/>
              </w:rPr>
            </w:pPr>
            <w:r>
              <w:rPr>
                <w:sz w:val="20"/>
              </w:rPr>
              <w:t>0.1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0.2</w:t>
            </w:r>
          </w:p>
        </w:tc>
      </w:tr>
      <w:tr>
        <w:trPr>
          <w:trHeight w:val="568" w:hRule="atLeast"/>
        </w:trPr>
        <w:tc>
          <w:tcPr>
            <w:tcW w:w="1811" w:type="dxa"/>
          </w:tcPr>
          <w:p>
            <w:pPr>
              <w:pStyle w:val="TableParagraph"/>
              <w:spacing w:before="163"/>
              <w:ind w:left="11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  <w:vertAlign w:val="baseline"/>
              </w:rPr>
              <w:t>O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6"/>
              <w:ind w:left="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01" w:type="dxa"/>
          </w:tcPr>
          <w:p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79" w:type="dxa"/>
          </w:tcPr>
          <w:p>
            <w:pPr>
              <w:pStyle w:val="TableParagraph"/>
              <w:spacing w:before="156"/>
              <w:ind w:right="11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396" w:type="dxa"/>
          </w:tcPr>
          <w:p>
            <w:pPr>
              <w:pStyle w:val="TableParagraph"/>
              <w:spacing w:before="156"/>
              <w:ind w:left="634" w:right="66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0.1</w:t>
            </w:r>
          </w:p>
        </w:tc>
      </w:tr>
      <w:tr>
        <w:trPr>
          <w:trHeight w:val="510" w:hRule="atLeast"/>
        </w:trPr>
        <w:tc>
          <w:tcPr>
            <w:tcW w:w="1811" w:type="dxa"/>
          </w:tcPr>
          <w:p>
            <w:pPr>
              <w:pStyle w:val="TableParagraph"/>
              <w:spacing w:before="157"/>
              <w:ind w:left="114"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K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  <w:vertAlign w:val="baseline"/>
              </w:rPr>
              <w:t>O</w:t>
            </w:r>
          </w:p>
        </w:tc>
        <w:tc>
          <w:tcPr>
            <w:tcW w:w="1180" w:type="dxa"/>
          </w:tcPr>
          <w:p>
            <w:pPr>
              <w:pStyle w:val="TableParagraph"/>
              <w:spacing w:before="149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1.5</w:t>
            </w:r>
          </w:p>
        </w:tc>
        <w:tc>
          <w:tcPr>
            <w:tcW w:w="1501" w:type="dxa"/>
          </w:tcPr>
          <w:p>
            <w:pPr>
              <w:pStyle w:val="TableParagraph"/>
              <w:spacing w:before="149"/>
              <w:ind w:left="148" w:right="125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1.5</w:t>
            </w:r>
          </w:p>
        </w:tc>
        <w:tc>
          <w:tcPr>
            <w:tcW w:w="1479" w:type="dxa"/>
          </w:tcPr>
          <w:p>
            <w:pPr>
              <w:pStyle w:val="TableParagraph"/>
              <w:spacing w:before="149"/>
              <w:ind w:left="209" w:right="331"/>
              <w:rPr>
                <w:sz w:val="20"/>
              </w:rPr>
            </w:pPr>
            <w:r>
              <w:rPr>
                <w:sz w:val="20"/>
              </w:rPr>
              <w:t>1.2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2.7</w:t>
            </w:r>
          </w:p>
        </w:tc>
        <w:tc>
          <w:tcPr>
            <w:tcW w:w="2396" w:type="dxa"/>
          </w:tcPr>
          <w:p>
            <w:pPr>
              <w:pStyle w:val="TableParagraph"/>
              <w:spacing w:before="149"/>
              <w:ind w:left="634" w:right="66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0.2</w:t>
            </w:r>
          </w:p>
        </w:tc>
      </w:tr>
      <w:tr>
        <w:trPr>
          <w:trHeight w:val="458" w:hRule="atLeast"/>
        </w:trPr>
        <w:tc>
          <w:tcPr>
            <w:tcW w:w="1811" w:type="dxa"/>
          </w:tcPr>
          <w:p>
            <w:pPr>
              <w:pStyle w:val="TableParagraph"/>
              <w:spacing w:before="103"/>
              <w:ind w:left="11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TiO</w:t>
            </w:r>
            <w:r>
              <w:rPr>
                <w:b/>
                <w:sz w:val="20"/>
                <w:vertAlign w:val="subscript"/>
              </w:rPr>
              <w:t>2</w:t>
            </w:r>
          </w:p>
        </w:tc>
        <w:tc>
          <w:tcPr>
            <w:tcW w:w="1180" w:type="dxa"/>
          </w:tcPr>
          <w:p>
            <w:pPr>
              <w:pStyle w:val="TableParagraph"/>
              <w:spacing w:before="98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1.3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0"/>
              <w:ind w:left="148" w:right="125"/>
              <w:rPr>
                <w:sz w:val="20"/>
              </w:rPr>
            </w:pPr>
            <w:r>
              <w:rPr>
                <w:sz w:val="20"/>
              </w:rPr>
              <w:t>0.5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1.5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0"/>
              <w:ind w:left="205" w:right="331"/>
              <w:rPr>
                <w:sz w:val="20"/>
              </w:rPr>
            </w:pPr>
            <w:r>
              <w:rPr>
                <w:sz w:val="20"/>
              </w:rPr>
              <w:t>0.02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0.1</w:t>
            </w:r>
          </w:p>
        </w:tc>
        <w:tc>
          <w:tcPr>
            <w:tcW w:w="2396" w:type="dxa"/>
          </w:tcPr>
          <w:p>
            <w:pPr>
              <w:pStyle w:val="TableParagraph"/>
              <w:spacing w:before="98"/>
              <w:ind w:left="634" w:right="660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 1.4</w:t>
            </w:r>
          </w:p>
        </w:tc>
      </w:tr>
      <w:tr>
        <w:trPr>
          <w:trHeight w:val="460" w:hRule="atLeast"/>
        </w:trPr>
        <w:tc>
          <w:tcPr>
            <w:tcW w:w="1811" w:type="dxa"/>
          </w:tcPr>
          <w:p>
            <w:pPr>
              <w:pStyle w:val="TableParagraph"/>
              <w:spacing w:before="105"/>
              <w:ind w:left="11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P</w:t>
            </w:r>
            <w:r>
              <w:rPr>
                <w:b/>
                <w:sz w:val="20"/>
                <w:vertAlign w:val="subscript"/>
              </w:rPr>
              <w:t>2</w:t>
            </w:r>
            <w:r>
              <w:rPr>
                <w:b/>
                <w:sz w:val="20"/>
                <w:vertAlign w:val="baseline"/>
              </w:rPr>
              <w:t>O</w:t>
            </w:r>
            <w:r>
              <w:rPr>
                <w:b/>
                <w:sz w:val="20"/>
                <w:vertAlign w:val="subscript"/>
              </w:rPr>
              <w:t>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0"/>
              <w:ind w:left="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0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0"/>
              <w:ind w:right="11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53" w:hRule="atLeast"/>
        </w:trPr>
        <w:tc>
          <w:tcPr>
            <w:tcW w:w="1811" w:type="dxa"/>
          </w:tcPr>
          <w:p>
            <w:pPr>
              <w:pStyle w:val="TableParagraph"/>
              <w:spacing w:before="100"/>
              <w:ind w:left="11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SO</w:t>
            </w:r>
            <w:r>
              <w:rPr>
                <w:b/>
                <w:sz w:val="20"/>
                <w:vertAlign w:val="subscript"/>
              </w:rPr>
              <w:t>2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7"/>
              <w:ind w:left="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0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0"/>
              <w:ind w:right="11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50" w:hRule="atLeast"/>
        </w:trPr>
        <w:tc>
          <w:tcPr>
            <w:tcW w:w="1811" w:type="dxa"/>
          </w:tcPr>
          <w:p>
            <w:pPr>
              <w:pStyle w:val="TableParagraph"/>
              <w:spacing w:before="98"/>
              <w:ind w:left="114"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L.O.I</w:t>
            </w:r>
          </w:p>
        </w:tc>
        <w:tc>
          <w:tcPr>
            <w:tcW w:w="118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spacing w:before="98"/>
              <w:ind w:left="214" w:right="331"/>
              <w:rPr>
                <w:sz w:val="20"/>
              </w:rPr>
            </w:pPr>
            <w:r>
              <w:rPr>
                <w:sz w:val="20"/>
              </w:rPr>
              <w:t>11.2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12.5</w:t>
            </w:r>
          </w:p>
        </w:tc>
        <w:tc>
          <w:tcPr>
            <w:tcW w:w="2396" w:type="dxa"/>
          </w:tcPr>
          <w:p>
            <w:pPr>
              <w:pStyle w:val="TableParagraph"/>
              <w:spacing w:before="98"/>
              <w:ind w:left="634" w:right="656"/>
              <w:rPr>
                <w:sz w:val="20"/>
              </w:rPr>
            </w:pPr>
            <w:r>
              <w:rPr>
                <w:sz w:val="20"/>
              </w:rPr>
              <w:t>13.8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13.9</w:t>
            </w:r>
          </w:p>
        </w:tc>
      </w:tr>
      <w:tr>
        <w:trPr>
          <w:trHeight w:val="346" w:hRule="atLeast"/>
        </w:trPr>
        <w:tc>
          <w:tcPr>
            <w:tcW w:w="1811" w:type="dxa"/>
          </w:tcPr>
          <w:p>
            <w:pPr>
              <w:pStyle w:val="TableParagraph"/>
              <w:spacing w:line="214" w:lineRule="exact" w:before="113"/>
              <w:ind w:left="114" w:right="234"/>
              <w:rPr>
                <w:b/>
                <w:sz w:val="20"/>
              </w:rPr>
            </w:pPr>
            <w:r>
              <w:rPr>
                <w:b/>
                <w:sz w:val="20"/>
              </w:rPr>
              <w:t>Mineralogical</w:t>
            </w:r>
          </w:p>
        </w:tc>
        <w:tc>
          <w:tcPr>
            <w:tcW w:w="118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38" w:hRule="atLeast"/>
        </w:trPr>
        <w:tc>
          <w:tcPr>
            <w:tcW w:w="1811" w:type="dxa"/>
          </w:tcPr>
          <w:p>
            <w:pPr>
              <w:pStyle w:val="TableParagraph"/>
              <w:spacing w:line="224" w:lineRule="exact"/>
              <w:ind w:left="113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Composition</w:t>
            </w:r>
          </w:p>
        </w:tc>
        <w:tc>
          <w:tcPr>
            <w:tcW w:w="118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59" w:hRule="atLeast"/>
        </w:trPr>
        <w:tc>
          <w:tcPr>
            <w:tcW w:w="1811" w:type="dxa"/>
          </w:tcPr>
          <w:p>
            <w:pPr>
              <w:pStyle w:val="TableParagraph"/>
              <w:spacing w:before="114"/>
              <w:ind w:left="114" w:right="232"/>
              <w:rPr>
                <w:b/>
                <w:sz w:val="20"/>
              </w:rPr>
            </w:pPr>
            <w:r>
              <w:rPr>
                <w:b/>
                <w:sz w:val="20"/>
              </w:rPr>
              <w:t>Kaolinite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5"/>
              <w:ind w:right="283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99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5"/>
              <w:ind w:left="148" w:right="123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95</w:t>
            </w:r>
          </w:p>
        </w:tc>
        <w:tc>
          <w:tcPr>
            <w:tcW w:w="147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58" w:hRule="atLeast"/>
        </w:trPr>
        <w:tc>
          <w:tcPr>
            <w:tcW w:w="1811" w:type="dxa"/>
          </w:tcPr>
          <w:p>
            <w:pPr>
              <w:pStyle w:val="TableParagraph"/>
              <w:spacing w:before="115"/>
              <w:ind w:left="114" w:right="232"/>
              <w:rPr>
                <w:b/>
                <w:sz w:val="20"/>
              </w:rPr>
            </w:pPr>
            <w:r>
              <w:rPr>
                <w:b/>
                <w:sz w:val="20"/>
              </w:rPr>
              <w:t>Quartz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6"/>
              <w:ind w:left="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-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6"/>
              <w:ind w:left="27"/>
              <w:rPr>
                <w:sz w:val="20"/>
              </w:rPr>
            </w:pPr>
            <w:r>
              <w:rPr>
                <w:w w:val="96"/>
                <w:sz w:val="20"/>
              </w:rPr>
              <w:t>-</w:t>
            </w:r>
          </w:p>
        </w:tc>
        <w:tc>
          <w:tcPr>
            <w:tcW w:w="147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467" w:hRule="atLeast"/>
        </w:trPr>
        <w:tc>
          <w:tcPr>
            <w:tcW w:w="1811" w:type="dxa"/>
          </w:tcPr>
          <w:p>
            <w:pPr>
              <w:pStyle w:val="TableParagraph"/>
              <w:spacing w:before="118"/>
              <w:ind w:left="114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IIIite/Mica</w:t>
            </w:r>
          </w:p>
        </w:tc>
        <w:tc>
          <w:tcPr>
            <w:tcW w:w="1180" w:type="dxa"/>
          </w:tcPr>
          <w:p>
            <w:pPr>
              <w:pStyle w:val="TableParagraph"/>
              <w:spacing w:before="104"/>
              <w:ind w:left="390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-10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4"/>
              <w:ind w:left="148" w:right="12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10</w:t>
            </w:r>
          </w:p>
        </w:tc>
        <w:tc>
          <w:tcPr>
            <w:tcW w:w="147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1811" w:type="dxa"/>
          </w:tcPr>
          <w:p>
            <w:pPr>
              <w:pStyle w:val="TableParagraph"/>
              <w:spacing w:before="109"/>
              <w:ind w:left="114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Ti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Minerals</w:t>
            </w:r>
          </w:p>
        </w:tc>
        <w:tc>
          <w:tcPr>
            <w:tcW w:w="118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  <w:tr>
        <w:trPr>
          <w:trHeight w:val="386" w:hRule="atLeast"/>
        </w:trPr>
        <w:tc>
          <w:tcPr>
            <w:tcW w:w="1811" w:type="dxa"/>
          </w:tcPr>
          <w:p>
            <w:pPr>
              <w:pStyle w:val="TableParagraph"/>
              <w:spacing w:line="210" w:lineRule="exact" w:before="156"/>
              <w:ind w:left="114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Others</w:t>
            </w:r>
          </w:p>
        </w:tc>
        <w:tc>
          <w:tcPr>
            <w:tcW w:w="1180" w:type="dxa"/>
          </w:tcPr>
          <w:p>
            <w:pPr>
              <w:pStyle w:val="TableParagraph"/>
              <w:spacing w:line="210" w:lineRule="exact" w:before="156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0.3</w:t>
            </w:r>
          </w:p>
        </w:tc>
        <w:tc>
          <w:tcPr>
            <w:tcW w:w="1501" w:type="dxa"/>
          </w:tcPr>
          <w:p>
            <w:pPr>
              <w:pStyle w:val="TableParagraph"/>
              <w:spacing w:line="210" w:lineRule="exact" w:before="156"/>
              <w:ind w:left="148" w:right="12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 0.3</w:t>
            </w:r>
          </w:p>
        </w:tc>
        <w:tc>
          <w:tcPr>
            <w:tcW w:w="1479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39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17"/>
        </w:rPr>
      </w:pPr>
      <w:r>
        <w:rPr/>
        <w:pict>
          <v:group style="position:absolute;margin-left:84.349998pt;margin-top:11.964129pt;width:419pt;height:.5pt;mso-position-horizontal-relative:page;mso-position-vertical-relative:paragraph;z-index:-15727616;mso-wrap-distance-left:0;mso-wrap-distance-right:0" coordorigin="1687,239" coordsize="8380,10">
            <v:line style="position:absolute" from="1687,244" to="3399,244" stroked="true" strokeweight=".48008pt" strokecolor="#000000">
              <v:stroke dashstyle="solid"/>
            </v:line>
            <v:line style="position:absolute" from="3389,244" to="3399,244" stroked="true" strokeweight=".45pt" strokecolor="#000000">
              <v:stroke dashstyle="solid"/>
            </v:line>
            <v:line style="position:absolute" from="3399,244" to="4815,244" stroked="true" strokeweight=".48008pt" strokecolor="#000000">
              <v:stroke dashstyle="solid"/>
            </v:line>
            <v:line style="position:absolute" from="4805,244" to="4815,244" stroked="true" strokeweight=".45pt" strokecolor="#000000">
              <v:stroke dashstyle="solid"/>
            </v:line>
            <v:line style="position:absolute" from="4815,244" to="6092,244" stroked="true" strokeweight=".48008pt" strokecolor="#000000">
              <v:stroke dashstyle="solid"/>
            </v:line>
            <v:line style="position:absolute" from="6082,244" to="6092,244" stroked="true" strokeweight=".45pt" strokecolor="#000000">
              <v:stroke dashstyle="solid"/>
            </v:line>
            <v:line style="position:absolute" from="6092,244" to="7652,244" stroked="true" strokeweight=".48008pt" strokecolor="#000000">
              <v:stroke dashstyle="solid"/>
            </v:line>
            <v:line style="position:absolute" from="7643,244" to="7652,244" stroked="true" strokeweight=".45pt" strokecolor="#000000">
              <v:stroke dashstyle="solid"/>
            </v:line>
            <v:line style="position:absolute" from="7652,244" to="10067,244" stroked="true" strokeweight=".48008pt" strokecolor="#000000">
              <v:stroke dashstyle="solid"/>
            </v:line>
            <w10:wrap type="topAndBottom"/>
          </v:group>
        </w:pict>
      </w:r>
    </w:p>
    <w:p>
      <w:pPr>
        <w:pStyle w:val="BodyText"/>
        <w:ind w:left="445" w:right="2318"/>
        <w:jc w:val="both"/>
      </w:pPr>
      <w:r>
        <w:rPr/>
        <w:t>Paper coating, paper filler and ceramic standards (Siddiqui </w:t>
      </w:r>
      <w:r>
        <w:rPr>
          <w:i/>
        </w:rPr>
        <w:t>et al., </w:t>
      </w:r>
      <w:r>
        <w:rPr/>
        <w:t>2005)</w:t>
      </w:r>
      <w:r>
        <w:rPr>
          <w:spacing w:val="-57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cosmetics</w:t>
      </w:r>
      <w:r>
        <w:rPr>
          <w:spacing w:val="-1"/>
        </w:rPr>
        <w:t> </w:t>
      </w:r>
      <w:r>
        <w:rPr/>
        <w:t>range</w:t>
      </w:r>
      <w:r>
        <w:rPr>
          <w:spacing w:val="3"/>
        </w:rPr>
        <w:t> </w:t>
      </w:r>
      <w:r>
        <w:rPr/>
        <w:t>(Lopez-Galindo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49" w:right="275"/>
        <w:jc w:val="center"/>
      </w:pPr>
      <w:r>
        <w:rPr/>
        <w:t>12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bookmarkStart w:name="_TOC_250031" w:id="14"/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1"/>
        </w:rPr>
        <w:t> </w:t>
      </w:r>
      <w:bookmarkEnd w:id="14"/>
      <w:r>
        <w:rPr/>
        <w:t>Problem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72"/>
        <w:jc w:val="both"/>
      </w:pPr>
      <w:r>
        <w:rPr/>
        <w:t>Some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Kutigi</w:t>
      </w:r>
      <w:r>
        <w:rPr>
          <w:spacing w:val="1"/>
        </w:rPr>
        <w:t> </w:t>
      </w:r>
      <w:r>
        <w:rPr/>
        <w:t>clay deposit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 Alabi</w:t>
      </w:r>
      <w:r>
        <w:rPr>
          <w:spacing w:val="1"/>
        </w:rPr>
        <w:t> </w:t>
      </w:r>
      <w:r>
        <w:rPr/>
        <w:t>(2015) and</w:t>
      </w:r>
      <w:r>
        <w:rPr>
          <w:spacing w:val="1"/>
        </w:rPr>
        <w:t> </w:t>
      </w:r>
      <w:r>
        <w:rPr/>
        <w:t>Akhirevbulu </w:t>
      </w:r>
      <w:r>
        <w:rPr>
          <w:i/>
        </w:rPr>
        <w:t>et al</w:t>
      </w:r>
      <w:r>
        <w:rPr/>
        <w:t>. (2010). Alabi (2015) investigated their mineralogy and geochemical</w:t>
      </w:r>
      <w:r>
        <w:rPr>
          <w:spacing w:val="1"/>
        </w:rPr>
        <w:t> </w:t>
      </w:r>
      <w:r>
        <w:rPr/>
        <w:t>characteristics while Akhirevbulu </w:t>
      </w:r>
      <w:r>
        <w:rPr>
          <w:i/>
        </w:rPr>
        <w:t>et al</w:t>
      </w:r>
      <w:r>
        <w:rPr/>
        <w:t>. (2010) studied the geology and mineralogical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clay.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ascertained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1"/>
        </w:rPr>
        <w:t> </w:t>
      </w:r>
      <w:r>
        <w:rPr/>
        <w:t>deposit,</w:t>
      </w:r>
      <w:r>
        <w:rPr>
          <w:spacing w:val="31"/>
        </w:rPr>
        <w:t> </w:t>
      </w:r>
      <w:r>
        <w:rPr/>
        <w:t>nor</w:t>
      </w:r>
      <w:r>
        <w:rPr>
          <w:spacing w:val="30"/>
        </w:rPr>
        <w:t> </w:t>
      </w:r>
      <w:r>
        <w:rPr/>
        <w:t>combined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physical</w:t>
      </w:r>
      <w:r>
        <w:rPr>
          <w:spacing w:val="32"/>
        </w:rPr>
        <w:t> </w:t>
      </w:r>
      <w:r>
        <w:rPr/>
        <w:t>properties</w:t>
      </w:r>
      <w:r>
        <w:rPr>
          <w:spacing w:val="34"/>
        </w:rPr>
        <w:t> </w:t>
      </w:r>
      <w:r>
        <w:rPr/>
        <w:t>with</w:t>
      </w:r>
      <w:r>
        <w:rPr>
          <w:spacing w:val="32"/>
        </w:rPr>
        <w:t> </w:t>
      </w:r>
      <w:r>
        <w:rPr/>
        <w:t>their</w:t>
      </w:r>
      <w:r>
        <w:rPr>
          <w:spacing w:val="34"/>
        </w:rPr>
        <w:t> </w:t>
      </w:r>
      <w:r>
        <w:rPr/>
        <w:t>mineralogy</w:t>
      </w:r>
      <w:r>
        <w:rPr>
          <w:spacing w:val="-58"/>
        </w:rPr>
        <w:t> </w:t>
      </w:r>
      <w:r>
        <w:rPr/>
        <w:t>and geochemistry to identify the potential industrial uses of the clay deposit. This work</w:t>
      </w:r>
      <w:r>
        <w:rPr>
          <w:spacing w:val="1"/>
        </w:rPr>
        <w:t> </w:t>
      </w:r>
      <w:r>
        <w:rPr/>
        <w:t>therefore tends to investigate the industrial uses of the clay as a function of its physical</w:t>
      </w:r>
      <w:r>
        <w:rPr>
          <w:spacing w:val="1"/>
        </w:rPr>
        <w:t> </w:t>
      </w:r>
      <w:r>
        <w:rPr/>
        <w:t>characteristics,</w:t>
      </w:r>
      <w:r>
        <w:rPr>
          <w:spacing w:val="-1"/>
        </w:rPr>
        <w:t> </w:t>
      </w:r>
      <w:r>
        <w:rPr/>
        <w:t>mineralogy</w:t>
      </w:r>
      <w:r>
        <w:rPr>
          <w:spacing w:val="-10"/>
        </w:rPr>
        <w:t> </w:t>
      </w:r>
      <w:r>
        <w:rPr/>
        <w:t>and</w:t>
      </w:r>
      <w:r>
        <w:rPr>
          <w:spacing w:val="2"/>
        </w:rPr>
        <w:t> </w:t>
      </w:r>
      <w:r>
        <w:rPr/>
        <w:t>geochemistry.</w:t>
      </w: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13" w:after="0"/>
        <w:ind w:left="1165" w:right="0" w:hanging="721"/>
        <w:jc w:val="both"/>
      </w:pPr>
      <w:bookmarkStart w:name="_TOC_250030" w:id="15"/>
      <w:r>
        <w:rPr/>
        <w:t>Justification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bookmarkEnd w:id="15"/>
      <w:r>
        <w:rPr/>
        <w:t>Study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2"/>
        <w:jc w:val="both"/>
      </w:pPr>
      <w:r>
        <w:rPr/>
        <w:t>The total reserve of Kutigi clay deposits was estimated to be about 672,579 tons (Alabi,</w:t>
      </w:r>
      <w:r>
        <w:rPr>
          <w:spacing w:val="1"/>
        </w:rPr>
        <w:t> </w:t>
      </w:r>
      <w:r>
        <w:rPr/>
        <w:t>2005). Despite this abundant reserve, not very much of the clay has been properly</w:t>
      </w:r>
      <w:r>
        <w:rPr>
          <w:spacing w:val="1"/>
        </w:rPr>
        <w:t> </w:t>
      </w:r>
      <w:r>
        <w:rPr/>
        <w:t>utilised.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of Nigeria</w:t>
      </w:r>
      <w:r>
        <w:rPr>
          <w:spacing w:val="1"/>
        </w:rPr>
        <w:t> </w:t>
      </w:r>
      <w:r>
        <w:rPr/>
        <w:t>is placing bans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importation of</w:t>
      </w:r>
      <w:r>
        <w:rPr>
          <w:spacing w:val="1"/>
        </w:rPr>
        <w:t> </w:t>
      </w:r>
      <w:r>
        <w:rPr/>
        <w:t>some products to</w:t>
      </w:r>
      <w:r>
        <w:rPr>
          <w:spacing w:val="60"/>
        </w:rPr>
        <w:t> </w:t>
      </w:r>
      <w:r>
        <w:rPr/>
        <w:t>give</w:t>
      </w:r>
      <w:r>
        <w:rPr>
          <w:spacing w:val="1"/>
        </w:rPr>
        <w:t> </w:t>
      </w:r>
      <w:r>
        <w:rPr/>
        <w:t>room for local content in Nigeria industries. It is therefore important that this study be</w:t>
      </w:r>
      <w:r>
        <w:rPr>
          <w:spacing w:val="1"/>
        </w:rPr>
        <w:t> </w:t>
      </w:r>
      <w:r>
        <w:rPr/>
        <w:t>carried out so as to determine the physical characteristics, mineralogy and geochemistry</w:t>
      </w:r>
      <w:r>
        <w:rPr>
          <w:spacing w:val="1"/>
        </w:rPr>
        <w:t> </w:t>
      </w:r>
      <w:r>
        <w:rPr/>
        <w:t>of the Kutigi clay deposit in other to establish their suitability for different industrial</w:t>
      </w:r>
      <w:r>
        <w:rPr>
          <w:spacing w:val="1"/>
        </w:rPr>
        <w:t> </w:t>
      </w:r>
      <w:r>
        <w:rPr/>
        <w:t>uses.</w:t>
      </w: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8" w:after="0"/>
        <w:ind w:left="1165" w:right="0" w:hanging="721"/>
        <w:jc w:val="both"/>
      </w:pPr>
      <w:bookmarkStart w:name="_TOC_250029" w:id="16"/>
      <w:r>
        <w:rPr/>
        <w:t>Aim</w:t>
      </w:r>
      <w:r>
        <w:rPr>
          <w:spacing w:val="-9"/>
        </w:rPr>
        <w:t> </w:t>
      </w:r>
      <w:r>
        <w:rPr/>
        <w:t>and</w:t>
      </w:r>
      <w:r>
        <w:rPr>
          <w:spacing w:val="-1"/>
        </w:rPr>
        <w:t> </w:t>
      </w:r>
      <w:bookmarkEnd w:id="16"/>
      <w:r>
        <w:rPr/>
        <w:t>Objectives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69"/>
        <w:jc w:val="both"/>
      </w:pPr>
      <w:r>
        <w:rPr/>
        <w:t>The aim of this research is to ascertain the potentials industrial usage of Kutigi clay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mineralogy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geochemistry.</w:t>
      </w:r>
    </w:p>
    <w:p>
      <w:pPr>
        <w:pStyle w:val="BodyText"/>
        <w:spacing w:before="1"/>
        <w:ind w:left="445"/>
        <w:jc w:val="both"/>
      </w:pPr>
      <w:r>
        <w:rPr/>
        <w:t>The</w:t>
      </w:r>
      <w:r>
        <w:rPr>
          <w:spacing w:val="-4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806" w:val="left" w:leader="none"/>
        </w:tabs>
        <w:spacing w:line="240" w:lineRule="auto" w:before="0" w:after="0"/>
        <w:ind w:left="805" w:right="0" w:hanging="361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lithological</w:t>
      </w:r>
      <w:r>
        <w:rPr>
          <w:spacing w:val="-4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deposits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49" w:right="275"/>
        <w:jc w:val="center"/>
      </w:pPr>
      <w:r>
        <w:rPr/>
        <w:t>13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ListParagraph"/>
        <w:numPr>
          <w:ilvl w:val="0"/>
          <w:numId w:val="9"/>
        </w:numPr>
        <w:tabs>
          <w:tab w:pos="806" w:val="left" w:leader="none"/>
        </w:tabs>
        <w:spacing w:line="477" w:lineRule="auto" w:before="64" w:after="0"/>
        <w:ind w:left="805" w:right="676" w:hanging="360"/>
        <w:jc w:val="left"/>
        <w:rPr>
          <w:sz w:val="24"/>
        </w:rPr>
      </w:pPr>
      <w:r>
        <w:rPr>
          <w:sz w:val="24"/>
        </w:rPr>
        <w:t>Determine the clay‟s moisture content, plasticity index, plastic limit, liquid limit and</w:t>
      </w:r>
      <w:r>
        <w:rPr>
          <w:spacing w:val="-57"/>
          <w:sz w:val="24"/>
        </w:rPr>
        <w:t> </w:t>
      </w:r>
      <w:r>
        <w:rPr>
          <w:sz w:val="24"/>
        </w:rPr>
        <w:t>shrinkage</w:t>
      </w:r>
      <w:r>
        <w:rPr>
          <w:spacing w:val="-2"/>
          <w:sz w:val="24"/>
        </w:rPr>
        <w:t> </w:t>
      </w:r>
      <w:r>
        <w:rPr>
          <w:sz w:val="24"/>
        </w:rPr>
        <w:t>limit</w:t>
      </w:r>
    </w:p>
    <w:p>
      <w:pPr>
        <w:pStyle w:val="ListParagraph"/>
        <w:numPr>
          <w:ilvl w:val="0"/>
          <w:numId w:val="9"/>
        </w:numPr>
        <w:tabs>
          <w:tab w:pos="806" w:val="left" w:leader="none"/>
        </w:tabs>
        <w:spacing w:line="480" w:lineRule="auto" w:before="4" w:after="0"/>
        <w:ind w:left="805" w:right="676" w:hanging="360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mineralogical</w:t>
      </w:r>
      <w:r>
        <w:rPr>
          <w:spacing w:val="30"/>
          <w:sz w:val="24"/>
        </w:rPr>
        <w:t> </w:t>
      </w:r>
      <w:r>
        <w:rPr>
          <w:sz w:val="24"/>
        </w:rPr>
        <w:t>composition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clay</w:t>
      </w:r>
      <w:r>
        <w:rPr>
          <w:spacing w:val="20"/>
          <w:sz w:val="24"/>
        </w:rPr>
        <w:t> </w:t>
      </w:r>
      <w:r>
        <w:rPr>
          <w:sz w:val="24"/>
        </w:rPr>
        <w:t>using</w:t>
      </w:r>
      <w:r>
        <w:rPr>
          <w:spacing w:val="33"/>
          <w:sz w:val="24"/>
        </w:rPr>
        <w:t> </w:t>
      </w:r>
      <w:r>
        <w:rPr>
          <w:sz w:val="24"/>
        </w:rPr>
        <w:t>X-Ray</w:t>
      </w:r>
      <w:r>
        <w:rPr>
          <w:spacing w:val="25"/>
          <w:sz w:val="24"/>
        </w:rPr>
        <w:t> </w:t>
      </w:r>
      <w:r>
        <w:rPr>
          <w:sz w:val="24"/>
        </w:rPr>
        <w:t>Diffraction</w:t>
      </w:r>
      <w:r>
        <w:rPr>
          <w:spacing w:val="-57"/>
          <w:sz w:val="24"/>
        </w:rPr>
        <w:t> </w:t>
      </w:r>
      <w:r>
        <w:rPr>
          <w:sz w:val="24"/>
        </w:rPr>
        <w:t>spectrometry</w:t>
      </w:r>
      <w:r>
        <w:rPr>
          <w:spacing w:val="-7"/>
          <w:sz w:val="24"/>
        </w:rPr>
        <w:t> </w:t>
      </w:r>
      <w:r>
        <w:rPr>
          <w:sz w:val="24"/>
        </w:rPr>
        <w:t>technique</w:t>
      </w:r>
    </w:p>
    <w:p>
      <w:pPr>
        <w:pStyle w:val="ListParagraph"/>
        <w:numPr>
          <w:ilvl w:val="0"/>
          <w:numId w:val="9"/>
        </w:numPr>
        <w:tabs>
          <w:tab w:pos="806" w:val="left" w:leader="none"/>
        </w:tabs>
        <w:spacing w:line="480" w:lineRule="auto" w:before="0" w:after="0"/>
        <w:ind w:left="805" w:right="681" w:hanging="360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elemental</w:t>
      </w:r>
      <w:r>
        <w:rPr>
          <w:spacing w:val="51"/>
          <w:sz w:val="24"/>
        </w:rPr>
        <w:t> </w:t>
      </w:r>
      <w:r>
        <w:rPr>
          <w:sz w:val="24"/>
        </w:rPr>
        <w:t>composition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clay</w:t>
      </w:r>
      <w:r>
        <w:rPr>
          <w:spacing w:val="39"/>
          <w:sz w:val="24"/>
        </w:rPr>
        <w:t> </w:t>
      </w:r>
      <w:r>
        <w:rPr>
          <w:sz w:val="24"/>
        </w:rPr>
        <w:t>using</w:t>
      </w:r>
      <w:r>
        <w:rPr>
          <w:spacing w:val="49"/>
          <w:sz w:val="24"/>
        </w:rPr>
        <w:t> </w:t>
      </w:r>
      <w:r>
        <w:rPr>
          <w:sz w:val="24"/>
        </w:rPr>
        <w:t>X-Ray</w:t>
      </w:r>
      <w:r>
        <w:rPr>
          <w:spacing w:val="44"/>
          <w:sz w:val="24"/>
        </w:rPr>
        <w:t> </w:t>
      </w:r>
      <w:r>
        <w:rPr>
          <w:sz w:val="24"/>
        </w:rPr>
        <w:t>Fluorescence</w:t>
      </w:r>
      <w:r>
        <w:rPr>
          <w:spacing w:val="-57"/>
          <w:sz w:val="24"/>
        </w:rPr>
        <w:t> </w:t>
      </w:r>
      <w:r>
        <w:rPr>
          <w:sz w:val="24"/>
        </w:rPr>
        <w:t>technique</w:t>
      </w:r>
    </w:p>
    <w:p>
      <w:pPr>
        <w:pStyle w:val="ListParagraph"/>
        <w:numPr>
          <w:ilvl w:val="0"/>
          <w:numId w:val="9"/>
        </w:numPr>
        <w:tabs>
          <w:tab w:pos="808" w:val="left" w:leader="none"/>
        </w:tabs>
        <w:spacing w:line="480" w:lineRule="auto" w:before="3" w:after="0"/>
        <w:ind w:left="805" w:right="681" w:hanging="360"/>
        <w:jc w:val="left"/>
        <w:rPr>
          <w:sz w:val="24"/>
        </w:rPr>
      </w:pPr>
      <w:r>
        <w:rPr>
          <w:sz w:val="24"/>
        </w:rPr>
        <w:t>Identify the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uses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clay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-57"/>
          <w:sz w:val="24"/>
        </w:rPr>
        <w:t> </w:t>
      </w:r>
      <w:r>
        <w:rPr>
          <w:sz w:val="24"/>
        </w:rPr>
        <w:t>physical,</w:t>
      </w:r>
      <w:r>
        <w:rPr>
          <w:spacing w:val="-1"/>
          <w:sz w:val="24"/>
        </w:rPr>
        <w:t> </w:t>
      </w:r>
      <w:r>
        <w:rPr>
          <w:sz w:val="24"/>
        </w:rPr>
        <w:t>mineralogical</w:t>
      </w:r>
      <w:r>
        <w:rPr>
          <w:spacing w:val="3"/>
          <w:sz w:val="24"/>
        </w:rPr>
        <w:t> </w:t>
      </w:r>
      <w:r>
        <w:rPr>
          <w:sz w:val="24"/>
        </w:rPr>
        <w:t>and chemical</w:t>
      </w:r>
      <w:r>
        <w:rPr>
          <w:spacing w:val="-1"/>
          <w:sz w:val="24"/>
        </w:rPr>
        <w:t> </w:t>
      </w:r>
      <w:r>
        <w:rPr>
          <w:sz w:val="24"/>
        </w:rPr>
        <w:t>analyses.</w:t>
      </w:r>
    </w:p>
    <w:p>
      <w:pPr>
        <w:pStyle w:val="Heading1"/>
        <w:numPr>
          <w:ilvl w:val="1"/>
          <w:numId w:val="6"/>
        </w:numPr>
        <w:tabs>
          <w:tab w:pos="1165" w:val="left" w:leader="none"/>
          <w:tab w:pos="1166" w:val="left" w:leader="none"/>
        </w:tabs>
        <w:spacing w:line="240" w:lineRule="auto" w:before="10" w:after="0"/>
        <w:ind w:left="1165" w:right="0" w:hanging="721"/>
        <w:jc w:val="left"/>
      </w:pPr>
      <w:bookmarkStart w:name="_TOC_250028" w:id="17"/>
      <w:r>
        <w:rPr/>
        <w:t>Scope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bookmarkEnd w:id="17"/>
      <w:r>
        <w:rPr/>
        <w:t>Study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67"/>
        <w:jc w:val="both"/>
      </w:pPr>
      <w:r>
        <w:rPr/>
        <w:t>This study involved determining the industrial potential of the Kutigi clay deposit in</w:t>
      </w:r>
      <w:r>
        <w:rPr>
          <w:spacing w:val="1"/>
        </w:rPr>
        <w:t> </w:t>
      </w:r>
      <w:r>
        <w:rPr/>
        <w:t>central Bida Basin. The physical, mineralogical and chemical attributes of the clay</w:t>
      </w:r>
      <w:r>
        <w:rPr>
          <w:spacing w:val="1"/>
        </w:rPr>
        <w:t> </w:t>
      </w:r>
      <w:r>
        <w:rPr/>
        <w:t>deposits will be used to deduce what uses the clay can be put into when compare with</w:t>
      </w:r>
      <w:r>
        <w:rPr>
          <w:spacing w:val="1"/>
        </w:rPr>
        <w:t> </w:t>
      </w:r>
      <w:r>
        <w:rPr/>
        <w:t>specific standard or specification for use of clay in different industries. The result of this</w:t>
      </w:r>
      <w:r>
        <w:rPr>
          <w:spacing w:val="-57"/>
        </w:rPr>
        <w:t> </w:t>
      </w:r>
      <w:r>
        <w:rPr/>
        <w:t>study will also be compared with similar studies done in Nigeria. Reserve evaluation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clay</w:t>
      </w:r>
      <w:r>
        <w:rPr>
          <w:spacing w:val="-8"/>
        </w:rPr>
        <w:t> </w:t>
      </w:r>
      <w:r>
        <w:rPr/>
        <w:t>deposit in the study</w:t>
      </w:r>
      <w:r>
        <w:rPr>
          <w:spacing w:val="-8"/>
        </w:rPr>
        <w:t> </w:t>
      </w:r>
      <w:r>
        <w:rPr/>
        <w:t>area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in this work.</w:t>
      </w: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10" w:after="0"/>
        <w:ind w:left="1165" w:right="0" w:hanging="721"/>
        <w:jc w:val="both"/>
      </w:pPr>
      <w:bookmarkStart w:name="_TOC_250027" w:id="18"/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2"/>
        </w:rPr>
        <w:t> </w:t>
      </w:r>
      <w:bookmarkEnd w:id="18"/>
      <w:r>
        <w:rPr/>
        <w:t>Area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0" w:after="0"/>
        <w:ind w:left="1165" w:right="0" w:hanging="721"/>
        <w:jc w:val="both"/>
      </w:pPr>
      <w:bookmarkStart w:name="_TOC_250026" w:id="19"/>
      <w:r>
        <w:rPr/>
        <w:t>Location,</w:t>
      </w:r>
      <w:r>
        <w:rPr>
          <w:spacing w:val="-5"/>
        </w:rPr>
        <w:t> </w:t>
      </w:r>
      <w:r>
        <w:rPr/>
        <w:t>extent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19"/>
      <w:r>
        <w:rPr/>
        <w:t>accessibility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5"/>
        <w:jc w:val="both"/>
      </w:pPr>
      <w:r>
        <w:rPr/>
        <w:t>The study area is part of the Bida Basin and is situated in Lavun</w:t>
      </w:r>
      <w:r>
        <w:rPr>
          <w:spacing w:val="60"/>
        </w:rPr>
        <w:t> </w:t>
      </w:r>
      <w:r>
        <w:rPr/>
        <w:t>Local Government</w:t>
      </w:r>
      <w:r>
        <w:rPr>
          <w:spacing w:val="1"/>
        </w:rPr>
        <w:t> </w:t>
      </w:r>
      <w:r>
        <w:rPr/>
        <w:t>Area of Niger State. The Bida basin is bounded to the north and south by Precambrian</w:t>
      </w:r>
      <w:r>
        <w:rPr>
          <w:spacing w:val="1"/>
        </w:rPr>
        <w:t> </w:t>
      </w:r>
      <w:r>
        <w:rPr/>
        <w:t>basement rocks. The largest portion of the basin occurred at the southern half of Niger</w:t>
      </w:r>
      <w:r>
        <w:rPr>
          <w:spacing w:val="1"/>
        </w:rPr>
        <w:t> </w:t>
      </w:r>
      <w:r>
        <w:rPr/>
        <w:t>state, which formed the</w:t>
      </w:r>
      <w:r>
        <w:rPr>
          <w:spacing w:val="60"/>
        </w:rPr>
        <w:t> </w:t>
      </w:r>
      <w:r>
        <w:rPr/>
        <w:t>central portion of the basin that constitutes the study area</w:t>
      </w:r>
      <w:r>
        <w:rPr>
          <w:spacing w:val="1"/>
        </w:rPr>
        <w:t> </w:t>
      </w:r>
      <w:r>
        <w:rPr/>
        <w:t>(Figure 1.3). Kutigi is the major town in the area, while the surrounding villages include</w:t>
      </w:r>
      <w:r>
        <w:rPr>
          <w:spacing w:val="-57"/>
        </w:rPr>
        <w:t> </w:t>
      </w:r>
      <w:r>
        <w:rPr/>
        <w:t>Kusogi,</w:t>
      </w:r>
      <w:r>
        <w:rPr>
          <w:spacing w:val="2"/>
        </w:rPr>
        <w:t> </w:t>
      </w:r>
      <w:r>
        <w:rPr/>
        <w:t>Shebe,</w:t>
      </w:r>
      <w:r>
        <w:rPr>
          <w:spacing w:val="2"/>
        </w:rPr>
        <w:t> </w:t>
      </w:r>
      <w:r>
        <w:rPr/>
        <w:t>Makufu,</w:t>
      </w:r>
      <w:r>
        <w:rPr>
          <w:spacing w:val="1"/>
        </w:rPr>
        <w:t> </w:t>
      </w:r>
      <w:r>
        <w:rPr/>
        <w:t>Fazhi</w:t>
      </w:r>
      <w:r>
        <w:rPr>
          <w:spacing w:val="-1"/>
        </w:rPr>
        <w:t> </w:t>
      </w:r>
      <w:r>
        <w:rPr/>
        <w:t>and Ruga.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49" w:right="275"/>
        <w:jc w:val="center"/>
      </w:pPr>
      <w:r>
        <w:rPr/>
        <w:t>14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ind w:left="445"/>
        <w:rPr>
          <w:sz w:val="20"/>
        </w:rPr>
      </w:pPr>
      <w:r>
        <w:rPr>
          <w:sz w:val="20"/>
        </w:rPr>
        <w:drawing>
          <wp:inline distT="0" distB="0" distL="0" distR="0">
            <wp:extent cx="4878101" cy="3936777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101" cy="393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6" w:lineRule="auto" w:before="145"/>
        <w:ind w:left="1978" w:right="1771" w:hanging="1412"/>
      </w:pPr>
      <w:r>
        <w:rPr/>
        <w:t>Figure 1.3: Geological map of Bida Basin showing the location of the study</w:t>
      </w:r>
      <w:r>
        <w:rPr>
          <w:spacing w:val="-57"/>
        </w:rPr>
        <w:t> </w:t>
      </w:r>
      <w:r>
        <w:rPr/>
        <w:t>area</w:t>
      </w:r>
      <w:r>
        <w:rPr>
          <w:spacing w:val="-2"/>
        </w:rPr>
        <w:t> </w:t>
      </w:r>
      <w:r>
        <w:rPr/>
        <w:t>(Modified after</w:t>
      </w:r>
      <w:r>
        <w:rPr>
          <w:spacing w:val="1"/>
        </w:rPr>
        <w:t> </w:t>
      </w:r>
      <w:r>
        <w:rPr/>
        <w:t>Okosun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2007)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0" w:after="0"/>
        <w:ind w:left="1165" w:right="0" w:hanging="721"/>
        <w:jc w:val="both"/>
      </w:pPr>
      <w:bookmarkStart w:name="_TOC_250025" w:id="20"/>
      <w:r>
        <w:rPr/>
        <w:t>Relief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0"/>
      <w:r>
        <w:rPr/>
        <w:t>drainage.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6"/>
        <w:jc w:val="both"/>
      </w:pPr>
      <w:r>
        <w:rPr/>
        <w:t>The</w:t>
      </w:r>
      <w:r>
        <w:rPr>
          <w:spacing w:val="1"/>
        </w:rPr>
        <w:t> </w:t>
      </w:r>
      <w:r>
        <w:rPr/>
        <w:t>landform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flat</w:t>
      </w:r>
      <w:r>
        <w:rPr>
          <w:spacing w:val="1"/>
        </w:rPr>
        <w:t> </w:t>
      </w:r>
      <w:r>
        <w:rPr/>
        <w:t>lying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gently</w:t>
      </w:r>
      <w:r>
        <w:rPr>
          <w:spacing w:val="1"/>
        </w:rPr>
        <w:t> </w:t>
      </w:r>
      <w:r>
        <w:rPr/>
        <w:t>rolling</w:t>
      </w:r>
      <w:r>
        <w:rPr>
          <w:spacing w:val="60"/>
        </w:rPr>
        <w:t> </w:t>
      </w:r>
      <w:r>
        <w:rPr/>
        <w:t>plains</w:t>
      </w:r>
      <w:r>
        <w:rPr>
          <w:spacing w:val="1"/>
        </w:rPr>
        <w:t> </w:t>
      </w:r>
      <w:r>
        <w:rPr/>
        <w:t>consisting of clays of various colours within thin cover of ferruginous sandstone; this</w:t>
      </w:r>
      <w:r>
        <w:rPr>
          <w:spacing w:val="1"/>
        </w:rPr>
        <w:t> </w:t>
      </w:r>
      <w:r>
        <w:rPr/>
        <w:t>continuity is broken by residual hills, which are conical or flat topped. The area is mark</w:t>
      </w:r>
      <w:r>
        <w:rPr>
          <w:spacing w:val="1"/>
        </w:rPr>
        <w:t> </w:t>
      </w:r>
      <w:r>
        <w:rPr/>
        <w:t>by a NW-SE and a NE-SE running ridges which are composed of laterite. The area is</w:t>
      </w:r>
      <w:r>
        <w:rPr>
          <w:spacing w:val="1"/>
        </w:rPr>
        <w:t> </w:t>
      </w:r>
      <w:r>
        <w:rPr/>
        <w:t>well</w:t>
      </w:r>
      <w:r>
        <w:rPr>
          <w:spacing w:val="14"/>
        </w:rPr>
        <w:t> </w:t>
      </w:r>
      <w:r>
        <w:rPr/>
        <w:t>drained</w:t>
      </w:r>
      <w:r>
        <w:rPr>
          <w:spacing w:val="11"/>
        </w:rPr>
        <w:t> </w:t>
      </w:r>
      <w:r>
        <w:rPr/>
        <w:t>by</w:t>
      </w:r>
      <w:r>
        <w:rPr>
          <w:spacing w:val="4"/>
        </w:rPr>
        <w:t> </w:t>
      </w:r>
      <w:r>
        <w:rPr/>
        <w:t>river</w:t>
      </w:r>
      <w:r>
        <w:rPr>
          <w:spacing w:val="11"/>
        </w:rPr>
        <w:t> </w:t>
      </w:r>
      <w:r>
        <w:rPr/>
        <w:t>Toro</w:t>
      </w:r>
      <w:r>
        <w:rPr>
          <w:spacing w:val="12"/>
        </w:rPr>
        <w:t> </w:t>
      </w:r>
      <w:r>
        <w:rPr/>
        <w:t>which</w:t>
      </w:r>
      <w:r>
        <w:rPr>
          <w:spacing w:val="14"/>
        </w:rPr>
        <w:t> </w:t>
      </w:r>
      <w:r>
        <w:rPr/>
        <w:t>run</w:t>
      </w:r>
      <w:r>
        <w:rPr>
          <w:spacing w:val="11"/>
        </w:rPr>
        <w:t> </w:t>
      </w:r>
      <w:r>
        <w:rPr/>
        <w:t>near</w:t>
      </w:r>
      <w:r>
        <w:rPr>
          <w:spacing w:val="14"/>
        </w:rPr>
        <w:t> </w:t>
      </w:r>
      <w:r>
        <w:rPr/>
        <w:t>Kusogi</w:t>
      </w:r>
      <w:r>
        <w:rPr>
          <w:spacing w:val="14"/>
        </w:rPr>
        <w:t> </w:t>
      </w:r>
      <w:r>
        <w:rPr/>
        <w:t>village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flow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NE</w:t>
      </w:r>
      <w:r>
        <w:rPr>
          <w:spacing w:val="11"/>
        </w:rPr>
        <w:t> </w:t>
      </w:r>
      <w:r>
        <w:rPr/>
        <w:t>direction</w:t>
      </w:r>
      <w:r>
        <w:rPr>
          <w:spacing w:val="-58"/>
        </w:rPr>
        <w:t> </w:t>
      </w:r>
      <w:r>
        <w:rPr/>
        <w:t>of Egbako SW. Streams that enters river Toro as tributaries are seasonal and forms a</w:t>
      </w:r>
      <w:r>
        <w:rPr>
          <w:spacing w:val="1"/>
        </w:rPr>
        <w:t> </w:t>
      </w:r>
      <w:r>
        <w:rPr/>
        <w:t>dendritic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terrain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lithological,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topographic</w:t>
      </w:r>
      <w:r>
        <w:rPr>
          <w:spacing w:val="1"/>
        </w:rPr>
        <w:t> </w:t>
      </w:r>
      <w:r>
        <w:rPr/>
        <w:t>homogeneity basement,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fault</w:t>
      </w:r>
      <w:r>
        <w:rPr>
          <w:spacing w:val="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trending</w:t>
      </w:r>
      <w:r>
        <w:rPr>
          <w:spacing w:val="-3"/>
        </w:rPr>
        <w:t> </w:t>
      </w:r>
      <w:r>
        <w:rPr/>
        <w:t>northeast-southwest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northwest-southeast (Kogbe,</w:t>
      </w:r>
      <w:r>
        <w:rPr>
          <w:spacing w:val="-1"/>
        </w:rPr>
        <w:t> </w:t>
      </w:r>
      <w:r>
        <w:rPr/>
        <w:t>1981).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9" w:right="275"/>
        <w:jc w:val="center"/>
      </w:pPr>
      <w:r>
        <w:rPr/>
        <w:t>15</w:t>
      </w:r>
    </w:p>
    <w:p>
      <w:pPr>
        <w:spacing w:after="0"/>
        <w:jc w:val="center"/>
        <w:sectPr>
          <w:pgSz w:w="11910" w:h="16840"/>
          <w:pgMar w:header="0" w:footer="294" w:top="1400" w:bottom="480" w:left="1540" w:right="740"/>
        </w:sectPr>
      </w:pP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r>
        <w:rPr/>
        <w:t>Climates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vegetation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75"/>
        <w:jc w:val="both"/>
      </w:pPr>
      <w:r>
        <w:rPr/>
        <w:t>The study area lies within the Guinea climate region of Nigeria climate regions marked</w:t>
      </w:r>
      <w:r>
        <w:rPr>
          <w:spacing w:val="1"/>
        </w:rPr>
        <w:t> </w:t>
      </w:r>
      <w:r>
        <w:rPr/>
        <w:t>by dry Season (November – March) and wet/raining season (April - October) with</w:t>
      </w:r>
      <w:r>
        <w:rPr>
          <w:spacing w:val="1"/>
        </w:rPr>
        <w:t> </w:t>
      </w:r>
      <w:r>
        <w:rPr/>
        <w:t>highest amount of rain recorded in the month of July. Its annual rainfall have been</w:t>
      </w:r>
      <w:r>
        <w:rPr>
          <w:spacing w:val="1"/>
        </w:rPr>
        <w:t> </w:t>
      </w:r>
      <w:r>
        <w:rPr/>
        <w:t>determined by the Department of Geography, Federal University of Technology, Minna</w:t>
      </w:r>
      <w:r>
        <w:rPr>
          <w:spacing w:val="1"/>
        </w:rPr>
        <w:t> </w:t>
      </w:r>
      <w:r>
        <w:rPr/>
        <w:t>to amount between 1270 mm – 1524 mm, spread over the month of April</w:t>
      </w:r>
      <w:r>
        <w:rPr>
          <w:spacing w:val="60"/>
        </w:rPr>
        <w:t> </w:t>
      </w:r>
      <w:r>
        <w:rPr/>
        <w:t>– October</w:t>
      </w:r>
      <w:r>
        <w:rPr>
          <w:spacing w:val="1"/>
        </w:rPr>
        <w:t> </w:t>
      </w:r>
      <w:r>
        <w:rPr/>
        <w:t>with the highest amount received in the month of July. Mean annual temperatures are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22°C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33°C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(Akhirevbulu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line="480" w:lineRule="auto" w:before="3"/>
        <w:ind w:left="445" w:right="673"/>
        <w:jc w:val="both"/>
      </w:pPr>
      <w:r>
        <w:rPr/>
        <w:t>Two air masses dominate the climate of the study area: the maritime air mass (moisture</w:t>
      </w:r>
      <w:r>
        <w:rPr>
          <w:spacing w:val="1"/>
        </w:rPr>
        <w:t> </w:t>
      </w:r>
      <w:r>
        <w:rPr/>
        <w:t>laden)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by south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continental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(Harmattan).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continental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(Harmattan)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humidity,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36°C,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dusty,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maritime air mass (moisture laden) is responsible for the rainfall and low temperature.</w:t>
      </w:r>
      <w:r>
        <w:rPr>
          <w:spacing w:val="1"/>
        </w:rPr>
        <w:t> </w:t>
      </w:r>
      <w:r>
        <w:rPr/>
        <w:t>The vegetation is of typical Guinea Savanna belt of the West Africa rich in grasses of</w:t>
      </w:r>
      <w:r>
        <w:rPr>
          <w:spacing w:val="1"/>
        </w:rPr>
        <w:t> </w:t>
      </w:r>
      <w:r>
        <w:rPr/>
        <w:t>average Height of 2 to 3 meters and also fire-resistance trees which reach up to 18</w:t>
      </w:r>
      <w:r>
        <w:rPr>
          <w:spacing w:val="1"/>
        </w:rPr>
        <w:t> </w:t>
      </w:r>
      <w:r>
        <w:rPr/>
        <w:t>meters in height. The trees and grasses are interspersed and become gradually small and</w:t>
      </w:r>
      <w:r>
        <w:rPr>
          <w:spacing w:val="1"/>
        </w:rPr>
        <w:t> </w:t>
      </w:r>
      <w:r>
        <w:rPr/>
        <w:t>less luxuriant in appearance. Acacia‟s trees of between 3 to 6 meters high are found on</w:t>
      </w:r>
      <w:r>
        <w:rPr>
          <w:spacing w:val="1"/>
        </w:rPr>
        <w:t> </w:t>
      </w:r>
      <w:r>
        <w:rPr/>
        <w:t>the plains, they have thick leaves and thorns. Flood plains are characterized by tall</w:t>
      </w:r>
      <w:r>
        <w:rPr>
          <w:spacing w:val="1"/>
        </w:rPr>
        <w:t> </w:t>
      </w:r>
      <w:r>
        <w:rPr/>
        <w:t>grasses and scanty palm trees of average height of 7 meters. The common trees are</w:t>
      </w:r>
      <w:r>
        <w:rPr>
          <w:spacing w:val="1"/>
        </w:rPr>
        <w:t> </w:t>
      </w:r>
      <w:r>
        <w:rPr/>
        <w:t>baobab,</w:t>
      </w:r>
      <w:r>
        <w:rPr>
          <w:spacing w:val="-1"/>
        </w:rPr>
        <w:t> </w:t>
      </w:r>
      <w:r>
        <w:rPr/>
        <w:t>kapko,</w:t>
      </w:r>
      <w:r>
        <w:rPr>
          <w:spacing w:val="2"/>
        </w:rPr>
        <w:t> </w:t>
      </w:r>
      <w:r>
        <w:rPr/>
        <w:t>acacia,</w:t>
      </w:r>
      <w:r>
        <w:rPr>
          <w:spacing w:val="1"/>
        </w:rPr>
        <w:t> </w:t>
      </w:r>
      <w:r>
        <w:rPr/>
        <w:t>shear-</w:t>
      </w:r>
      <w:r>
        <w:rPr>
          <w:spacing w:val="-1"/>
        </w:rPr>
        <w:t> </w:t>
      </w:r>
      <w:r>
        <w:rPr/>
        <w:t>butter</w:t>
      </w:r>
      <w:r>
        <w:rPr>
          <w:spacing w:val="-2"/>
        </w:rPr>
        <w:t> </w:t>
      </w:r>
      <w:r>
        <w:rPr/>
        <w:t>and locust-beans</w:t>
      </w:r>
      <w:r>
        <w:rPr>
          <w:spacing w:val="-1"/>
        </w:rPr>
        <w:t> </w:t>
      </w:r>
      <w:r>
        <w:rPr/>
        <w:t>plant (Alabi,</w:t>
      </w:r>
      <w:r>
        <w:rPr>
          <w:spacing w:val="-1"/>
        </w:rPr>
        <w:t> </w:t>
      </w:r>
      <w:r>
        <w:rPr/>
        <w:t>2005).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9" w:after="0"/>
        <w:ind w:left="1165" w:right="0" w:hanging="721"/>
        <w:jc w:val="both"/>
      </w:pPr>
      <w:r>
        <w:rPr/>
        <w:t>Settlements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land</w:t>
      </w:r>
      <w:r>
        <w:rPr>
          <w:spacing w:val="-4"/>
        </w:rPr>
        <w:t> </w:t>
      </w:r>
      <w:r>
        <w:rPr/>
        <w:t>use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6"/>
        <w:jc w:val="both"/>
      </w:pPr>
      <w:r>
        <w:rPr/>
        <w:t>The main settlement within the study area is Kutigi, other settlement found within the</w:t>
      </w:r>
      <w:r>
        <w:rPr>
          <w:spacing w:val="1"/>
        </w:rPr>
        <w:t> </w:t>
      </w:r>
      <w:r>
        <w:rPr/>
        <w:t>area include Kusogi, shebe, Makufu, Fazhi and Ruga. The land is used mainly for</w:t>
      </w:r>
      <w:r>
        <w:rPr>
          <w:spacing w:val="1"/>
        </w:rPr>
        <w:t> </w:t>
      </w:r>
      <w:r>
        <w:rPr/>
        <w:t>farming.</w:t>
      </w:r>
      <w:r>
        <w:rPr>
          <w:spacing w:val="43"/>
        </w:rPr>
        <w:t> </w:t>
      </w:r>
      <w:r>
        <w:rPr/>
        <w:t>Places</w:t>
      </w:r>
      <w:r>
        <w:rPr>
          <w:spacing w:val="41"/>
        </w:rPr>
        <w:t> </w:t>
      </w:r>
      <w:r>
        <w:rPr/>
        <w:t>with</w:t>
      </w:r>
      <w:r>
        <w:rPr>
          <w:spacing w:val="43"/>
        </w:rPr>
        <w:t> </w:t>
      </w:r>
      <w:r>
        <w:rPr/>
        <w:t>clay</w:t>
      </w:r>
      <w:r>
        <w:rPr>
          <w:spacing w:val="36"/>
        </w:rPr>
        <w:t> </w:t>
      </w:r>
      <w:r>
        <w:rPr/>
        <w:t>cover</w:t>
      </w:r>
      <w:r>
        <w:rPr>
          <w:spacing w:val="37"/>
        </w:rPr>
        <w:t> </w:t>
      </w:r>
      <w:r>
        <w:rPr/>
        <w:t>are</w:t>
      </w:r>
      <w:r>
        <w:rPr>
          <w:spacing w:val="40"/>
        </w:rPr>
        <w:t> </w:t>
      </w:r>
      <w:r>
        <w:rPr/>
        <w:t>more</w:t>
      </w:r>
      <w:r>
        <w:rPr>
          <w:spacing w:val="37"/>
        </w:rPr>
        <w:t> </w:t>
      </w:r>
      <w:r>
        <w:rPr/>
        <w:t>intensely</w:t>
      </w:r>
      <w:r>
        <w:rPr>
          <w:spacing w:val="33"/>
        </w:rPr>
        <w:t> </w:t>
      </w:r>
      <w:r>
        <w:rPr/>
        <w:t>cultivated</w:t>
      </w:r>
      <w:r>
        <w:rPr>
          <w:spacing w:val="39"/>
        </w:rPr>
        <w:t> </w:t>
      </w:r>
      <w:r>
        <w:rPr/>
        <w:t>than</w:t>
      </w:r>
      <w:r>
        <w:rPr>
          <w:spacing w:val="45"/>
        </w:rPr>
        <w:t> </w:t>
      </w:r>
      <w:r>
        <w:rPr/>
        <w:t>areas</w:t>
      </w:r>
      <w:r>
        <w:rPr>
          <w:spacing w:val="40"/>
        </w:rPr>
        <w:t> </w:t>
      </w:r>
      <w:r>
        <w:rPr/>
        <w:t>with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49" w:right="275"/>
        <w:jc w:val="center"/>
      </w:pPr>
      <w:r>
        <w:rPr/>
        <w:t>16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77" w:lineRule="auto" w:before="64"/>
        <w:ind w:left="445" w:right="681"/>
        <w:jc w:val="both"/>
      </w:pPr>
      <w:r>
        <w:rPr/>
        <w:t>ferruginous sandstone, which are usually bare and dry and may contain hard lateritic</w:t>
      </w:r>
      <w:r>
        <w:rPr>
          <w:spacing w:val="1"/>
        </w:rPr>
        <w:t> </w:t>
      </w:r>
      <w:r>
        <w:rPr/>
        <w:t>cover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surface.</w:t>
      </w:r>
      <w:r>
        <w:rPr>
          <w:spacing w:val="-2"/>
        </w:rPr>
        <w:t> </w:t>
      </w:r>
      <w:r>
        <w:rPr/>
        <w:t>Crops</w:t>
      </w:r>
      <w:r>
        <w:rPr>
          <w:spacing w:val="-2"/>
        </w:rPr>
        <w:t> </w:t>
      </w:r>
      <w:r>
        <w:rPr/>
        <w:t>cultivated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area</w:t>
      </w:r>
      <w:r>
        <w:rPr>
          <w:spacing w:val="-3"/>
        </w:rPr>
        <w:t> </w:t>
      </w:r>
      <w:r>
        <w:rPr/>
        <w:t>include</w:t>
      </w:r>
      <w:r>
        <w:rPr>
          <w:spacing w:val="4"/>
        </w:rPr>
        <w:t> </w:t>
      </w:r>
      <w:r>
        <w:rPr/>
        <w:t>yams,</w:t>
      </w:r>
      <w:r>
        <w:rPr>
          <w:spacing w:val="-2"/>
        </w:rPr>
        <w:t> </w:t>
      </w:r>
      <w:r>
        <w:rPr/>
        <w:t>maize, rice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cassava.</w:t>
      </w:r>
    </w:p>
    <w:p>
      <w:pPr>
        <w:pStyle w:val="Heading1"/>
        <w:numPr>
          <w:ilvl w:val="1"/>
          <w:numId w:val="6"/>
        </w:numPr>
        <w:tabs>
          <w:tab w:pos="1166" w:val="left" w:leader="none"/>
        </w:tabs>
        <w:spacing w:line="240" w:lineRule="auto" w:before="16" w:after="0"/>
        <w:ind w:left="1165" w:right="0" w:hanging="721"/>
        <w:jc w:val="both"/>
      </w:pPr>
      <w:bookmarkStart w:name="_TOC_250024" w:id="21"/>
      <w:r>
        <w:rPr/>
        <w:t>Regional</w:t>
      </w:r>
      <w:r>
        <w:rPr>
          <w:spacing w:val="-4"/>
        </w:rPr>
        <w:t> </w:t>
      </w:r>
      <w:r>
        <w:rPr/>
        <w:t>Geology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Structural</w:t>
      </w:r>
      <w:r>
        <w:rPr>
          <w:spacing w:val="-4"/>
        </w:rPr>
        <w:t> </w:t>
      </w:r>
      <w:bookmarkEnd w:id="21"/>
      <w:r>
        <w:rPr/>
        <w:t>Setting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445" w:right="671"/>
        <w:jc w:val="both"/>
      </w:pPr>
      <w:r>
        <w:rPr/>
        <w:pict>
          <v:group style="position:absolute;margin-left:99.974998pt;margin-top:249.918106pt;width:390.5pt;height:299.05pt;mso-position-horizontal-relative:page;mso-position-vertical-relative:paragraph;z-index:-15727104;mso-wrap-distance-left:0;mso-wrap-distance-right:0" coordorigin="1999,4998" coordsize="7810,5981">
            <v:shape style="position:absolute;left:2044;top:5043;width:7720;height:5891" type="#_x0000_t75" stroked="false">
              <v:imagedata r:id="rId10" o:title=""/>
            </v:shape>
            <v:rect style="position:absolute;left:2022;top:5020;width:7765;height:5936" filled="false" stroked="true" strokeweight="2.25pt" strokecolor="#000000">
              <v:stroke dashstyle="solid"/>
            </v:rect>
            <w10:wrap type="topAndBottom"/>
          </v:group>
        </w:pict>
      </w:r>
      <w:r>
        <w:rPr/>
        <w:t>The study area falls within the Bida Basin. The Basin is a NW-SE trending inland basin,</w:t>
      </w:r>
      <w:r>
        <w:rPr>
          <w:spacing w:val="-57"/>
        </w:rPr>
        <w:t> </w:t>
      </w:r>
      <w:r>
        <w:rPr/>
        <w:t>stretching from Shegwa (NW) to Dekina (SE). It is approximately 350 km long and</w:t>
      </w:r>
      <w:r>
        <w:rPr>
          <w:spacing w:val="1"/>
        </w:rPr>
        <w:t> </w:t>
      </w:r>
      <w:r>
        <w:rPr/>
        <w:t>varies in width from 75 to 150 km. It is roughly elliptical in ground plan and runs</w:t>
      </w:r>
      <w:r>
        <w:rPr>
          <w:spacing w:val="1"/>
        </w:rPr>
        <w:t> </w:t>
      </w:r>
      <w:r>
        <w:rPr/>
        <w:t>perpendicularly to the western margin of the NE-SW trending Benue Trough Complex</w:t>
      </w:r>
      <w:r>
        <w:rPr>
          <w:spacing w:val="1"/>
        </w:rPr>
        <w:t> </w:t>
      </w:r>
      <w:r>
        <w:rPr/>
        <w:t>(Rahaman </w:t>
      </w:r>
      <w:r>
        <w:rPr>
          <w:i/>
        </w:rPr>
        <w:t>et al., </w:t>
      </w:r>
      <w:r>
        <w:rPr/>
        <w:t>2018). The central part of the basin where the study area is located is</w:t>
      </w:r>
      <w:r>
        <w:rPr>
          <w:spacing w:val="1"/>
        </w:rPr>
        <w:t> </w:t>
      </w:r>
      <w:r>
        <w:rPr/>
        <w:t>the largest and occurs in the southern half of Niger State (Akhirevbulu </w:t>
      </w:r>
      <w:r>
        <w:rPr>
          <w:i/>
        </w:rPr>
        <w:t>et al., </w:t>
      </w:r>
      <w:r>
        <w:rPr/>
        <w:t>2010). The</w:t>
      </w:r>
      <w:r>
        <w:rPr>
          <w:spacing w:val="-57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basins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(Campanian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Maastrichitian) and is bounded in the NW and</w:t>
      </w:r>
      <w:r>
        <w:rPr>
          <w:spacing w:val="60"/>
        </w:rPr>
        <w:t> </w:t>
      </w:r>
      <w:r>
        <w:rPr/>
        <w:t>SE by the basement complex (Figure</w:t>
      </w:r>
      <w:r>
        <w:rPr>
          <w:spacing w:val="1"/>
        </w:rPr>
        <w:t> </w:t>
      </w:r>
      <w:r>
        <w:rPr/>
        <w:t>1.4).</w:t>
      </w:r>
    </w:p>
    <w:p>
      <w:pPr>
        <w:pStyle w:val="BodyText"/>
        <w:spacing w:before="73"/>
        <w:ind w:left="1213" w:right="1877"/>
        <w:jc w:val="center"/>
      </w:pPr>
      <w:r>
        <w:rPr/>
        <w:t>Figure</w:t>
      </w:r>
      <w:r>
        <w:rPr>
          <w:spacing w:val="-3"/>
        </w:rPr>
        <w:t> </w:t>
      </w:r>
      <w:r>
        <w:rPr/>
        <w:t>1.4:</w:t>
      </w:r>
      <w:r>
        <w:rPr>
          <w:spacing w:val="-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 showing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 Bida</w:t>
      </w:r>
    </w:p>
    <w:p>
      <w:pPr>
        <w:pStyle w:val="BodyText"/>
        <w:spacing w:before="41"/>
        <w:ind w:left="327" w:right="1362"/>
        <w:jc w:val="center"/>
      </w:pPr>
      <w:r>
        <w:rPr/>
        <w:t>Basin</w:t>
      </w:r>
      <w:r>
        <w:rPr>
          <w:spacing w:val="-2"/>
        </w:rPr>
        <w:t> </w:t>
      </w:r>
      <w:r>
        <w:rPr/>
        <w:t>(Obaje,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49" w:right="275"/>
        <w:jc w:val="center"/>
      </w:pPr>
      <w:r>
        <w:rPr/>
        <w:t>17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4" w:firstLine="59"/>
        <w:jc w:val="both"/>
      </w:pPr>
      <w:r>
        <w:rPr/>
        <w:t>The basin is described as a “down warped basin” because the epeirogenesis responsible</w:t>
      </w:r>
      <w:r>
        <w:rPr>
          <w:spacing w:val="-57"/>
        </w:rPr>
        <w:t> </w:t>
      </w:r>
      <w:r>
        <w:rPr/>
        <w:t>for the basin genesis is closely connected with the crustal movement of the Santonian</w:t>
      </w:r>
      <w:r>
        <w:rPr>
          <w:spacing w:val="1"/>
        </w:rPr>
        <w:t> </w:t>
      </w:r>
      <w:r>
        <w:rPr/>
        <w:t>Orogeny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nearby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(Adeleye,</w:t>
      </w:r>
      <w:r>
        <w:rPr>
          <w:spacing w:val="60"/>
        </w:rPr>
        <w:t> </w:t>
      </w:r>
      <w:r>
        <w:rPr/>
        <w:t>1973).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have expressed different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on the genesis of Bida Basin.</w:t>
      </w:r>
      <w:r>
        <w:rPr>
          <w:spacing w:val="60"/>
        </w:rPr>
        <w:t> </w:t>
      </w:r>
      <w:r>
        <w:rPr/>
        <w:t>King</w:t>
      </w:r>
      <w:r>
        <w:rPr>
          <w:spacing w:val="1"/>
        </w:rPr>
        <w:t> </w:t>
      </w:r>
      <w:r>
        <w:rPr/>
        <w:t>(1950) and Kennedy (1965) described the Bida Basin as rift bounded tensional structure</w:t>
      </w:r>
      <w:r>
        <w:rPr>
          <w:spacing w:val="-57"/>
        </w:rPr>
        <w:t> </w:t>
      </w:r>
      <w:r>
        <w:rPr/>
        <w:t>produced by faulting associated with the Benue Trough system and the drifting apart of</w:t>
      </w:r>
      <w:r>
        <w:rPr>
          <w:spacing w:val="1"/>
        </w:rPr>
        <w:t> </w:t>
      </w:r>
      <w:r>
        <w:rPr/>
        <w:t>the</w:t>
      </w:r>
      <w:r>
        <w:rPr>
          <w:spacing w:val="17"/>
        </w:rPr>
        <w:t> </w:t>
      </w:r>
      <w:r>
        <w:rPr/>
        <w:t>Africa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Brazilian</w:t>
      </w:r>
      <w:r>
        <w:rPr>
          <w:spacing w:val="18"/>
        </w:rPr>
        <w:t> </w:t>
      </w:r>
      <w:r>
        <w:rPr/>
        <w:t>Plates.</w:t>
      </w:r>
      <w:r>
        <w:rPr>
          <w:spacing w:val="19"/>
        </w:rPr>
        <w:t> </w:t>
      </w:r>
      <w:r>
        <w:rPr/>
        <w:t>They</w:t>
      </w:r>
      <w:r>
        <w:rPr>
          <w:spacing w:val="9"/>
        </w:rPr>
        <w:t> </w:t>
      </w:r>
      <w:r>
        <w:rPr/>
        <w:t>noted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possibility</w:t>
      </w:r>
      <w:r>
        <w:rPr>
          <w:spacing w:val="6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bounding</w:t>
      </w:r>
      <w:r>
        <w:rPr>
          <w:spacing w:val="16"/>
        </w:rPr>
        <w:t> </w:t>
      </w:r>
      <w:r>
        <w:rPr/>
        <w:t>rift</w:t>
      </w:r>
      <w:r>
        <w:rPr>
          <w:spacing w:val="19"/>
        </w:rPr>
        <w:t> </w:t>
      </w:r>
      <w:r>
        <w:rPr/>
        <w:t>faults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this asymmetrical</w:t>
      </w:r>
      <w:r>
        <w:rPr>
          <w:spacing w:val="-1"/>
        </w:rPr>
        <w:t> </w:t>
      </w:r>
      <w:r>
        <w:rPr/>
        <w:t>rift</w:t>
      </w:r>
      <w:r>
        <w:rPr>
          <w:spacing w:val="6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may</w:t>
      </w:r>
      <w:r>
        <w:rPr>
          <w:spacing w:val="-10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4"/>
        </w:rPr>
        <w:t> </w:t>
      </w:r>
      <w:r>
        <w:rPr/>
        <w:t>obliterated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subsequent</w:t>
      </w:r>
      <w:r>
        <w:rPr>
          <w:spacing w:val="5"/>
        </w:rPr>
        <w:t> </w:t>
      </w:r>
      <w:r>
        <w:rPr/>
        <w:t>erosion.</w:t>
      </w:r>
    </w:p>
    <w:p>
      <w:pPr>
        <w:pStyle w:val="BodyText"/>
        <w:spacing w:line="480" w:lineRule="auto" w:before="2"/>
        <w:ind w:left="445" w:right="671"/>
        <w:jc w:val="both"/>
      </w:pPr>
      <w:r>
        <w:rPr/>
        <w:t>However,</w:t>
      </w:r>
      <w:r>
        <w:rPr>
          <w:spacing w:val="1"/>
        </w:rPr>
        <w:t> </w:t>
      </w:r>
      <w:r>
        <w:rPr/>
        <w:t>Landsat</w:t>
      </w:r>
      <w:r>
        <w:rPr>
          <w:spacing w:val="1"/>
        </w:rPr>
        <w:t> </w:t>
      </w:r>
      <w:r>
        <w:rPr/>
        <w:t>imagery interpretations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seismic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suggested that the basin is bounded by a system of linear NW - SE fault Kogbe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(1981)</w:t>
      </w:r>
      <w:r>
        <w:rPr>
          <w:spacing w:val="8"/>
        </w:rPr>
        <w:t> </w:t>
      </w:r>
      <w:r>
        <w:rPr/>
        <w:t>which</w:t>
      </w:r>
      <w:r>
        <w:rPr>
          <w:spacing w:val="14"/>
        </w:rPr>
        <w:t> </w:t>
      </w:r>
      <w:r>
        <w:rPr/>
        <w:t>supported</w:t>
      </w:r>
      <w:r>
        <w:rPr>
          <w:spacing w:val="15"/>
        </w:rPr>
        <w:t> </w:t>
      </w:r>
      <w:r>
        <w:rPr/>
        <w:t>a</w:t>
      </w:r>
      <w:r>
        <w:rPr>
          <w:spacing w:val="11"/>
        </w:rPr>
        <w:t> </w:t>
      </w:r>
      <w:r>
        <w:rPr/>
        <w:t>rift</w:t>
      </w:r>
      <w:r>
        <w:rPr>
          <w:spacing w:val="12"/>
        </w:rPr>
        <w:t> </w:t>
      </w:r>
      <w:r>
        <w:rPr/>
        <w:t>model.</w:t>
      </w:r>
      <w:r>
        <w:rPr>
          <w:spacing w:val="14"/>
        </w:rPr>
        <w:t> </w:t>
      </w:r>
      <w:r>
        <w:rPr/>
        <w:t>Gravity</w:t>
      </w:r>
      <w:r>
        <w:rPr>
          <w:spacing w:val="2"/>
        </w:rPr>
        <w:t> </w:t>
      </w:r>
      <w:r>
        <w:rPr/>
        <w:t>data</w:t>
      </w:r>
      <w:r>
        <w:rPr>
          <w:spacing w:val="11"/>
        </w:rPr>
        <w:t> </w:t>
      </w:r>
      <w:r>
        <w:rPr/>
        <w:t>(Ojo</w:t>
      </w:r>
      <w:r>
        <w:rPr>
          <w:spacing w:val="14"/>
        </w:rPr>
        <w:t> </w:t>
      </w:r>
      <w:r>
        <w:rPr/>
        <w:t>&amp;</w:t>
      </w:r>
      <w:r>
        <w:rPr>
          <w:spacing w:val="12"/>
        </w:rPr>
        <w:t> </w:t>
      </w:r>
      <w:r>
        <w:rPr/>
        <w:t>Ajakaye,</w:t>
      </w:r>
      <w:r>
        <w:rPr>
          <w:spacing w:val="12"/>
        </w:rPr>
        <w:t> </w:t>
      </w:r>
      <w:r>
        <w:rPr/>
        <w:t>1989)</w:t>
      </w:r>
      <w:r>
        <w:rPr>
          <w:spacing w:val="13"/>
        </w:rPr>
        <w:t> </w:t>
      </w:r>
      <w:r>
        <w:rPr/>
        <w:t>also</w:t>
      </w:r>
      <w:r>
        <w:rPr>
          <w:spacing w:val="12"/>
        </w:rPr>
        <w:t> </w:t>
      </w:r>
      <w:r>
        <w:rPr/>
        <w:t>confirm</w:t>
      </w:r>
      <w:r>
        <w:rPr>
          <w:spacing w:val="-58"/>
        </w:rPr>
        <w:t> </w:t>
      </w:r>
      <w:r>
        <w:rPr/>
        <w:t>a central positive anomaly flanked by negative anomalies of rift structures. Whiteman</w:t>
      </w:r>
      <w:r>
        <w:rPr>
          <w:spacing w:val="1"/>
        </w:rPr>
        <w:t> </w:t>
      </w:r>
      <w:r>
        <w:rPr/>
        <w:t>(1982) suggested that the Bida Basin was formed from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cratonic sag,</w:t>
      </w:r>
      <w:r>
        <w:rPr>
          <w:spacing w:val="60"/>
        </w:rPr>
        <w:t> </w:t>
      </w:r>
      <w:r>
        <w:rPr/>
        <w:t>whilst</w:t>
      </w:r>
      <w:r>
        <w:rPr>
          <w:spacing w:val="1"/>
        </w:rPr>
        <w:t> </w:t>
      </w:r>
      <w:r>
        <w:rPr/>
        <w:t>Braide (1992a) advance a wrench fault tectonic model for the basin. Kogbe </w:t>
      </w:r>
      <w:r>
        <w:rPr>
          <w:i/>
        </w:rPr>
        <w:t>et al</w:t>
      </w:r>
      <w:r>
        <w:rPr/>
        <w:t>. (1981)</w:t>
      </w:r>
      <w:r>
        <w:rPr>
          <w:spacing w:val="-57"/>
        </w:rPr>
        <w:t> </w:t>
      </w:r>
      <w:r>
        <w:rPr/>
        <w:t>related the origin of the basin to the isostatic subsidence that have been induced by</w:t>
      </w:r>
      <w:r>
        <w:rPr>
          <w:spacing w:val="1"/>
        </w:rPr>
        <w:t> </w:t>
      </w:r>
      <w:r>
        <w:rPr/>
        <w:t>tectonic</w:t>
      </w:r>
      <w:r>
        <w:rPr>
          <w:spacing w:val="19"/>
        </w:rPr>
        <w:t> </w:t>
      </w:r>
      <w:r>
        <w:rPr/>
        <w:t>activity</w:t>
      </w:r>
      <w:r>
        <w:rPr>
          <w:spacing w:val="14"/>
        </w:rPr>
        <w:t> </w:t>
      </w:r>
      <w:r>
        <w:rPr/>
        <w:t>associated</w:t>
      </w:r>
      <w:r>
        <w:rPr>
          <w:spacing w:val="18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Younger</w:t>
      </w:r>
      <w:r>
        <w:rPr>
          <w:spacing w:val="19"/>
        </w:rPr>
        <w:t> </w:t>
      </w:r>
      <w:r>
        <w:rPr/>
        <w:t>Granite</w:t>
      </w:r>
      <w:r>
        <w:rPr>
          <w:spacing w:val="17"/>
        </w:rPr>
        <w:t> </w:t>
      </w:r>
      <w:r>
        <w:rPr/>
        <w:t>emplacement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Jurassic</w:t>
      </w:r>
      <w:r>
        <w:rPr>
          <w:spacing w:val="19"/>
        </w:rPr>
        <w:t> </w:t>
      </w:r>
      <w:r>
        <w:rPr/>
        <w:t>and</w:t>
      </w:r>
      <w:r>
        <w:rPr>
          <w:spacing w:val="-58"/>
        </w:rPr>
        <w:t> </w:t>
      </w:r>
      <w:r>
        <w:rPr/>
        <w:t>to a lesser extent Benue Trough, which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 the outflow of</w:t>
      </w:r>
      <w:r>
        <w:rPr>
          <w:spacing w:val="60"/>
        </w:rPr>
        <w:t> </w:t>
      </w:r>
      <w:r>
        <w:rPr/>
        <w:t>material from the</w:t>
      </w:r>
      <w:r>
        <w:rPr>
          <w:spacing w:val="1"/>
        </w:rPr>
        <w:t> </w:t>
      </w:r>
      <w:r>
        <w:rPr/>
        <w:t>lower part of the Niger lineament. Geophysical data (Adeniyi, 1985; 1986) suggested</w:t>
      </w:r>
      <w:r>
        <w:rPr>
          <w:spacing w:val="1"/>
        </w:rPr>
        <w:t> </w:t>
      </w:r>
      <w:r>
        <w:rPr/>
        <w:t>that up to 3.5 kilometres of sediments may have accumulated in the deepest part of the</w:t>
      </w:r>
      <w:r>
        <w:rPr>
          <w:spacing w:val="1"/>
        </w:rPr>
        <w:t> </w:t>
      </w:r>
      <w:r>
        <w:rPr/>
        <w:t>Bida basin. The first major marine incursion was suspected to have taken place during</w:t>
      </w:r>
      <w:r>
        <w:rPr>
          <w:spacing w:val="1"/>
        </w:rPr>
        <w:t> </w:t>
      </w:r>
      <w:r>
        <w:rPr/>
        <w:t>the early part of the uppermost Maastrichtian phase from the south via the Anambra</w:t>
      </w:r>
      <w:r>
        <w:rPr>
          <w:spacing w:val="1"/>
        </w:rPr>
        <w:t> </w:t>
      </w:r>
      <w:r>
        <w:rPr/>
        <w:t>basin, at the uppermost Maastrichtian period. The peak of the marine transgression was</w:t>
      </w:r>
      <w:r>
        <w:rPr>
          <w:spacing w:val="1"/>
        </w:rPr>
        <w:t> </w:t>
      </w:r>
      <w:r>
        <w:rPr/>
        <w:t>reached during which very extensive sandstones and thick kaolinite beds of the Patti</w:t>
      </w:r>
      <w:r>
        <w:rPr>
          <w:spacing w:val="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Bida</w:t>
      </w:r>
      <w:r>
        <w:rPr>
          <w:spacing w:val="-1"/>
        </w:rPr>
        <w:t> </w:t>
      </w:r>
      <w:r>
        <w:rPr/>
        <w:t>basin was</w:t>
      </w:r>
      <w:r>
        <w:rPr>
          <w:spacing w:val="-1"/>
        </w:rPr>
        <w:t> </w:t>
      </w:r>
      <w:r>
        <w:rPr/>
        <w:t>deposited</w:t>
      </w:r>
      <w:r>
        <w:rPr>
          <w:spacing w:val="-1"/>
        </w:rPr>
        <w:t> </w:t>
      </w:r>
      <w:r>
        <w:rPr/>
        <w:t>(Akande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49" w:right="275"/>
        <w:jc w:val="center"/>
      </w:pPr>
      <w:r>
        <w:rPr/>
        <w:t>18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bookmarkStart w:name="_TOC_250023" w:id="22"/>
      <w:r>
        <w:rPr/>
        <w:t>Stratigraphy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sedimentation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bida</w:t>
      </w:r>
      <w:r>
        <w:rPr>
          <w:spacing w:val="-5"/>
        </w:rPr>
        <w:t> </w:t>
      </w:r>
      <w:bookmarkEnd w:id="22"/>
      <w:r>
        <w:rPr/>
        <w:t>basin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70"/>
        <w:jc w:val="both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1260475</wp:posOffset>
            </wp:positionH>
            <wp:positionV relativeFrom="paragraph">
              <wp:posOffset>3524917</wp:posOffset>
            </wp:positionV>
            <wp:extent cx="4927169" cy="3209544"/>
            <wp:effectExtent l="0" t="0" r="0" b="0"/>
            <wp:wrapTopAndBottom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169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Stratigraphically,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part.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mainly of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Sandstone,</w:t>
      </w:r>
      <w:r>
        <w:rPr>
          <w:spacing w:val="1"/>
        </w:rPr>
        <w:t> </w:t>
      </w:r>
      <w:r>
        <w:rPr/>
        <w:t>Patti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Agbaja</w:t>
      </w:r>
      <w:r>
        <w:rPr>
          <w:spacing w:val="1"/>
        </w:rPr>
        <w:t> </w:t>
      </w:r>
      <w:r>
        <w:rPr/>
        <w:t>Ironstone while the north sector is composes of Bida Sandstone, Sakpe Ironstone, Enagi</w:t>
      </w:r>
      <w:r>
        <w:rPr>
          <w:spacing w:val="1"/>
        </w:rPr>
        <w:t> </w:t>
      </w:r>
      <w:r>
        <w:rPr/>
        <w:t>Siltstone and Batati Ironstone (Adeleye, 1973 &amp; Obaje, 2009). Braide (1992a) divided</w:t>
      </w:r>
      <w:r>
        <w:rPr>
          <w:spacing w:val="1"/>
        </w:rPr>
        <w:t> </w:t>
      </w:r>
      <w:r>
        <w:rPr/>
        <w:t>the Bida Basin in to southern, central and northern part geographically with the aim of</w:t>
      </w:r>
      <w:r>
        <w:rPr>
          <w:spacing w:val="1"/>
        </w:rPr>
        <w:t> </w:t>
      </w:r>
      <w:r>
        <w:rPr/>
        <w:t>establishing the syntectonic fluvial sedimentation of the central part of the basin (Figure</w:t>
      </w:r>
      <w:r>
        <w:rPr>
          <w:spacing w:val="1"/>
        </w:rPr>
        <w:t> </w:t>
      </w:r>
      <w:r>
        <w:rPr/>
        <w:t>1.5). The northern part is considered to extend from Kontagora to Kudu/Wushishi areas</w:t>
      </w:r>
      <w:r>
        <w:rPr>
          <w:spacing w:val="1"/>
        </w:rPr>
        <w:t> </w:t>
      </w:r>
      <w:r>
        <w:rPr/>
        <w:t>to the southeast; the central sector extends from Lemu to Katcha/Baro area while the</w:t>
      </w:r>
      <w:r>
        <w:rPr>
          <w:spacing w:val="1"/>
        </w:rPr>
        <w:t> </w:t>
      </w:r>
      <w:r>
        <w:rPr/>
        <w:t>southern sector extends from Gulu/Baro area and makes contact with the Benue Trough.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resources associated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basin are</w:t>
      </w:r>
      <w:r>
        <w:rPr>
          <w:spacing w:val="3"/>
        </w:rPr>
        <w:t> </w:t>
      </w:r>
      <w:r>
        <w:rPr/>
        <w:t>ironstone,</w:t>
      </w:r>
      <w:r>
        <w:rPr>
          <w:spacing w:val="-1"/>
        </w:rPr>
        <w:t> </w:t>
      </w:r>
      <w:r>
        <w:rPr/>
        <w:t>clay</w:t>
      </w:r>
      <w:r>
        <w:rPr>
          <w:spacing w:val="-10"/>
        </w:rPr>
        <w:t> </w:t>
      </w:r>
      <w:r>
        <w:rPr/>
        <w:t>and laterite.</w:t>
      </w:r>
    </w:p>
    <w:p>
      <w:pPr>
        <w:pStyle w:val="BodyText"/>
        <w:spacing w:before="40"/>
        <w:ind w:left="925" w:right="2004" w:firstLine="540"/>
      </w:pPr>
      <w:r>
        <w:rPr/>
        <w:t>Figure 1.5: Geographical subdivision of Bida into Northern,</w:t>
      </w:r>
      <w:r>
        <w:rPr>
          <w:spacing w:val="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and Southern</w:t>
      </w:r>
      <w:r>
        <w:rPr>
          <w:spacing w:val="-2"/>
        </w:rPr>
        <w:t> </w:t>
      </w:r>
      <w:r>
        <w:rPr/>
        <w:t>parts</w:t>
      </w:r>
      <w:r>
        <w:rPr>
          <w:spacing w:val="-2"/>
        </w:rPr>
        <w:t> </w:t>
      </w:r>
      <w:r>
        <w:rPr/>
        <w:t>(Alabi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modified after Braide,</w:t>
      </w:r>
      <w:r>
        <w:rPr>
          <w:spacing w:val="-2"/>
        </w:rPr>
        <w:t> </w:t>
      </w:r>
      <w:r>
        <w:rPr/>
        <w:t>1992a)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45" w:right="678"/>
        <w:jc w:val="both"/>
      </w:pPr>
      <w:r>
        <w:rPr/>
        <w:t>The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buried</w:t>
      </w:r>
      <w:r>
        <w:rPr>
          <w:spacing w:val="1"/>
        </w:rPr>
        <w:t> </w:t>
      </w:r>
      <w:r>
        <w:rPr/>
        <w:t>Precambrian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Paleozoic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overlain</w:t>
      </w:r>
      <w:r>
        <w:rPr>
          <w:spacing w:val="1"/>
        </w:rPr>
        <w:t> </w:t>
      </w:r>
      <w:r>
        <w:rPr/>
        <w:t>directly by rounded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sub-rounded</w:t>
      </w:r>
      <w:r>
        <w:rPr>
          <w:spacing w:val="1"/>
        </w:rPr>
        <w:t> </w:t>
      </w:r>
      <w:r>
        <w:rPr/>
        <w:t>coarse conglomerates,</w:t>
      </w:r>
      <w:r>
        <w:rPr>
          <w:spacing w:val="1"/>
        </w:rPr>
        <w:t> </w:t>
      </w:r>
      <w:r>
        <w:rPr/>
        <w:t>clay,</w:t>
      </w:r>
      <w:r>
        <w:rPr>
          <w:spacing w:val="1"/>
        </w:rPr>
        <w:t> </w:t>
      </w:r>
      <w:r>
        <w:rPr/>
        <w:t>sand,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pebble</w:t>
      </w:r>
      <w:r>
        <w:rPr>
          <w:spacing w:val="9"/>
        </w:rPr>
        <w:t> </w:t>
      </w:r>
      <w:r>
        <w:rPr/>
        <w:t>mixtures</w:t>
      </w:r>
      <w:r>
        <w:rPr>
          <w:spacing w:val="12"/>
        </w:rPr>
        <w:t> </w:t>
      </w:r>
      <w:r>
        <w:rPr/>
        <w:t>with</w:t>
      </w:r>
      <w:r>
        <w:rPr>
          <w:spacing w:val="16"/>
        </w:rPr>
        <w:t> </w:t>
      </w:r>
      <w:r>
        <w:rPr/>
        <w:t>cross</w:t>
      </w:r>
      <w:r>
        <w:rPr>
          <w:spacing w:val="14"/>
        </w:rPr>
        <w:t> </w:t>
      </w:r>
      <w:r>
        <w:rPr/>
        <w:t>stratified</w:t>
      </w:r>
      <w:r>
        <w:rPr>
          <w:spacing w:val="15"/>
        </w:rPr>
        <w:t> </w:t>
      </w:r>
      <w:r>
        <w:rPr/>
        <w:t>sandstones</w:t>
      </w:r>
      <w:r>
        <w:rPr>
          <w:spacing w:val="17"/>
        </w:rPr>
        <w:t> </w:t>
      </w:r>
      <w:r>
        <w:rPr/>
        <w:t>locally</w:t>
      </w:r>
      <w:r>
        <w:rPr>
          <w:spacing w:val="8"/>
        </w:rPr>
        <w:t> </w:t>
      </w:r>
      <w:r>
        <w:rPr/>
        <w:t>with</w:t>
      </w:r>
      <w:r>
        <w:rPr>
          <w:spacing w:val="12"/>
        </w:rPr>
        <w:t> </w:t>
      </w:r>
      <w:r>
        <w:rPr/>
        <w:t>scattered</w:t>
      </w:r>
      <w:r>
        <w:rPr>
          <w:spacing w:val="12"/>
        </w:rPr>
        <w:t> </w:t>
      </w:r>
      <w:r>
        <w:rPr/>
        <w:t>pebbles,</w:t>
      </w:r>
      <w:r>
        <w:rPr>
          <w:spacing w:val="13"/>
        </w:rPr>
        <w:t> </w:t>
      </w:r>
      <w:r>
        <w:rPr/>
        <w:t>cobbles</w:t>
      </w:r>
    </w:p>
    <w:p>
      <w:pPr>
        <w:pStyle w:val="BodyText"/>
        <w:spacing w:before="175"/>
        <w:ind w:left="49" w:right="275"/>
        <w:jc w:val="center"/>
      </w:pPr>
      <w:r>
        <w:rPr/>
        <w:t>19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80"/>
        <w:jc w:val="both"/>
      </w:pPr>
      <w:r>
        <w:rPr/>
        <w:t>and</w:t>
      </w:r>
      <w:r>
        <w:rPr>
          <w:spacing w:val="1"/>
        </w:rPr>
        <w:t> </w:t>
      </w:r>
      <w:r>
        <w:rPr/>
        <w:t>boulders.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oldest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Maestrichtian</w:t>
      </w:r>
      <w:r>
        <w:rPr>
          <w:spacing w:val="45"/>
        </w:rPr>
        <w:t> </w:t>
      </w:r>
      <w:r>
        <w:rPr/>
        <w:t>age,</w:t>
      </w:r>
      <w:r>
        <w:rPr>
          <w:spacing w:val="45"/>
        </w:rPr>
        <w:t> </w:t>
      </w:r>
      <w:r>
        <w:rPr/>
        <w:t>but</w:t>
      </w:r>
      <w:r>
        <w:rPr>
          <w:spacing w:val="46"/>
        </w:rPr>
        <w:t> </w:t>
      </w:r>
      <w:r>
        <w:rPr/>
        <w:t>sedimentation</w:t>
      </w:r>
      <w:r>
        <w:rPr>
          <w:spacing w:val="46"/>
        </w:rPr>
        <w:t> </w:t>
      </w:r>
      <w:r>
        <w:rPr/>
        <w:t>might</w:t>
      </w:r>
      <w:r>
        <w:rPr>
          <w:spacing w:val="45"/>
        </w:rPr>
        <w:t> </w:t>
      </w:r>
      <w:r>
        <w:rPr/>
        <w:t>have</w:t>
      </w:r>
      <w:r>
        <w:rPr>
          <w:spacing w:val="42"/>
        </w:rPr>
        <w:t> </w:t>
      </w:r>
      <w:r>
        <w:rPr/>
        <w:t>started</w:t>
      </w:r>
      <w:r>
        <w:rPr>
          <w:spacing w:val="45"/>
        </w:rPr>
        <w:t> </w:t>
      </w:r>
      <w:r>
        <w:rPr/>
        <w:t>earlier</w:t>
      </w:r>
      <w:r>
        <w:rPr>
          <w:spacing w:val="46"/>
        </w:rPr>
        <w:t> </w:t>
      </w:r>
      <w:r>
        <w:rPr/>
        <w:t>because</w:t>
      </w:r>
      <w:r>
        <w:rPr>
          <w:spacing w:val="46"/>
        </w:rPr>
        <w:t> </w:t>
      </w:r>
      <w:r>
        <w:rPr/>
        <w:t>beneath</w:t>
      </w:r>
      <w:r>
        <w:rPr>
          <w:spacing w:val="45"/>
        </w:rPr>
        <w:t> </w:t>
      </w:r>
      <w:r>
        <w:rPr/>
        <w:t>the</w:t>
      </w:r>
      <w:r>
        <w:rPr>
          <w:spacing w:val="-57"/>
        </w:rPr>
        <w:t> </w:t>
      </w:r>
      <w:r>
        <w:rPr/>
        <w:t>Bida area itself, there may be as much as 3225m of sediments, as</w:t>
      </w:r>
      <w:r>
        <w:rPr>
          <w:spacing w:val="1"/>
        </w:rPr>
        <w:t> </w:t>
      </w:r>
      <w:r>
        <w:rPr/>
        <w:t>estimated from</w:t>
      </w:r>
      <w:r>
        <w:rPr>
          <w:spacing w:val="1"/>
        </w:rPr>
        <w:t> </w:t>
      </w:r>
      <w:r>
        <w:rPr/>
        <w:t>aeromagnetic</w:t>
      </w:r>
      <w:r>
        <w:rPr>
          <w:spacing w:val="-2"/>
        </w:rPr>
        <w:t> </w:t>
      </w:r>
      <w:r>
        <w:rPr/>
        <w:t>mapping.</w:t>
      </w:r>
    </w:p>
    <w:p>
      <w:pPr>
        <w:pStyle w:val="BodyText"/>
        <w:spacing w:line="480" w:lineRule="auto" w:after="15"/>
        <w:ind w:left="445" w:right="673"/>
        <w:jc w:val="both"/>
      </w:pPr>
      <w:r>
        <w:rPr/>
        <w:t>The</w:t>
      </w:r>
      <w:r>
        <w:rPr>
          <w:spacing w:val="37"/>
        </w:rPr>
        <w:t> </w:t>
      </w:r>
      <w:r>
        <w:rPr/>
        <w:t>stratigraphy</w:t>
      </w:r>
      <w:r>
        <w:rPr>
          <w:spacing w:val="34"/>
        </w:rPr>
        <w:t> </w:t>
      </w:r>
      <w:r>
        <w:rPr/>
        <w:t>and</w:t>
      </w:r>
      <w:r>
        <w:rPr>
          <w:spacing w:val="40"/>
        </w:rPr>
        <w:t> </w:t>
      </w:r>
      <w:r>
        <w:rPr/>
        <w:t>sedimentation</w:t>
      </w:r>
      <w:r>
        <w:rPr>
          <w:spacing w:val="42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upper</w:t>
      </w:r>
      <w:r>
        <w:rPr>
          <w:spacing w:val="40"/>
        </w:rPr>
        <w:t> </w:t>
      </w:r>
      <w:r>
        <w:rPr/>
        <w:t>Cretaceous</w:t>
      </w:r>
      <w:r>
        <w:rPr>
          <w:spacing w:val="41"/>
        </w:rPr>
        <w:t> </w:t>
      </w:r>
      <w:r>
        <w:rPr/>
        <w:t>rocks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basin</w:t>
      </w:r>
      <w:r>
        <w:rPr>
          <w:spacing w:val="41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Adeleye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Dessauvagie</w:t>
      </w:r>
      <w:r>
        <w:rPr>
          <w:spacing w:val="1"/>
        </w:rPr>
        <w:t> </w:t>
      </w:r>
      <w:r>
        <w:rPr/>
        <w:t>(1972).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sedimentation of northern Bida Basin has been proposed by several workers. Among</w:t>
      </w:r>
      <w:r>
        <w:rPr>
          <w:spacing w:val="1"/>
        </w:rPr>
        <w:t> </w:t>
      </w:r>
      <w:r>
        <w:rPr/>
        <w:t>these workers are Braide (1992b), Adeleye and Dessauvagie (1972), Murat (1972) and</w:t>
      </w:r>
      <w:r>
        <w:rPr>
          <w:spacing w:val="1"/>
        </w:rPr>
        <w:t> </w:t>
      </w:r>
      <w:r>
        <w:rPr/>
        <w:t>Whiteman</w:t>
      </w:r>
      <w:r>
        <w:rPr>
          <w:spacing w:val="1"/>
        </w:rPr>
        <w:t> </w:t>
      </w:r>
      <w:r>
        <w:rPr/>
        <w:t>(1982).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Bida,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mapable</w:t>
      </w:r>
      <w:r>
        <w:rPr>
          <w:spacing w:val="1"/>
        </w:rPr>
        <w:t> </w:t>
      </w:r>
      <w:r>
        <w:rPr/>
        <w:t>stratigraphic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recognizable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Bida</w:t>
      </w:r>
      <w:r>
        <w:rPr>
          <w:spacing w:val="60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(including the Doko and Jima members), Sakpe Ironstone, Enagi Siltstone and Batati</w:t>
      </w:r>
      <w:r>
        <w:rPr>
          <w:spacing w:val="1"/>
        </w:rPr>
        <w:t> </w:t>
      </w:r>
      <w:r>
        <w:rPr/>
        <w:t>Ironstone that were correlated with three stratigraphic units in the southern South Bida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Patti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Agbaja</w:t>
      </w:r>
      <w:r>
        <w:rPr>
          <w:spacing w:val="60"/>
        </w:rPr>
        <w:t> </w:t>
      </w:r>
      <w:r>
        <w:rPr/>
        <w:t>ironstone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1.6).</w:t>
      </w:r>
    </w:p>
    <w:p>
      <w:pPr>
        <w:pStyle w:val="BodyText"/>
        <w:ind w:left="445"/>
        <w:rPr>
          <w:sz w:val="20"/>
        </w:rPr>
      </w:pPr>
      <w:r>
        <w:rPr>
          <w:sz w:val="20"/>
        </w:rPr>
        <w:drawing>
          <wp:inline distT="0" distB="0" distL="0" distR="0">
            <wp:extent cx="4981035" cy="3343275"/>
            <wp:effectExtent l="0" t="0" r="0" b="0"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3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6" w:lineRule="auto"/>
        <w:ind w:left="2305" w:right="2914" w:hanging="841"/>
      </w:pPr>
      <w:r>
        <w:rPr/>
        <w:t>Figure</w:t>
      </w:r>
      <w:r>
        <w:rPr>
          <w:spacing w:val="-4"/>
        </w:rPr>
        <w:t> </w:t>
      </w:r>
      <w:r>
        <w:rPr/>
        <w:t>1.6:</w:t>
      </w:r>
      <w:r>
        <w:rPr>
          <w:spacing w:val="-3"/>
        </w:rPr>
        <w:t> </w:t>
      </w:r>
      <w:r>
        <w:rPr/>
        <w:t>Stratigraphic</w:t>
      </w:r>
      <w:r>
        <w:rPr>
          <w:spacing w:val="-2"/>
        </w:rPr>
        <w:t> </w:t>
      </w:r>
      <w:r>
        <w:rPr/>
        <w:t>successions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Bida</w:t>
      </w:r>
      <w:r>
        <w:rPr>
          <w:spacing w:val="-3"/>
        </w:rPr>
        <w:t> </w:t>
      </w:r>
      <w:r>
        <w:rPr/>
        <w:t>Basin</w:t>
      </w:r>
      <w:r>
        <w:rPr>
          <w:spacing w:val="-57"/>
        </w:rPr>
        <w:t> </w:t>
      </w:r>
      <w:r>
        <w:rPr/>
        <w:t>(Akande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2005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Obaje, 2009)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49" w:right="275"/>
        <w:jc w:val="center"/>
      </w:pPr>
      <w:r>
        <w:rPr/>
        <w:t>20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31" w:after="0"/>
        <w:ind w:left="1165" w:right="0" w:hanging="721"/>
        <w:jc w:val="both"/>
      </w:pPr>
      <w:r>
        <w:rPr/>
        <w:t>Bida</w:t>
      </w:r>
      <w:r>
        <w:rPr>
          <w:spacing w:val="-5"/>
        </w:rPr>
        <w:t> </w:t>
      </w:r>
      <w:r>
        <w:rPr/>
        <w:t>sandstone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9"/>
        <w:jc w:val="both"/>
      </w:pPr>
      <w:r>
        <w:rPr/>
        <w:t>The Bida sandstone Formation consists of two members, the upper Jima Sandstone</w:t>
      </w:r>
      <w:r>
        <w:rPr>
          <w:spacing w:val="1"/>
        </w:rPr>
        <w:t> </w:t>
      </w:r>
      <w:r>
        <w:rPr/>
        <w:t>Member with a total thickness of 90 meters and overlies the lower Doko Sandstone</w:t>
      </w:r>
      <w:r>
        <w:rPr>
          <w:spacing w:val="1"/>
        </w:rPr>
        <w:t> </w:t>
      </w:r>
      <w:r>
        <w:rPr/>
        <w:t>Member with a thickness of</w:t>
      </w:r>
      <w:r>
        <w:rPr>
          <w:spacing w:val="1"/>
        </w:rPr>
        <w:t> </w:t>
      </w:r>
      <w:r>
        <w:rPr/>
        <w:t>182 meters. The Doko sandstone member consists of</w:t>
      </w:r>
      <w:r>
        <w:rPr>
          <w:spacing w:val="1"/>
        </w:rPr>
        <w:t> </w:t>
      </w:r>
      <w:r>
        <w:rPr/>
        <w:t>arkoses,</w:t>
      </w:r>
      <w:r>
        <w:rPr>
          <w:spacing w:val="1"/>
        </w:rPr>
        <w:t> </w:t>
      </w:r>
      <w:r>
        <w:rPr/>
        <w:t>feldsparthic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quartz</w:t>
      </w:r>
      <w:r>
        <w:rPr>
          <w:spacing w:val="1"/>
        </w:rPr>
        <w:t> </w:t>
      </w:r>
      <w:r>
        <w:rPr/>
        <w:t>sandstone.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lithic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feldsparthic sandstone, sub greywackes, sandy siltstone and intra – formational breccias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(Adeleye,</w:t>
      </w:r>
      <w:r>
        <w:rPr>
          <w:spacing w:val="1"/>
        </w:rPr>
        <w:t> </w:t>
      </w:r>
      <w:r>
        <w:rPr/>
        <w:t>1973).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Zungeru-Bida</w:t>
      </w:r>
      <w:r>
        <w:rPr>
          <w:spacing w:val="1"/>
        </w:rPr>
        <w:t> </w:t>
      </w:r>
      <w:r>
        <w:rPr/>
        <w:t>road,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Zungeru, near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 margin of the</w:t>
      </w:r>
      <w:r>
        <w:rPr>
          <w:spacing w:val="1"/>
        </w:rPr>
        <w:t> </w:t>
      </w:r>
      <w:r>
        <w:rPr/>
        <w:t>basin, coarse grained sandstone and basal</w:t>
      </w:r>
      <w:r>
        <w:rPr>
          <w:spacing w:val="60"/>
        </w:rPr>
        <w:t> </w:t>
      </w:r>
      <w:r>
        <w:rPr/>
        <w:t>conglomerates crop</w:t>
      </w:r>
      <w:r>
        <w:rPr>
          <w:spacing w:val="1"/>
        </w:rPr>
        <w:t> </w:t>
      </w:r>
      <w:r>
        <w:rPr/>
        <w:t>out overlying schist. The conglomerates are quartzitic and range in size from pebbles</w:t>
      </w:r>
      <w:r>
        <w:rPr>
          <w:spacing w:val="1"/>
        </w:rPr>
        <w:t> </w:t>
      </w:r>
      <w:r>
        <w:rPr/>
        <w:t>(2-8centimeters across) to gravel. The pebbles have clay ironstone cement. The basal</w:t>
      </w:r>
      <w:r>
        <w:rPr>
          <w:spacing w:val="1"/>
        </w:rPr>
        <w:t> </w:t>
      </w:r>
      <w:r>
        <w:rPr/>
        <w:t>conglomerate may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part of the</w:t>
      </w:r>
      <w:r>
        <w:rPr>
          <w:spacing w:val="-1"/>
        </w:rPr>
        <w:t> </w:t>
      </w:r>
      <w:r>
        <w:rPr/>
        <w:t>Doko member.</w:t>
      </w:r>
    </w:p>
    <w:p>
      <w:pPr>
        <w:pStyle w:val="BodyText"/>
        <w:spacing w:line="480" w:lineRule="auto" w:before="1"/>
        <w:ind w:left="445" w:right="679"/>
        <w:jc w:val="both"/>
      </w:pPr>
      <w:r>
        <w:rPr/>
        <w:t>The</w:t>
      </w:r>
      <w:r>
        <w:rPr>
          <w:spacing w:val="1"/>
        </w:rPr>
        <w:t> </w:t>
      </w:r>
      <w:r>
        <w:rPr/>
        <w:t>Jima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quartzose</w:t>
      </w:r>
      <w:r>
        <w:rPr>
          <w:spacing w:val="1"/>
        </w:rPr>
        <w:t> </w:t>
      </w:r>
      <w:r>
        <w:rPr/>
        <w:t>sandstone,</w:t>
      </w:r>
      <w:r>
        <w:rPr>
          <w:spacing w:val="1"/>
        </w:rPr>
        <w:t> </w:t>
      </w:r>
      <w:r>
        <w:rPr/>
        <w:t>brownish,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beds</w:t>
      </w:r>
      <w:r>
        <w:rPr>
          <w:spacing w:val="1"/>
        </w:rPr>
        <w:t> </w:t>
      </w:r>
      <w:r>
        <w:rPr/>
        <w:t>cross-</w:t>
      </w:r>
      <w:r>
        <w:rPr>
          <w:spacing w:val="-57"/>
        </w:rPr>
        <w:t> </w:t>
      </w:r>
      <w:r>
        <w:rPr/>
        <w:t>stratified with subsidiary greywacke, siltstone,</w:t>
      </w:r>
      <w:r>
        <w:rPr>
          <w:spacing w:val="1"/>
        </w:rPr>
        <w:t> </w:t>
      </w:r>
      <w:r>
        <w:rPr/>
        <w:t>claystone and breccias.</w:t>
      </w:r>
      <w:r>
        <w:rPr>
          <w:spacing w:val="1"/>
        </w:rPr>
        <w:t> </w:t>
      </w:r>
      <w:r>
        <w:rPr/>
        <w:t>Rapid facies</w:t>
      </w:r>
      <w:r>
        <w:rPr>
          <w:spacing w:val="1"/>
        </w:rPr>
        <w:t> </w:t>
      </w:r>
      <w:r>
        <w:rPr/>
        <w:t>change typifies the member. Leaf impressions are the only trace fossil which have been</w:t>
      </w:r>
      <w:r>
        <w:rPr>
          <w:spacing w:val="1"/>
        </w:rPr>
        <w:t> </w:t>
      </w:r>
      <w:r>
        <w:rPr/>
        <w:t>found and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mainly in</w:t>
      </w:r>
      <w:r>
        <w:rPr>
          <w:spacing w:val="1"/>
        </w:rPr>
        <w:t> </w:t>
      </w:r>
      <w:r>
        <w:rPr/>
        <w:t>the argillaceous</w:t>
      </w:r>
      <w:r>
        <w:rPr>
          <w:spacing w:val="1"/>
        </w:rPr>
        <w:t> </w:t>
      </w:r>
      <w:r>
        <w:rPr/>
        <w:t>rocks. The</w:t>
      </w:r>
      <w:r>
        <w:rPr>
          <w:spacing w:val="1"/>
        </w:rPr>
        <w:t> </w:t>
      </w:r>
      <w:r>
        <w:rPr/>
        <w:t>age of the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Formation has been proposed by Adeleye and Dessauvagie (1972) to be late Cretaceous</w:t>
      </w:r>
      <w:r>
        <w:rPr>
          <w:spacing w:val="1"/>
        </w:rPr>
        <w:t> </w:t>
      </w:r>
      <w:r>
        <w:rPr/>
        <w:t>(Campanian-Maastrichtian).</w:t>
      </w:r>
    </w:p>
    <w:p>
      <w:pPr>
        <w:pStyle w:val="BodyText"/>
        <w:spacing w:line="480" w:lineRule="auto" w:before="1"/>
        <w:ind w:left="445" w:right="676"/>
        <w:jc w:val="both"/>
      </w:pPr>
      <w:r>
        <w:rPr/>
        <w:t>Sedimentological evidence indicates deposition in a braided stream environment for the</w:t>
      </w:r>
      <w:r>
        <w:rPr>
          <w:spacing w:val="1"/>
        </w:rPr>
        <w:t> </w:t>
      </w:r>
      <w:r>
        <w:rPr/>
        <w:t>Doko Sandstone member, while Jima member is deposited under lower stream energy</w:t>
      </w:r>
      <w:r>
        <w:rPr>
          <w:spacing w:val="1"/>
        </w:rPr>
        <w:t> </w:t>
      </w:r>
      <w:r>
        <w:rPr/>
        <w:t>than that which Prevailed during the deposition of the Doko member (Whiteman, 1982).</w:t>
      </w:r>
      <w:r>
        <w:rPr>
          <w:spacing w:val="-57"/>
        </w:rPr>
        <w:t> </w:t>
      </w:r>
      <w:r>
        <w:rPr/>
        <w:t>The presence of leaves and ferruginous channel margin deposits is taken to indicate</w:t>
      </w:r>
      <w:r>
        <w:rPr>
          <w:spacing w:val="1"/>
        </w:rPr>
        <w:t> </w:t>
      </w:r>
      <w:r>
        <w:rPr/>
        <w:t>deposition</w:t>
      </w:r>
      <w:r>
        <w:rPr>
          <w:spacing w:val="-1"/>
        </w:rPr>
        <w:t> </w:t>
      </w:r>
      <w:r>
        <w:rPr/>
        <w:t>under</w:t>
      </w:r>
      <w:r>
        <w:rPr>
          <w:spacing w:val="-3"/>
        </w:rPr>
        <w:t> </w:t>
      </w:r>
      <w:r>
        <w:rPr/>
        <w:t>tropical</w:t>
      </w:r>
      <w:r>
        <w:rPr>
          <w:spacing w:val="5"/>
        </w:rPr>
        <w:t> </w:t>
      </w:r>
      <w:r>
        <w:rPr/>
        <w:t>to</w:t>
      </w:r>
      <w:r>
        <w:rPr>
          <w:spacing w:val="-1"/>
        </w:rPr>
        <w:t> </w:t>
      </w:r>
      <w:r>
        <w:rPr/>
        <w:t>subtropical</w:t>
      </w:r>
      <w:r>
        <w:rPr>
          <w:spacing w:val="2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(Adeleye, 1973).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0" w:after="0"/>
        <w:ind w:left="1165" w:right="0" w:hanging="721"/>
        <w:jc w:val="both"/>
      </w:pPr>
      <w:r>
        <w:rPr/>
        <w:t>Sakpe</w:t>
      </w:r>
      <w:r>
        <w:rPr>
          <w:spacing w:val="-6"/>
        </w:rPr>
        <w:t> </w:t>
      </w:r>
      <w:r>
        <w:rPr/>
        <w:t>formation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96" w:lineRule="auto"/>
        <w:ind w:left="445" w:right="667"/>
        <w:jc w:val="center"/>
      </w:pPr>
      <w:r>
        <w:rPr/>
        <w:t>The</w:t>
      </w:r>
      <w:r>
        <w:rPr>
          <w:spacing w:val="13"/>
        </w:rPr>
        <w:t> </w:t>
      </w:r>
      <w:r>
        <w:rPr/>
        <w:t>Sakpe</w:t>
      </w:r>
      <w:r>
        <w:rPr>
          <w:spacing w:val="20"/>
        </w:rPr>
        <w:t> </w:t>
      </w:r>
      <w:r>
        <w:rPr/>
        <w:t>Formation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divided</w:t>
      </w:r>
      <w:r>
        <w:rPr>
          <w:spacing w:val="16"/>
        </w:rPr>
        <w:t> </w:t>
      </w:r>
      <w:r>
        <w:rPr/>
        <w:t>into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Baro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wuya</w:t>
      </w:r>
      <w:r>
        <w:rPr>
          <w:spacing w:val="15"/>
        </w:rPr>
        <w:t> </w:t>
      </w:r>
      <w:r>
        <w:rPr/>
        <w:t>ironstone</w:t>
      </w:r>
      <w:r>
        <w:rPr>
          <w:spacing w:val="23"/>
        </w:rPr>
        <w:t> </w:t>
      </w:r>
      <w:r>
        <w:rPr/>
        <w:t>members</w:t>
      </w:r>
      <w:r>
        <w:rPr>
          <w:spacing w:val="16"/>
        </w:rPr>
        <w:t> </w:t>
      </w:r>
      <w:r>
        <w:rPr/>
        <w:t>by</w:t>
      </w:r>
      <w:r>
        <w:rPr>
          <w:spacing w:val="-57"/>
        </w:rPr>
        <w:t> </w:t>
      </w:r>
      <w:r>
        <w:rPr/>
        <w:t>(Adeleye,</w:t>
      </w:r>
      <w:r>
        <w:rPr>
          <w:spacing w:val="18"/>
        </w:rPr>
        <w:t> </w:t>
      </w:r>
      <w:r>
        <w:rPr/>
        <w:t>1973).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wuya</w:t>
      </w:r>
      <w:r>
        <w:rPr>
          <w:spacing w:val="18"/>
        </w:rPr>
        <w:t> </w:t>
      </w:r>
      <w:r>
        <w:rPr/>
        <w:t>member</w:t>
      </w:r>
      <w:r>
        <w:rPr>
          <w:spacing w:val="18"/>
        </w:rPr>
        <w:t> </w:t>
      </w:r>
      <w:r>
        <w:rPr/>
        <w:t>consists</w:t>
      </w:r>
      <w:r>
        <w:rPr>
          <w:spacing w:val="15"/>
        </w:rPr>
        <w:t> </w:t>
      </w:r>
      <w:r>
        <w:rPr/>
        <w:t>mainly</w:t>
      </w:r>
      <w:r>
        <w:rPr>
          <w:spacing w:val="4"/>
        </w:rPr>
        <w:t> </w:t>
      </w:r>
      <w:r>
        <w:rPr/>
        <w:t>of</w:t>
      </w:r>
      <w:r>
        <w:rPr>
          <w:spacing w:val="13"/>
        </w:rPr>
        <w:t> </w:t>
      </w:r>
      <w:r>
        <w:rPr/>
        <w:t>oolitic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pistolitic</w:t>
      </w:r>
      <w:r>
        <w:rPr>
          <w:spacing w:val="16"/>
        </w:rPr>
        <w:t> </w:t>
      </w:r>
      <w:r>
        <w:rPr/>
        <w:t>ironstones</w:t>
      </w:r>
      <w:r>
        <w:rPr>
          <w:spacing w:val="-57"/>
        </w:rPr>
        <w:t> </w:t>
      </w:r>
      <w:r>
        <w:rPr/>
        <w:t>21</w:t>
      </w:r>
    </w:p>
    <w:p>
      <w:pPr>
        <w:spacing w:after="0" w:line="496" w:lineRule="auto"/>
        <w:jc w:val="center"/>
        <w:sectPr>
          <w:pgSz w:w="11910" w:h="16840"/>
          <w:pgMar w:header="0" w:footer="294" w:top="1580" w:bottom="480" w:left="1540" w:right="740"/>
        </w:sectPr>
      </w:pPr>
    </w:p>
    <w:p>
      <w:pPr>
        <w:pStyle w:val="BodyText"/>
        <w:spacing w:line="480" w:lineRule="auto" w:before="64"/>
        <w:ind w:left="445" w:right="678"/>
        <w:jc w:val="both"/>
      </w:pPr>
      <w:r>
        <w:rPr/>
        <w:t>with minor claystone developed locally.</w:t>
      </w:r>
      <w:r>
        <w:rPr>
          <w:spacing w:val="1"/>
        </w:rPr>
        <w:t> </w:t>
      </w:r>
      <w:r>
        <w:rPr/>
        <w:t>It has a thickness of about 5m. The Baro</w:t>
      </w:r>
      <w:r>
        <w:rPr>
          <w:spacing w:val="1"/>
        </w:rPr>
        <w:t> </w:t>
      </w:r>
      <w:r>
        <w:rPr/>
        <w:t>member consists of oolithic ironstones and ferruginous sandstones which are locally</w:t>
      </w:r>
      <w:r>
        <w:rPr>
          <w:spacing w:val="1"/>
        </w:rPr>
        <w:t> </w:t>
      </w:r>
      <w:r>
        <w:rPr/>
        <w:t>pyritic and</w:t>
      </w:r>
      <w:r>
        <w:rPr>
          <w:spacing w:val="1"/>
        </w:rPr>
        <w:t> </w:t>
      </w:r>
      <w:r>
        <w:rPr/>
        <w:t>concretionary.</w:t>
      </w:r>
      <w:r>
        <w:rPr>
          <w:spacing w:val="1"/>
        </w:rPr>
        <w:t> </w:t>
      </w:r>
      <w:r>
        <w:rPr/>
        <w:t>Rapid facies change</w:t>
      </w:r>
      <w:r>
        <w:rPr>
          <w:spacing w:val="60"/>
        </w:rPr>
        <w:t> </w:t>
      </w:r>
      <w:r>
        <w:rPr/>
        <w:t>characterizes the unit and gradation</w:t>
      </w:r>
      <w:r>
        <w:rPr>
          <w:spacing w:val="1"/>
        </w:rPr>
        <w:t> </w:t>
      </w:r>
      <w:r>
        <w:rPr/>
        <w:t>exists between ferruginous and quartzose facies (Adeleye, 1973). The member caps the</w:t>
      </w:r>
      <w:r>
        <w:rPr>
          <w:spacing w:val="1"/>
        </w:rPr>
        <w:t> </w:t>
      </w:r>
      <w:r>
        <w:rPr/>
        <w:t>entire Baro plateau and the thickness varies, attaining a maximum of 3meters. The Baro</w:t>
      </w:r>
      <w:r>
        <w:rPr>
          <w:spacing w:val="1"/>
        </w:rPr>
        <w:t> </w:t>
      </w:r>
      <w:r>
        <w:rPr/>
        <w:t>and Wuya members are considered to be lateral equivalents (Whiteman, 1982). Fossils</w:t>
      </w:r>
      <w:r>
        <w:rPr>
          <w:spacing w:val="1"/>
        </w:rPr>
        <w:t> </w:t>
      </w:r>
      <w:r>
        <w:rPr/>
        <w:t>found in the Wuya member were Turritella, Faunus and a bivalve indent, while the Baro</w:t>
      </w:r>
      <w:r>
        <w:rPr>
          <w:spacing w:val="-57"/>
        </w:rPr>
        <w:t> </w:t>
      </w:r>
      <w:r>
        <w:rPr/>
        <w:t>Member yielded fossil wood and basal burrows which were identified as Skolithus</w:t>
      </w:r>
      <w:r>
        <w:rPr>
          <w:spacing w:val="1"/>
        </w:rPr>
        <w:t> </w:t>
      </w:r>
      <w:r>
        <w:rPr/>
        <w:t>(Adeleye,</w:t>
      </w:r>
      <w:r>
        <w:rPr>
          <w:spacing w:val="-1"/>
        </w:rPr>
        <w:t> </w:t>
      </w:r>
      <w:r>
        <w:rPr/>
        <w:t>1973).</w:t>
      </w:r>
    </w:p>
    <w:p>
      <w:pPr>
        <w:pStyle w:val="BodyText"/>
        <w:spacing w:line="480" w:lineRule="auto" w:before="2"/>
        <w:ind w:left="445" w:right="674"/>
        <w:jc w:val="both"/>
      </w:pPr>
      <w:r>
        <w:rPr/>
        <w:t>The</w:t>
      </w:r>
      <w:r>
        <w:rPr>
          <w:spacing w:val="21"/>
        </w:rPr>
        <w:t> </w:t>
      </w:r>
      <w:r>
        <w:rPr/>
        <w:t>occurrence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Faunus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taken</w:t>
      </w:r>
      <w:r>
        <w:rPr>
          <w:spacing w:val="24"/>
        </w:rPr>
        <w:t> </w:t>
      </w:r>
      <w:r>
        <w:rPr/>
        <w:t>by</w:t>
      </w:r>
      <w:r>
        <w:rPr>
          <w:spacing w:val="15"/>
        </w:rPr>
        <w:t> </w:t>
      </w:r>
      <w:r>
        <w:rPr/>
        <w:t>Adeleye</w:t>
      </w:r>
      <w:r>
        <w:rPr>
          <w:spacing w:val="26"/>
        </w:rPr>
        <w:t> </w:t>
      </w:r>
      <w:r>
        <w:rPr/>
        <w:t>(1973)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indicate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Maastrichtian</w:t>
      </w:r>
      <w:r>
        <w:rPr>
          <w:spacing w:val="25"/>
        </w:rPr>
        <w:t> </w:t>
      </w:r>
      <w:r>
        <w:rPr/>
        <w:t>age</w:t>
      </w:r>
      <w:r>
        <w:rPr>
          <w:spacing w:val="-58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32"/>
        </w:rPr>
        <w:t> </w:t>
      </w:r>
      <w:r>
        <w:rPr/>
        <w:t>Sakpe</w:t>
      </w:r>
      <w:r>
        <w:rPr>
          <w:spacing w:val="31"/>
        </w:rPr>
        <w:t> </w:t>
      </w:r>
      <w:r>
        <w:rPr/>
        <w:t>ironstone</w:t>
      </w:r>
      <w:r>
        <w:rPr>
          <w:spacing w:val="34"/>
        </w:rPr>
        <w:t> </w:t>
      </w:r>
      <w:r>
        <w:rPr/>
        <w:t>Formation,</w:t>
      </w:r>
      <w:r>
        <w:rPr>
          <w:spacing w:val="33"/>
        </w:rPr>
        <w:t> </w:t>
      </w:r>
      <w:r>
        <w:rPr/>
        <w:t>but</w:t>
      </w:r>
      <w:r>
        <w:rPr>
          <w:spacing w:val="32"/>
        </w:rPr>
        <w:t> </w:t>
      </w:r>
      <w:r>
        <w:rPr/>
        <w:t>Turritella</w:t>
      </w:r>
      <w:r>
        <w:rPr>
          <w:spacing w:val="29"/>
        </w:rPr>
        <w:t> </w:t>
      </w:r>
      <w:r>
        <w:rPr/>
        <w:t>is</w:t>
      </w:r>
      <w:r>
        <w:rPr>
          <w:spacing w:val="32"/>
        </w:rPr>
        <w:t> </w:t>
      </w:r>
      <w:r>
        <w:rPr/>
        <w:t>known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range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Nigeria</w:t>
      </w:r>
      <w:r>
        <w:rPr>
          <w:spacing w:val="29"/>
        </w:rPr>
        <w:t> </w:t>
      </w:r>
      <w:r>
        <w:rPr/>
        <w:t>down</w:t>
      </w:r>
      <w:r>
        <w:rPr>
          <w:spacing w:val="-57"/>
        </w:rPr>
        <w:t> </w:t>
      </w:r>
      <w:r>
        <w:rPr/>
        <w:t>into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Cenomanian.</w:t>
      </w:r>
      <w:r>
        <w:rPr>
          <w:spacing w:val="1"/>
        </w:rPr>
        <w:t> </w:t>
      </w:r>
      <w:r>
        <w:rPr/>
        <w:t>Adeleye</w:t>
      </w:r>
      <w:r>
        <w:rPr>
          <w:spacing w:val="1"/>
        </w:rPr>
        <w:t> </w:t>
      </w:r>
      <w:r>
        <w:rPr/>
        <w:t>(1973)</w:t>
      </w:r>
      <w:r>
        <w:rPr>
          <w:spacing w:val="1"/>
        </w:rPr>
        <w:t> </w:t>
      </w:r>
      <w:r>
        <w:rPr/>
        <w:t>holds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Sakpe</w:t>
      </w:r>
      <w:r>
        <w:rPr>
          <w:spacing w:val="1"/>
        </w:rPr>
        <w:t> </w:t>
      </w:r>
      <w:r>
        <w:rPr/>
        <w:t>Ironstone Formation was deposited under marine condition in a sea which was not</w:t>
      </w:r>
      <w:r>
        <w:rPr>
          <w:spacing w:val="1"/>
        </w:rPr>
        <w:t> </w:t>
      </w:r>
      <w:r>
        <w:rPr/>
        <w:t>connected with southern Nigeria but with Tethys via a northerly connection situated in</w:t>
      </w:r>
      <w:r>
        <w:rPr>
          <w:spacing w:val="1"/>
        </w:rPr>
        <w:t> </w:t>
      </w:r>
      <w:r>
        <w:rPr/>
        <w:t>the Sokoto area of the Iullemmeden Basin. Whiteman (1982)</w:t>
      </w:r>
      <w:r>
        <w:rPr>
          <w:spacing w:val="1"/>
        </w:rPr>
        <w:t> </w:t>
      </w:r>
      <w:r>
        <w:rPr/>
        <w:t>however holds the view</w:t>
      </w:r>
      <w:r>
        <w:rPr>
          <w:spacing w:val="1"/>
        </w:rPr>
        <w:t> </w:t>
      </w:r>
      <w:r>
        <w:rPr/>
        <w:t>that a more substantial case can be made for a connection with the south in which he</w:t>
      </w:r>
      <w:r>
        <w:rPr>
          <w:spacing w:val="1"/>
        </w:rPr>
        <w:t> </w:t>
      </w:r>
      <w:r>
        <w:rPr/>
        <w:t>believes that the late Campanian sea in which the Nkporo and Araromi marine shale</w:t>
      </w:r>
      <w:r>
        <w:rPr>
          <w:spacing w:val="1"/>
        </w:rPr>
        <w:t> </w:t>
      </w:r>
      <w:r>
        <w:rPr/>
        <w:t>were laid down transgressed into the Bida basin and that the Sakpe and Batati</w:t>
      </w:r>
      <w:r>
        <w:rPr>
          <w:spacing w:val="1"/>
        </w:rPr>
        <w:t> </w:t>
      </w:r>
      <w:r>
        <w:rPr/>
        <w:t>ironstone</w:t>
      </w:r>
      <w:r>
        <w:rPr>
          <w:spacing w:val="-57"/>
        </w:rPr>
        <w:t> </w:t>
      </w:r>
      <w:r>
        <w:rPr/>
        <w:t>formations were probably laid down during this transgression. Whiteman (1982) holds</w:t>
      </w:r>
      <w:r>
        <w:rPr>
          <w:spacing w:val="1"/>
        </w:rPr>
        <w:t> </w:t>
      </w:r>
      <w:r>
        <w:rPr/>
        <w:t>the view that the most that can be said about the age of the Sakpe-Enagi and Batati units</w:t>
      </w:r>
      <w:r>
        <w:rPr>
          <w:spacing w:val="-57"/>
        </w:rPr>
        <w:t> </w:t>
      </w:r>
      <w:r>
        <w:rPr/>
        <w:t>is that they are late Cretaceous. This he deduced from the few fossils that were found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formation and their limited variety.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9" w:after="0"/>
        <w:ind w:left="1165" w:right="0" w:hanging="721"/>
        <w:jc w:val="both"/>
      </w:pPr>
      <w:r>
        <w:rPr/>
        <w:t>Enagi</w:t>
      </w:r>
      <w:r>
        <w:rPr>
          <w:spacing w:val="-4"/>
        </w:rPr>
        <w:t> </w:t>
      </w:r>
      <w:r>
        <w:rPr/>
        <w:t>siltstone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 w:before="1"/>
        <w:ind w:left="445" w:right="684"/>
        <w:jc w:val="both"/>
      </w:pPr>
      <w:r>
        <w:rPr/>
        <w:t>This formation was proposed by Adeleye (1973) to consist of siltstone with subordinate</w:t>
      </w:r>
      <w:r>
        <w:rPr>
          <w:spacing w:val="1"/>
        </w:rPr>
        <w:t> </w:t>
      </w:r>
      <w:r>
        <w:rPr/>
        <w:t>amounts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sandstones,</w:t>
      </w:r>
      <w:r>
        <w:rPr>
          <w:spacing w:val="40"/>
        </w:rPr>
        <w:t> </w:t>
      </w:r>
      <w:r>
        <w:rPr/>
        <w:t>siltstone-sandstone</w:t>
      </w:r>
      <w:r>
        <w:rPr>
          <w:spacing w:val="38"/>
        </w:rPr>
        <w:t> </w:t>
      </w:r>
      <w:r>
        <w:rPr/>
        <w:t>admixtures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claystone.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Formation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49" w:right="275"/>
        <w:jc w:val="center"/>
      </w:pPr>
      <w:r>
        <w:rPr/>
        <w:t>22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82"/>
        <w:jc w:val="both"/>
      </w:pPr>
      <w:r>
        <w:rPr/>
        <w:t>occurs just below the tops of the major mesas such as the Doko and Nupe plateau. It has</w:t>
      </w:r>
      <w:r>
        <w:rPr>
          <w:spacing w:val="-57"/>
        </w:rPr>
        <w:t> </w:t>
      </w:r>
      <w:r>
        <w:rPr/>
        <w:t>a thickness of between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– 60 meters. The age is classed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Maastrichtian because of</w:t>
      </w:r>
      <w:r>
        <w:rPr>
          <w:spacing w:val="-57"/>
        </w:rPr>
        <w:t> </w:t>
      </w:r>
      <w:r>
        <w:rPr/>
        <w:t>its stratigraphic position between the Sakpe ironstone and Batati ironstone (Adeleye,</w:t>
      </w:r>
      <w:r>
        <w:rPr>
          <w:spacing w:val="1"/>
        </w:rPr>
        <w:t> </w:t>
      </w:r>
      <w:r>
        <w:rPr/>
        <w:t>1973).</w:t>
      </w:r>
    </w:p>
    <w:p>
      <w:pPr>
        <w:pStyle w:val="BodyText"/>
        <w:spacing w:line="480" w:lineRule="auto"/>
        <w:ind w:left="445" w:right="673"/>
        <w:jc w:val="both"/>
      </w:pPr>
      <w:r>
        <w:rPr/>
        <w:t>Adeleye (1973) suggest a fluviatile environment of deposition which was as a result of</w:t>
      </w:r>
      <w:r>
        <w:rPr>
          <w:spacing w:val="1"/>
        </w:rPr>
        <w:t> </w:t>
      </w:r>
      <w:r>
        <w:rPr/>
        <w:t>the withdrawal of the Tethys north wards. The grain size, lithology, structures and flora,</w:t>
      </w:r>
      <w:r>
        <w:rPr>
          <w:spacing w:val="-57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deposition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considers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Enagi siltstone Formation to be the lateral equivalent of the Lokoja carbonaceous and</w:t>
      </w:r>
      <w:r>
        <w:rPr>
          <w:spacing w:val="1"/>
        </w:rPr>
        <w:t> </w:t>
      </w:r>
      <w:r>
        <w:rPr/>
        <w:t>shaly sandstone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Patti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Whiteman</w:t>
      </w:r>
      <w:r>
        <w:rPr>
          <w:spacing w:val="1"/>
        </w:rPr>
        <w:t> </w:t>
      </w:r>
      <w:r>
        <w:rPr/>
        <w:t>(1982)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Murat</w:t>
      </w:r>
      <w:r>
        <w:rPr>
          <w:spacing w:val="1"/>
        </w:rPr>
        <w:t> </w:t>
      </w:r>
      <w:r>
        <w:rPr/>
        <w:t>(1972)</w:t>
      </w:r>
      <w:r>
        <w:rPr>
          <w:spacing w:val="1"/>
        </w:rPr>
        <w:t> </w:t>
      </w:r>
      <w:r>
        <w:rPr/>
        <w:t>believe that the late Campanian deposits were laid down in the Bida basin which was a</w:t>
      </w:r>
      <w:r>
        <w:rPr>
          <w:spacing w:val="1"/>
        </w:rPr>
        <w:t> </w:t>
      </w:r>
      <w:r>
        <w:rPr/>
        <w:t>side basin adjacent to the Anambra Basin. This formation ranges in thickness between 9</w:t>
      </w:r>
      <w:r>
        <w:rPr>
          <w:spacing w:val="1"/>
        </w:rPr>
        <w:t> </w:t>
      </w:r>
      <w:r>
        <w:rPr/>
        <w:t>meters and 60 meters,</w:t>
      </w:r>
      <w:r>
        <w:rPr>
          <w:spacing w:val="1"/>
        </w:rPr>
        <w:t> </w:t>
      </w:r>
      <w:r>
        <w:rPr/>
        <w:t>and is well</w:t>
      </w:r>
      <w:r>
        <w:rPr>
          <w:spacing w:val="1"/>
        </w:rPr>
        <w:t> </w:t>
      </w:r>
      <w:r>
        <w:rPr/>
        <w:t>exposed below mesas</w:t>
      </w:r>
      <w:r>
        <w:rPr>
          <w:spacing w:val="1"/>
        </w:rPr>
        <w:t> </w:t>
      </w:r>
      <w:r>
        <w:rPr/>
        <w:t>at Enagi</w:t>
      </w:r>
      <w:r>
        <w:rPr>
          <w:spacing w:val="1"/>
        </w:rPr>
        <w:t> </w:t>
      </w:r>
      <w:r>
        <w:rPr/>
        <w:t>and Doko area.</w:t>
      </w:r>
      <w:r>
        <w:rPr>
          <w:spacing w:val="1"/>
        </w:rPr>
        <w:t> </w:t>
      </w:r>
      <w:r>
        <w:rPr/>
        <w:t>Adeleye (1973)</w:t>
      </w:r>
      <w:r>
        <w:rPr>
          <w:spacing w:val="-1"/>
        </w:rPr>
        <w:t> </w:t>
      </w:r>
      <w:r>
        <w:rPr/>
        <w:t>suggested continental origin</w:t>
      </w:r>
      <w:r>
        <w:rPr>
          <w:spacing w:val="-1"/>
        </w:rPr>
        <w:t> </w:t>
      </w:r>
      <w:r>
        <w:rPr/>
        <w:t>of this formation.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2" w:after="0"/>
        <w:ind w:left="1165" w:right="0" w:hanging="721"/>
        <w:jc w:val="both"/>
      </w:pPr>
      <w:bookmarkStart w:name="_TOC_250022" w:id="23"/>
      <w:r>
        <w:rPr/>
        <w:t>Batati</w:t>
      </w:r>
      <w:r>
        <w:rPr>
          <w:spacing w:val="30"/>
        </w:rPr>
        <w:t> </w:t>
      </w:r>
      <w:bookmarkEnd w:id="23"/>
      <w:r>
        <w:rPr/>
        <w:t>ironstone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81"/>
        <w:jc w:val="both"/>
      </w:pPr>
      <w:r>
        <w:rPr/>
        <w:t>The Batati Ironstone Formation is subdivided into the Edozhigi ironstone member and</w:t>
      </w:r>
      <w:r>
        <w:rPr>
          <w:spacing w:val="1"/>
        </w:rPr>
        <w:t> </w:t>
      </w:r>
      <w:r>
        <w:rPr/>
        <w:t>the Kutigi ironstone member. Where the two members occur together the Edozhigi</w:t>
      </w:r>
      <w:r>
        <w:rPr>
          <w:spacing w:val="1"/>
        </w:rPr>
        <w:t> </w:t>
      </w:r>
      <w:r>
        <w:rPr/>
        <w:t>member</w:t>
      </w:r>
      <w:r>
        <w:rPr>
          <w:spacing w:val="-2"/>
        </w:rPr>
        <w:t> </w:t>
      </w:r>
      <w:r>
        <w:rPr/>
        <w:t>rests uncomformably</w:t>
      </w:r>
      <w:r>
        <w:rPr>
          <w:spacing w:val="-10"/>
        </w:rPr>
        <w:t> </w:t>
      </w:r>
      <w:r>
        <w:rPr/>
        <w:t>on the</w:t>
      </w:r>
      <w:r>
        <w:rPr>
          <w:spacing w:val="1"/>
        </w:rPr>
        <w:t> </w:t>
      </w:r>
      <w:r>
        <w:rPr/>
        <w:t>Kutigi</w:t>
      </w:r>
      <w:r>
        <w:rPr>
          <w:spacing w:val="1"/>
        </w:rPr>
        <w:t> </w:t>
      </w:r>
      <w:r>
        <w:rPr/>
        <w:t>member</w:t>
      </w:r>
      <w:r>
        <w:rPr>
          <w:spacing w:val="-2"/>
        </w:rPr>
        <w:t> </w:t>
      </w:r>
      <w:r>
        <w:rPr/>
        <w:t>(Adeleye, 1973).</w:t>
      </w:r>
    </w:p>
    <w:p>
      <w:pPr>
        <w:pStyle w:val="BodyText"/>
        <w:spacing w:line="480" w:lineRule="auto"/>
        <w:ind w:left="445" w:right="674"/>
        <w:jc w:val="both"/>
      </w:pPr>
      <w:r>
        <w:rPr/>
        <w:t>The Edozhigi member consists of goethitic and oolitic ironstone, whereas the Kutigi</w:t>
      </w:r>
      <w:r>
        <w:rPr>
          <w:spacing w:val="1"/>
        </w:rPr>
        <w:t> </w:t>
      </w:r>
      <w:r>
        <w:rPr/>
        <w:t>member consists of mixed goethitic and kaolinitic oolites. The Kutigi member has a</w:t>
      </w:r>
      <w:r>
        <w:rPr>
          <w:spacing w:val="1"/>
        </w:rPr>
        <w:t> </w:t>
      </w:r>
      <w:r>
        <w:rPr/>
        <w:t>maximum thickness of 3 meters, while the Edozhigi member has a maximum thickness</w:t>
      </w:r>
      <w:r>
        <w:rPr>
          <w:spacing w:val="1"/>
        </w:rPr>
        <w:t> </w:t>
      </w:r>
      <w:r>
        <w:rPr/>
        <w:t>of 15 meters. Adeleye (1973) has listed the following fossils from the Batati ironstone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Ostrea,</w:t>
      </w:r>
      <w:r>
        <w:rPr>
          <w:spacing w:val="1"/>
        </w:rPr>
        <w:t> </w:t>
      </w:r>
      <w:r>
        <w:rPr/>
        <w:t>lopha,</w:t>
      </w:r>
      <w:r>
        <w:rPr>
          <w:spacing w:val="1"/>
        </w:rPr>
        <w:t> </w:t>
      </w:r>
      <w:r>
        <w:rPr/>
        <w:t>venericardia,</w:t>
      </w:r>
      <w:r>
        <w:rPr>
          <w:spacing w:val="1"/>
        </w:rPr>
        <w:t> </w:t>
      </w:r>
      <w:r>
        <w:rPr/>
        <w:t>cardidea,</w:t>
      </w:r>
      <w:r>
        <w:rPr>
          <w:spacing w:val="1"/>
        </w:rPr>
        <w:t> </w:t>
      </w:r>
      <w:r>
        <w:rPr/>
        <w:t>Faunus</w:t>
      </w:r>
      <w:r>
        <w:rPr>
          <w:spacing w:val="1"/>
        </w:rPr>
        <w:t> </w:t>
      </w:r>
      <w:r>
        <w:rPr/>
        <w:t>beyenburgi,</w:t>
      </w:r>
      <w:r>
        <w:rPr>
          <w:spacing w:val="1"/>
        </w:rPr>
        <w:t> </w:t>
      </w:r>
      <w:r>
        <w:rPr/>
        <w:t>Faunus</w:t>
      </w:r>
      <w:r>
        <w:rPr>
          <w:spacing w:val="1"/>
        </w:rPr>
        <w:t> </w:t>
      </w:r>
      <w:r>
        <w:rPr/>
        <w:t>miskalensis,</w:t>
      </w:r>
      <w:r>
        <w:rPr>
          <w:spacing w:val="1"/>
        </w:rPr>
        <w:t> </w:t>
      </w:r>
      <w:r>
        <w:rPr/>
        <w:t>turritella,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burrows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Alpheus</w:t>
      </w:r>
      <w:r>
        <w:rPr>
          <w:spacing w:val="1"/>
        </w:rPr>
        <w:t> </w:t>
      </w:r>
      <w:r>
        <w:rPr/>
        <w:t>sp.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assemblage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Adeleye (1973) indicates an age not older than</w:t>
      </w:r>
      <w:r>
        <w:rPr>
          <w:spacing w:val="1"/>
        </w:rPr>
        <w:t> </w:t>
      </w:r>
      <w:r>
        <w:rPr/>
        <w:t>Maastrichtian, although these trace</w:t>
      </w:r>
      <w:r>
        <w:rPr>
          <w:spacing w:val="1"/>
        </w:rPr>
        <w:t> </w:t>
      </w:r>
      <w:r>
        <w:rPr/>
        <w:t>fossils are 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into</w:t>
      </w:r>
      <w:r>
        <w:rPr>
          <w:spacing w:val="2"/>
        </w:rPr>
        <w:t> </w:t>
      </w:r>
      <w:r>
        <w:rPr/>
        <w:t>the Eocene</w:t>
      </w:r>
      <w:r>
        <w:rPr>
          <w:spacing w:val="-3"/>
        </w:rPr>
        <w:t> </w:t>
      </w:r>
      <w:r>
        <w:rPr/>
        <w:t>(Whiteman</w:t>
      </w:r>
      <w:r>
        <w:rPr>
          <w:spacing w:val="1"/>
        </w:rPr>
        <w:t> </w:t>
      </w:r>
      <w:r>
        <w:rPr/>
        <w:t>1982).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assemblage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taken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before="1"/>
        <w:ind w:left="49" w:right="275"/>
        <w:jc w:val="center"/>
      </w:pPr>
      <w:r>
        <w:rPr/>
        <w:t>23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9"/>
        <w:jc w:val="both"/>
      </w:pPr>
      <w:r>
        <w:rPr/>
        <w:t>to indicate a second marine transgression into the central Nupe basin, Adeleye (1973).</w:t>
      </w:r>
      <w:r>
        <w:rPr>
          <w:spacing w:val="1"/>
        </w:rPr>
        <w:t> </w:t>
      </w:r>
      <w:r>
        <w:rPr/>
        <w:t>Murat</w:t>
      </w:r>
      <w:r>
        <w:rPr>
          <w:spacing w:val="1"/>
        </w:rPr>
        <w:t> </w:t>
      </w:r>
      <w:r>
        <w:rPr/>
        <w:t>(1972) and</w:t>
      </w:r>
      <w:r>
        <w:rPr>
          <w:spacing w:val="1"/>
        </w:rPr>
        <w:t> </w:t>
      </w:r>
      <w:r>
        <w:rPr/>
        <w:t>Whiteman (1982) however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 that</w:t>
      </w:r>
      <w:r>
        <w:rPr>
          <w:spacing w:val="1"/>
        </w:rPr>
        <w:t> </w:t>
      </w:r>
      <w:r>
        <w:rPr/>
        <w:t>Sakpe and</w:t>
      </w:r>
      <w:r>
        <w:rPr>
          <w:spacing w:val="1"/>
        </w:rPr>
        <w:t> </w:t>
      </w:r>
      <w:r>
        <w:rPr/>
        <w:t>Batati</w:t>
      </w:r>
      <w:r>
        <w:rPr>
          <w:spacing w:val="1"/>
        </w:rPr>
        <w:t> </w:t>
      </w:r>
      <w:r>
        <w:rPr/>
        <w:t>assemblage are Campanian in age; that they were laid down during the late Campanian</w:t>
      </w:r>
      <w:r>
        <w:rPr>
          <w:spacing w:val="1"/>
        </w:rPr>
        <w:t> </w:t>
      </w:r>
      <w:r>
        <w:rPr/>
        <w:t>marine transgression. The authors also believe that the assemblage could also indicate a</w:t>
      </w:r>
      <w:r>
        <w:rPr>
          <w:spacing w:val="1"/>
        </w:rPr>
        <w:t> </w:t>
      </w:r>
      <w:r>
        <w:rPr/>
        <w:t>late</w:t>
      </w:r>
      <w:r>
        <w:rPr>
          <w:spacing w:val="-2"/>
        </w:rPr>
        <w:t> </w:t>
      </w:r>
      <w:r>
        <w:rPr/>
        <w:t>Cretaceous</w:t>
      </w:r>
      <w:r>
        <w:rPr>
          <w:spacing w:val="2"/>
        </w:rPr>
        <w:t> </w:t>
      </w:r>
      <w:r>
        <w:rPr/>
        <w:t>age.</w:t>
      </w:r>
    </w:p>
    <w:p>
      <w:pPr>
        <w:pStyle w:val="BodyText"/>
        <w:spacing w:line="482" w:lineRule="auto"/>
        <w:ind w:left="445" w:right="680"/>
        <w:jc w:val="both"/>
      </w:pPr>
      <w:r>
        <w:rPr/>
        <w:t>Braide</w:t>
      </w:r>
      <w:r>
        <w:rPr>
          <w:spacing w:val="1"/>
        </w:rPr>
        <w:t> </w:t>
      </w:r>
      <w:r>
        <w:rPr/>
        <w:t>(1992b)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lithofacies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paleoenvironment.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facies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reconstructed</w:t>
      </w:r>
      <w:r>
        <w:rPr>
          <w:spacing w:val="1"/>
        </w:rPr>
        <w:t> </w:t>
      </w:r>
      <w:r>
        <w:rPr/>
        <w:t>paleoenvironments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3"/>
          <w:numId w:val="6"/>
        </w:numPr>
        <w:tabs>
          <w:tab w:pos="1525" w:val="left" w:leader="none"/>
          <w:tab w:pos="1526" w:val="left" w:leader="none"/>
        </w:tabs>
        <w:spacing w:line="480" w:lineRule="auto" w:before="0" w:after="0"/>
        <w:ind w:left="1525" w:right="680" w:hanging="720"/>
        <w:jc w:val="left"/>
        <w:rPr>
          <w:sz w:val="24"/>
        </w:rPr>
      </w:pPr>
      <w:r>
        <w:rPr>
          <w:sz w:val="24"/>
        </w:rPr>
        <w:t>Fanglomerate</w:t>
      </w:r>
      <w:r>
        <w:rPr>
          <w:spacing w:val="10"/>
          <w:sz w:val="24"/>
        </w:rPr>
        <w:t> </w:t>
      </w:r>
      <w:r>
        <w:rPr>
          <w:sz w:val="24"/>
        </w:rPr>
        <w:t>facies</w:t>
      </w:r>
      <w:r>
        <w:rPr>
          <w:spacing w:val="10"/>
          <w:sz w:val="24"/>
        </w:rPr>
        <w:t> </w:t>
      </w:r>
      <w:r>
        <w:rPr>
          <w:sz w:val="24"/>
        </w:rPr>
        <w:t>interpreted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part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an</w:t>
      </w:r>
      <w:r>
        <w:rPr>
          <w:spacing w:val="11"/>
          <w:sz w:val="24"/>
        </w:rPr>
        <w:t> </w:t>
      </w:r>
      <w:r>
        <w:rPr>
          <w:sz w:val="24"/>
        </w:rPr>
        <w:t>alluvial</w:t>
      </w:r>
      <w:r>
        <w:rPr>
          <w:spacing w:val="12"/>
          <w:sz w:val="24"/>
        </w:rPr>
        <w:t> </w:t>
      </w:r>
      <w:r>
        <w:rPr>
          <w:sz w:val="24"/>
        </w:rPr>
        <w:t>fan</w:t>
      </w:r>
      <w:r>
        <w:rPr>
          <w:spacing w:val="11"/>
          <w:sz w:val="24"/>
        </w:rPr>
        <w:t> </w:t>
      </w:r>
      <w:r>
        <w:rPr>
          <w:sz w:val="24"/>
        </w:rPr>
        <w:t>channel</w:t>
      </w:r>
      <w:r>
        <w:rPr>
          <w:spacing w:val="-57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3"/>
          <w:numId w:val="6"/>
        </w:numPr>
        <w:tabs>
          <w:tab w:pos="1525" w:val="left" w:leader="none"/>
          <w:tab w:pos="1526" w:val="left" w:leader="none"/>
          <w:tab w:pos="7368" w:val="left" w:leader="none"/>
        </w:tabs>
        <w:spacing w:line="480" w:lineRule="auto" w:before="0" w:after="0"/>
        <w:ind w:left="1525" w:right="683" w:hanging="720"/>
        <w:jc w:val="left"/>
        <w:rPr>
          <w:sz w:val="24"/>
        </w:rPr>
      </w:pPr>
      <w:r>
        <w:rPr>
          <w:sz w:val="24"/>
        </w:rPr>
        <w:t>A  </w:t>
      </w:r>
      <w:r>
        <w:rPr>
          <w:spacing w:val="15"/>
          <w:sz w:val="24"/>
        </w:rPr>
        <w:t> </w:t>
      </w:r>
      <w:r>
        <w:rPr>
          <w:sz w:val="24"/>
        </w:rPr>
        <w:t>cross-stratified  </w:t>
      </w:r>
      <w:r>
        <w:rPr>
          <w:spacing w:val="17"/>
          <w:sz w:val="24"/>
        </w:rPr>
        <w:t> </w:t>
      </w:r>
      <w:r>
        <w:rPr>
          <w:sz w:val="24"/>
        </w:rPr>
        <w:t>sandstone  </w:t>
      </w:r>
      <w:r>
        <w:rPr>
          <w:spacing w:val="17"/>
          <w:sz w:val="24"/>
        </w:rPr>
        <w:t> </w:t>
      </w:r>
      <w:r>
        <w:rPr>
          <w:sz w:val="24"/>
        </w:rPr>
        <w:t>facies  </w:t>
      </w:r>
      <w:r>
        <w:rPr>
          <w:spacing w:val="16"/>
          <w:sz w:val="24"/>
        </w:rPr>
        <w:t> </w:t>
      </w:r>
      <w:r>
        <w:rPr>
          <w:sz w:val="24"/>
        </w:rPr>
        <w:t>interpreted  </w:t>
      </w:r>
      <w:r>
        <w:rPr>
          <w:spacing w:val="17"/>
          <w:sz w:val="24"/>
        </w:rPr>
        <w:t> </w:t>
      </w:r>
      <w:r>
        <w:rPr>
          <w:sz w:val="24"/>
        </w:rPr>
        <w:t>as  </w:t>
      </w:r>
      <w:r>
        <w:rPr>
          <w:spacing w:val="16"/>
          <w:sz w:val="24"/>
        </w:rPr>
        <w:t> </w:t>
      </w:r>
      <w:r>
        <w:rPr>
          <w:sz w:val="24"/>
        </w:rPr>
        <w:t>a</w:t>
        <w:tab/>
        <w:t>fluvial</w:t>
      </w:r>
      <w:r>
        <w:rPr>
          <w:spacing w:val="6"/>
          <w:sz w:val="24"/>
        </w:rPr>
        <w:t> </w:t>
      </w:r>
      <w:r>
        <w:rPr>
          <w:sz w:val="24"/>
        </w:rPr>
        <w:t>channel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3"/>
          <w:numId w:val="6"/>
        </w:numPr>
        <w:tabs>
          <w:tab w:pos="1525" w:val="left" w:leader="none"/>
          <w:tab w:pos="1526" w:val="left" w:leader="none"/>
        </w:tabs>
        <w:spacing w:line="240" w:lineRule="auto" w:before="0" w:after="0"/>
        <w:ind w:left="1525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siltstone</w:t>
      </w:r>
      <w:r>
        <w:rPr>
          <w:spacing w:val="-2"/>
          <w:sz w:val="24"/>
        </w:rPr>
        <w:t> </w:t>
      </w:r>
      <w:r>
        <w:rPr>
          <w:sz w:val="24"/>
        </w:rPr>
        <w:t>facies</w:t>
      </w:r>
      <w:r>
        <w:rPr>
          <w:spacing w:val="-1"/>
          <w:sz w:val="24"/>
        </w:rPr>
        <w:t> </w:t>
      </w:r>
      <w:r>
        <w:rPr>
          <w:sz w:val="24"/>
        </w:rPr>
        <w:t>interpreted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flood</w:t>
      </w:r>
      <w:r>
        <w:rPr>
          <w:spacing w:val="-1"/>
          <w:sz w:val="24"/>
        </w:rPr>
        <w:t> </w:t>
      </w:r>
      <w:r>
        <w:rPr>
          <w:sz w:val="24"/>
        </w:rPr>
        <w:t>plain</w:t>
      </w:r>
      <w:r>
        <w:rPr>
          <w:spacing w:val="-2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6"/>
        </w:numPr>
        <w:tabs>
          <w:tab w:pos="1525" w:val="left" w:leader="none"/>
          <w:tab w:pos="1526" w:val="left" w:leader="none"/>
        </w:tabs>
        <w:spacing w:line="480" w:lineRule="auto" w:before="1" w:after="0"/>
        <w:ind w:left="1525" w:right="685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epsilon</w:t>
      </w:r>
      <w:r>
        <w:rPr>
          <w:spacing w:val="1"/>
          <w:sz w:val="24"/>
        </w:rPr>
        <w:t> </w:t>
      </w:r>
      <w:r>
        <w:rPr>
          <w:sz w:val="24"/>
        </w:rPr>
        <w:t>cross-stratification</w:t>
      </w:r>
      <w:r>
        <w:rPr>
          <w:spacing w:val="1"/>
          <w:sz w:val="24"/>
        </w:rPr>
        <w:t> </w:t>
      </w:r>
      <w:r>
        <w:rPr>
          <w:sz w:val="24"/>
        </w:rPr>
        <w:t>inferred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represent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1"/>
          <w:sz w:val="24"/>
        </w:rPr>
        <w:t> </w:t>
      </w:r>
      <w:r>
        <w:rPr>
          <w:sz w:val="24"/>
        </w:rPr>
        <w:t>bar</w:t>
      </w:r>
      <w:r>
        <w:rPr>
          <w:spacing w:val="-58"/>
          <w:sz w:val="24"/>
        </w:rPr>
        <w:t> </w:t>
      </w:r>
      <w:r>
        <w:rPr>
          <w:sz w:val="24"/>
        </w:rPr>
        <w:t>deposition.</w:t>
      </w:r>
    </w:p>
    <w:p>
      <w:pPr>
        <w:pStyle w:val="ListParagraph"/>
        <w:numPr>
          <w:ilvl w:val="3"/>
          <w:numId w:val="6"/>
        </w:numPr>
        <w:tabs>
          <w:tab w:pos="1525" w:val="left" w:leader="none"/>
          <w:tab w:pos="1526" w:val="left" w:leader="none"/>
        </w:tabs>
        <w:spacing w:line="480" w:lineRule="auto" w:before="0" w:after="0"/>
        <w:ind w:left="1525" w:right="672" w:hanging="720"/>
        <w:jc w:val="left"/>
        <w:rPr>
          <w:sz w:val="24"/>
        </w:rPr>
      </w:pP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variegated</w:t>
      </w:r>
      <w:r>
        <w:rPr>
          <w:spacing w:val="36"/>
          <w:sz w:val="24"/>
        </w:rPr>
        <w:t> </w:t>
      </w:r>
      <w:r>
        <w:rPr>
          <w:sz w:val="24"/>
        </w:rPr>
        <w:t>siltstone</w:t>
      </w:r>
      <w:r>
        <w:rPr>
          <w:spacing w:val="37"/>
          <w:sz w:val="24"/>
        </w:rPr>
        <w:t> </w:t>
      </w:r>
      <w:r>
        <w:rPr>
          <w:sz w:val="24"/>
        </w:rPr>
        <w:t>facies</w:t>
      </w:r>
      <w:r>
        <w:rPr>
          <w:spacing w:val="37"/>
          <w:sz w:val="24"/>
        </w:rPr>
        <w:t> </w:t>
      </w:r>
      <w:r>
        <w:rPr>
          <w:sz w:val="24"/>
        </w:rPr>
        <w:t>interpreted</w:t>
      </w:r>
      <w:r>
        <w:rPr>
          <w:spacing w:val="37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remnant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extensive</w:t>
      </w:r>
      <w:r>
        <w:rPr>
          <w:spacing w:val="37"/>
          <w:sz w:val="24"/>
        </w:rPr>
        <w:t> </w:t>
      </w:r>
      <w:r>
        <w:rPr>
          <w:sz w:val="24"/>
        </w:rPr>
        <w:t>pond</w:t>
      </w:r>
      <w:r>
        <w:rPr>
          <w:spacing w:val="-57"/>
          <w:sz w:val="24"/>
        </w:rPr>
        <w:t> </w:t>
      </w:r>
      <w:r>
        <w:rPr>
          <w:sz w:val="24"/>
        </w:rPr>
        <w:t>deposits.</w:t>
      </w:r>
    </w:p>
    <w:p>
      <w:pPr>
        <w:pStyle w:val="ListParagraph"/>
        <w:numPr>
          <w:ilvl w:val="3"/>
          <w:numId w:val="6"/>
        </w:numPr>
        <w:tabs>
          <w:tab w:pos="1525" w:val="left" w:leader="none"/>
          <w:tab w:pos="1526" w:val="left" w:leader="none"/>
        </w:tabs>
        <w:spacing w:line="477" w:lineRule="auto" w:before="0" w:after="0"/>
        <w:ind w:left="1525" w:right="678" w:hanging="720"/>
        <w:jc w:val="left"/>
        <w:rPr>
          <w:sz w:val="24"/>
        </w:rPr>
      </w:pPr>
      <w:r>
        <w:rPr>
          <w:sz w:val="24"/>
        </w:rPr>
        <w:t>A facies of organic accumulation interpreted to</w:t>
      </w:r>
      <w:r>
        <w:rPr>
          <w:spacing w:val="1"/>
          <w:sz w:val="24"/>
        </w:rPr>
        <w:t> </w:t>
      </w:r>
      <w:r>
        <w:rPr>
          <w:sz w:val="24"/>
        </w:rPr>
        <w:t>reflect</w:t>
      </w:r>
      <w:r>
        <w:rPr>
          <w:spacing w:val="1"/>
          <w:sz w:val="24"/>
        </w:rPr>
        <w:t> </w:t>
      </w:r>
      <w:r>
        <w:rPr>
          <w:sz w:val="24"/>
        </w:rPr>
        <w:t>concentrated</w:t>
      </w:r>
      <w:r>
        <w:rPr>
          <w:spacing w:val="1"/>
          <w:sz w:val="24"/>
        </w:rPr>
        <w:t> </w:t>
      </w:r>
      <w:r>
        <w:rPr>
          <w:sz w:val="24"/>
        </w:rPr>
        <w:t>vegetal</w:t>
      </w:r>
      <w:r>
        <w:rPr>
          <w:spacing w:val="-57"/>
          <w:sz w:val="24"/>
        </w:rPr>
        <w:t> </w:t>
      </w:r>
      <w:r>
        <w:rPr>
          <w:sz w:val="24"/>
        </w:rPr>
        <w:t>debris.</w:t>
      </w:r>
    </w:p>
    <w:p>
      <w:pPr>
        <w:pStyle w:val="BodyText"/>
        <w:tabs>
          <w:tab w:pos="2603" w:val="left" w:leader="none"/>
        </w:tabs>
        <w:spacing w:line="480" w:lineRule="auto" w:before="4"/>
        <w:ind w:left="445" w:right="675"/>
        <w:jc w:val="both"/>
      </w:pPr>
      <w:r>
        <w:rPr/>
        <w:t>He concluded that the consanguineous association of the facies demonstrated an ancient</w:t>
      </w:r>
      <w:r>
        <w:rPr>
          <w:spacing w:val="1"/>
        </w:rPr>
        <w:t> </w:t>
      </w:r>
      <w:r>
        <w:rPr/>
        <w:t>meandering</w:t>
      </w:r>
      <w:r>
        <w:rPr>
          <w:spacing w:val="1"/>
        </w:rPr>
        <w:t> </w:t>
      </w:r>
      <w:r>
        <w:rPr/>
        <w:t>fluvial environment developed from alluvial fans and braided fluvial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drained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plains,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syntectonism.</w:t>
        <w:tab/>
        <w:t>Braide (1992b) subdivided the alluvial fans into three lithofacies:</w:t>
      </w:r>
      <w:r>
        <w:rPr>
          <w:spacing w:val="1"/>
        </w:rPr>
        <w:t> </w:t>
      </w:r>
      <w:r>
        <w:rPr/>
        <w:t>proximal, mid-fan, and distal fan facies. The proximal fan facies have poorly sorted</w:t>
      </w:r>
      <w:r>
        <w:rPr>
          <w:spacing w:val="1"/>
        </w:rPr>
        <w:t> </w:t>
      </w:r>
      <w:r>
        <w:rPr/>
        <w:t>massive</w:t>
      </w:r>
      <w:r>
        <w:rPr>
          <w:spacing w:val="10"/>
        </w:rPr>
        <w:t> </w:t>
      </w:r>
      <w:r>
        <w:rPr/>
        <w:t>base-of-slope</w:t>
      </w:r>
      <w:r>
        <w:rPr>
          <w:spacing w:val="10"/>
        </w:rPr>
        <w:t> </w:t>
      </w:r>
      <w:r>
        <w:rPr/>
        <w:t>breccias,</w:t>
      </w:r>
      <w:r>
        <w:rPr>
          <w:spacing w:val="11"/>
        </w:rPr>
        <w:t> </w:t>
      </w:r>
      <w:r>
        <w:rPr/>
        <w:t>conglomerates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pebbly</w:t>
      </w:r>
      <w:r>
        <w:rPr>
          <w:spacing w:val="1"/>
        </w:rPr>
        <w:t> </w:t>
      </w:r>
      <w:r>
        <w:rPr/>
        <w:t>sandstone.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mid-fan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49" w:right="275"/>
        <w:jc w:val="center"/>
      </w:pPr>
      <w:r>
        <w:rPr/>
        <w:t>24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7"/>
        <w:jc w:val="both"/>
      </w:pPr>
      <w:r>
        <w:rPr/>
        <w:t>facies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pebbly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clast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pebble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cobble</w:t>
      </w:r>
      <w:r>
        <w:rPr>
          <w:spacing w:val="1"/>
        </w:rPr>
        <w:t> </w:t>
      </w:r>
      <w:r>
        <w:rPr/>
        <w:t>conglomerate, while the distal fan facies consist of fine sandstone with horizontal planar</w:t>
      </w:r>
      <w:r>
        <w:rPr>
          <w:spacing w:val="-57"/>
        </w:rPr>
        <w:t> </w:t>
      </w:r>
      <w:r>
        <w:rPr/>
        <w:t>lamination and ripple cross lamination, Braide (1992b) also distinguished flood basin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lacustrine</w:t>
      </w:r>
      <w:r>
        <w:rPr>
          <w:spacing w:val="1"/>
        </w:rPr>
        <w:t> </w:t>
      </w:r>
      <w:r>
        <w:rPr/>
        <w:t>facies in the</w:t>
      </w:r>
      <w:r>
        <w:rPr>
          <w:spacing w:val="-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basin.</w:t>
      </w:r>
    </w:p>
    <w:p>
      <w:pPr>
        <w:pStyle w:val="BodyText"/>
        <w:spacing w:line="480" w:lineRule="auto"/>
        <w:ind w:left="445" w:right="678"/>
        <w:jc w:val="both"/>
      </w:pPr>
      <w:r>
        <w:rPr/>
        <w:t>A coarsening-upward sequence may indicate a possible control on sediment by tectonic</w:t>
      </w:r>
      <w:r>
        <w:rPr>
          <w:spacing w:val="1"/>
        </w:rPr>
        <w:t> </w:t>
      </w:r>
      <w:r>
        <w:rPr/>
        <w:t>activity (Braide 1992b). Okosun </w:t>
      </w:r>
      <w:r>
        <w:rPr>
          <w:i/>
        </w:rPr>
        <w:t>et al</w:t>
      </w:r>
      <w:r>
        <w:rPr/>
        <w:t>. (2007) recognized five main interpretative facies</w:t>
      </w:r>
      <w:r>
        <w:rPr>
          <w:spacing w:val="1"/>
        </w:rPr>
        <w:t> </w:t>
      </w:r>
      <w:r>
        <w:rPr/>
        <w:t>within the Bida sandstone outcrops based on the environment of deposition; (i) Alluvial</w:t>
      </w:r>
      <w:r>
        <w:rPr>
          <w:spacing w:val="1"/>
        </w:rPr>
        <w:t> </w:t>
      </w:r>
      <w:r>
        <w:rPr/>
        <w:t>fan (ii) Lacustrine (iii) Fluvial channel (iv) Flood plain (v) Mire. The Alluvial fan facies</w:t>
      </w:r>
      <w:r>
        <w:rPr>
          <w:spacing w:val="-57"/>
        </w:rPr>
        <w:t> </w:t>
      </w:r>
      <w:r>
        <w:rPr/>
        <w:t>comprise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conglomerates,</w:t>
      </w:r>
      <w:r>
        <w:rPr>
          <w:spacing w:val="1"/>
        </w:rPr>
        <w:t> </w:t>
      </w:r>
      <w:r>
        <w:rPr/>
        <w:t>breccias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sandstone;</w:t>
      </w:r>
      <w:r>
        <w:rPr>
          <w:spacing w:val="1"/>
        </w:rPr>
        <w:t> </w:t>
      </w:r>
      <w:r>
        <w:rPr/>
        <w:t>lacustrine</w:t>
      </w:r>
      <w:r>
        <w:rPr>
          <w:spacing w:val="1"/>
        </w:rPr>
        <w:t> </w:t>
      </w:r>
      <w:r>
        <w:rPr/>
        <w:t>facies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siltstones,</w:t>
      </w:r>
      <w:r>
        <w:rPr>
          <w:spacing w:val="1"/>
        </w:rPr>
        <w:t> </w:t>
      </w:r>
      <w:r>
        <w:rPr/>
        <w:t>sandy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silty</w:t>
      </w:r>
      <w:r>
        <w:rPr>
          <w:spacing w:val="1"/>
        </w:rPr>
        <w:t> </w:t>
      </w:r>
      <w:r>
        <w:rPr/>
        <w:t>mudstones;</w:t>
      </w:r>
      <w:r>
        <w:rPr>
          <w:spacing w:val="1"/>
        </w:rPr>
        <w:t> </w:t>
      </w:r>
      <w:r>
        <w:rPr/>
        <w:t>flood</w:t>
      </w:r>
      <w:r>
        <w:rPr>
          <w:spacing w:val="1"/>
        </w:rPr>
        <w:t> </w:t>
      </w:r>
      <w:r>
        <w:rPr/>
        <w:t>plain</w:t>
      </w:r>
      <w:r>
        <w:rPr>
          <w:spacing w:val="1"/>
        </w:rPr>
        <w:t> </w:t>
      </w:r>
      <w:r>
        <w:rPr/>
        <w:t>facies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grained</w:t>
      </w:r>
      <w:r>
        <w:rPr>
          <w:spacing w:val="1"/>
        </w:rPr>
        <w:t> </w:t>
      </w:r>
      <w:r>
        <w:rPr/>
        <w:t>sandstone,</w:t>
      </w:r>
      <w:r>
        <w:rPr>
          <w:spacing w:val="1"/>
        </w:rPr>
        <w:t> </w:t>
      </w:r>
      <w:r>
        <w:rPr/>
        <w:t>siltstone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mudstone;</w:t>
      </w:r>
      <w:r>
        <w:rPr>
          <w:spacing w:val="1"/>
        </w:rPr>
        <w:t> </w:t>
      </w:r>
      <w:r>
        <w:rPr/>
        <w:t>fluvial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basically of</w:t>
      </w:r>
      <w:r>
        <w:rPr>
          <w:spacing w:val="1"/>
        </w:rPr>
        <w:t> </w:t>
      </w:r>
      <w:r>
        <w:rPr/>
        <w:t>sandstones</w:t>
      </w:r>
      <w:r>
        <w:rPr>
          <w:spacing w:val="1"/>
        </w:rPr>
        <w:t> </w:t>
      </w:r>
      <w:r>
        <w:rPr/>
        <w:t>which are coarse, medium and fine grained; the mire facies comprises brown to black</w:t>
      </w:r>
      <w:r>
        <w:rPr>
          <w:spacing w:val="1"/>
        </w:rPr>
        <w:t> </w:t>
      </w:r>
      <w:r>
        <w:rPr/>
        <w:t>peat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lignite</w:t>
      </w:r>
      <w:r>
        <w:rPr>
          <w:spacing w:val="1"/>
        </w:rPr>
        <w:t> </w:t>
      </w:r>
      <w:r>
        <w:rPr/>
        <w:t>beds</w:t>
      </w:r>
      <w:r>
        <w:rPr>
          <w:spacing w:val="1"/>
        </w:rPr>
        <w:t> </w:t>
      </w:r>
      <w:r>
        <w:rPr/>
        <w:t>interbedded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siltstone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mudstones.</w:t>
      </w:r>
      <w:r>
        <w:rPr>
          <w:spacing w:val="1"/>
        </w:rPr>
        <w:t> </w:t>
      </w:r>
      <w:r>
        <w:rPr/>
        <w:t>Adeleye</w:t>
      </w:r>
      <w:r>
        <w:rPr>
          <w:spacing w:val="1"/>
        </w:rPr>
        <w:t> </w:t>
      </w:r>
      <w:r>
        <w:rPr/>
        <w:t>(1973)</w:t>
      </w:r>
      <w:r>
        <w:rPr>
          <w:spacing w:val="1"/>
        </w:rPr>
        <w:t> </w:t>
      </w:r>
      <w:r>
        <w:rPr/>
        <w:t>recovered fossils from the ironstone</w:t>
      </w:r>
      <w:r>
        <w:rPr>
          <w:spacing w:val="1"/>
        </w:rPr>
        <w:t> </w:t>
      </w:r>
      <w:r>
        <w:rPr/>
        <w:t>and suggested marine</w:t>
      </w:r>
      <w:r>
        <w:rPr>
          <w:spacing w:val="1"/>
        </w:rPr>
        <w:t> </w:t>
      </w:r>
      <w:r>
        <w:rPr/>
        <w:t>excursion by Tethy Sea</w:t>
      </w:r>
      <w:r>
        <w:rPr>
          <w:spacing w:val="1"/>
        </w:rPr>
        <w:t> </w:t>
      </w:r>
      <w:r>
        <w:rPr/>
        <w:t>responsible for marine condition for the oolites. Murat (1972) and Whiteman (1982)</w:t>
      </w:r>
      <w:r>
        <w:rPr>
          <w:spacing w:val="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ironstone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Sakpe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Batati are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Maastichian.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2" w:after="0"/>
        <w:ind w:left="1165" w:right="0" w:hanging="721"/>
        <w:jc w:val="both"/>
      </w:pPr>
      <w:bookmarkStart w:name="_TOC_250021" w:id="24"/>
      <w:r>
        <w:rPr/>
        <w:t>Lokoja</w:t>
      </w:r>
      <w:r>
        <w:rPr>
          <w:spacing w:val="-5"/>
        </w:rPr>
        <w:t> </w:t>
      </w:r>
      <w:bookmarkEnd w:id="24"/>
      <w:r>
        <w:rPr/>
        <w:t>formation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6"/>
        <w:jc w:val="both"/>
      </w:pPr>
      <w:r>
        <w:rPr/>
        <w:t>The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basal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overlying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unconformably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sandstone.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composed of sub-angular to rounded quartz pebbles in clay matrix. Lithologic units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conglomerates,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coarse-grained</w:t>
      </w:r>
      <w:r>
        <w:rPr>
          <w:spacing w:val="1"/>
        </w:rPr>
        <w:t> </w:t>
      </w:r>
      <w:r>
        <w:rPr/>
        <w:t>sandstone,</w:t>
      </w:r>
      <w:r>
        <w:rPr>
          <w:spacing w:val="1"/>
        </w:rPr>
        <w:t> </w:t>
      </w:r>
      <w:r>
        <w:rPr/>
        <w:t>siltstones and claystone. Predominant sandstone facies vary from milky to purple in</w:t>
      </w:r>
      <w:r>
        <w:rPr>
          <w:spacing w:val="1"/>
        </w:rPr>
        <w:t> </w:t>
      </w:r>
      <w:r>
        <w:rPr/>
        <w:t>colour and massive to cross-stratified. Generally, they are poorly sorted and composed</w:t>
      </w:r>
      <w:r>
        <w:rPr>
          <w:spacing w:val="1"/>
        </w:rPr>
        <w:t> </w:t>
      </w:r>
      <w:r>
        <w:rPr/>
        <w:t>mainly</w:t>
      </w:r>
      <w:r>
        <w:rPr>
          <w:spacing w:val="59"/>
        </w:rPr>
        <w:t> </w:t>
      </w:r>
      <w:r>
        <w:rPr/>
        <w:t>of</w:t>
      </w:r>
      <w:r>
        <w:rPr>
          <w:spacing w:val="7"/>
        </w:rPr>
        <w:t> </w:t>
      </w:r>
      <w:r>
        <w:rPr/>
        <w:t>quartz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feldspar,</w:t>
      </w:r>
      <w:r>
        <w:rPr>
          <w:spacing w:val="7"/>
        </w:rPr>
        <w:t> </w:t>
      </w:r>
      <w:r>
        <w:rPr/>
        <w:t>thus</w:t>
      </w:r>
      <w:r>
        <w:rPr>
          <w:spacing w:val="7"/>
        </w:rPr>
        <w:t> </w:t>
      </w:r>
      <w:r>
        <w:rPr/>
        <w:t>texturally</w:t>
      </w:r>
      <w:r>
        <w:rPr>
          <w:spacing w:val="2"/>
        </w:rPr>
        <w:t> </w:t>
      </w:r>
      <w:r>
        <w:rPr/>
        <w:t>and</w:t>
      </w:r>
      <w:r>
        <w:rPr>
          <w:spacing w:val="7"/>
        </w:rPr>
        <w:t> </w:t>
      </w:r>
      <w:r>
        <w:rPr/>
        <w:t>mineralogically</w:t>
      </w:r>
      <w:r>
        <w:rPr>
          <w:spacing w:val="55"/>
        </w:rPr>
        <w:t> </w:t>
      </w:r>
      <w:r>
        <w:rPr/>
        <w:t>immature</w:t>
      </w:r>
      <w:r>
        <w:rPr>
          <w:spacing w:val="11"/>
        </w:rPr>
        <w:t> </w:t>
      </w:r>
      <w:r>
        <w:rPr/>
        <w:t>(Ojo,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1"/>
        <w:ind w:left="49" w:right="275"/>
        <w:jc w:val="center"/>
      </w:pPr>
      <w:r>
        <w:rPr/>
        <w:t>25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77" w:lineRule="auto" w:before="64"/>
        <w:ind w:left="445" w:right="671"/>
        <w:jc w:val="both"/>
      </w:pPr>
      <w:r>
        <w:rPr/>
        <w:t>1992). This formation has been interpreted as continental (alluvial fan) deposit (Braide,</w:t>
      </w:r>
      <w:r>
        <w:rPr>
          <w:spacing w:val="1"/>
        </w:rPr>
        <w:t> </w:t>
      </w:r>
      <w:r>
        <w:rPr/>
        <w:t>1992b)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6" w:after="0"/>
        <w:ind w:left="1165" w:right="0" w:hanging="721"/>
        <w:jc w:val="both"/>
      </w:pPr>
      <w:bookmarkStart w:name="_TOC_250020" w:id="25"/>
      <w:r>
        <w:rPr/>
        <w:t>Patti</w:t>
      </w:r>
      <w:r>
        <w:rPr>
          <w:spacing w:val="-4"/>
        </w:rPr>
        <w:t> </w:t>
      </w:r>
      <w:bookmarkEnd w:id="25"/>
      <w:r>
        <w:rPr/>
        <w:t>formation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445" w:right="675"/>
        <w:jc w:val="both"/>
      </w:pPr>
      <w:r>
        <w:rPr/>
        <w:t>The Patti Formation is about 70 – 100 meters thick and is well exposed along Abaji</w:t>
      </w:r>
      <w:r>
        <w:rPr>
          <w:spacing w:val="1"/>
        </w:rPr>
        <w:t> </w:t>
      </w:r>
      <w:r>
        <w:rPr/>
        <w:t>Koton-karfi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cut,</w:t>
      </w:r>
      <w:r>
        <w:rPr>
          <w:spacing w:val="1"/>
        </w:rPr>
        <w:t> </w:t>
      </w:r>
      <w:r>
        <w:rPr/>
        <w:t>overlain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sandstone,</w:t>
      </w:r>
      <w:r>
        <w:rPr>
          <w:spacing w:val="1"/>
        </w:rPr>
        <w:t> </w:t>
      </w:r>
      <w:r>
        <w:rPr/>
        <w:t>siltstone,</w:t>
      </w:r>
      <w:r>
        <w:rPr>
          <w:spacing w:val="1"/>
        </w:rPr>
        <w:t> </w:t>
      </w:r>
      <w:r>
        <w:rPr/>
        <w:t>claystone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fine-grained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extension of Enagi Siltstone and part of Sakpe Ironstone in the central Bida basin. The</w:t>
      </w:r>
      <w:r>
        <w:rPr>
          <w:spacing w:val="1"/>
        </w:rPr>
        <w:t> </w:t>
      </w:r>
      <w:r>
        <w:rPr/>
        <w:t>sandstone unit of this Formation is more mineralogical and textural mature compared to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Lokoja</w:t>
      </w:r>
      <w:r>
        <w:rPr>
          <w:spacing w:val="-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Ojo and Akande</w:t>
      </w:r>
      <w:r>
        <w:rPr>
          <w:spacing w:val="1"/>
        </w:rPr>
        <w:t> </w:t>
      </w:r>
      <w:r>
        <w:rPr/>
        <w:t>(2003).</w:t>
      </w:r>
    </w:p>
    <w:p>
      <w:pPr>
        <w:pStyle w:val="Heading1"/>
        <w:numPr>
          <w:ilvl w:val="2"/>
          <w:numId w:val="6"/>
        </w:numPr>
        <w:tabs>
          <w:tab w:pos="1166" w:val="left" w:leader="none"/>
        </w:tabs>
        <w:spacing w:line="240" w:lineRule="auto" w:before="13" w:after="0"/>
        <w:ind w:left="1165" w:right="0" w:hanging="721"/>
        <w:jc w:val="both"/>
      </w:pPr>
      <w:bookmarkStart w:name="_TOC_250019" w:id="26"/>
      <w:r>
        <w:rPr/>
        <w:t>Agbaja</w:t>
      </w:r>
      <w:r>
        <w:rPr>
          <w:spacing w:val="-4"/>
        </w:rPr>
        <w:t> </w:t>
      </w:r>
      <w:bookmarkEnd w:id="26"/>
      <w:r>
        <w:rPr/>
        <w:t>ironstone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69"/>
        <w:jc w:val="both"/>
      </w:pPr>
      <w:r>
        <w:rPr/>
        <w:t>This the topmost</w:t>
      </w:r>
      <w:r>
        <w:rPr>
          <w:spacing w:val="1"/>
        </w:rPr>
        <w:t> </w:t>
      </w:r>
      <w:r>
        <w:rPr/>
        <w:t>and lateral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Batati</w:t>
      </w:r>
      <w:r>
        <w:rPr>
          <w:spacing w:val="1"/>
        </w:rPr>
        <w:t> </w:t>
      </w:r>
      <w:r>
        <w:rPr/>
        <w:t>Formation in the Central</w:t>
      </w:r>
      <w:r>
        <w:rPr>
          <w:spacing w:val="60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basin,</w:t>
      </w:r>
      <w:r>
        <w:rPr>
          <w:spacing w:val="1"/>
        </w:rPr>
        <w:t> </w:t>
      </w:r>
      <w:r>
        <w:rPr/>
        <w:t>overlaying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Patti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lateritic</w:t>
      </w:r>
      <w:r>
        <w:rPr>
          <w:spacing w:val="1"/>
        </w:rPr>
        <w:t> </w:t>
      </w:r>
      <w:r>
        <w:rPr/>
        <w:t>capping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Campanian</w:t>
      </w:r>
      <w:r>
        <w:rPr>
          <w:spacing w:val="1"/>
        </w:rPr>
        <w:t> </w:t>
      </w:r>
      <w:r>
        <w:rPr/>
        <w:t>–Maastrichian</w:t>
      </w:r>
      <w:r>
        <w:rPr>
          <w:spacing w:val="1"/>
        </w:rPr>
        <w:t> </w:t>
      </w:r>
      <w:r>
        <w:rPr/>
        <w:t>deposits.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sub-facies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Oolitic,</w:t>
      </w:r>
      <w:r>
        <w:rPr>
          <w:spacing w:val="1"/>
        </w:rPr>
        <w:t> </w:t>
      </w:r>
      <w:r>
        <w:rPr/>
        <w:t>Concretional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Ironstones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described.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worked kaolin mud into concentric Oolites often with nuclei of Pyrite or Siderite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oxides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Ladipo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Sedimentation in the Bida basin possibly started in the middle to late Maastrichian time</w:t>
      </w:r>
      <w:r>
        <w:rPr>
          <w:spacing w:val="1"/>
        </w:rPr>
        <w:t> </w:t>
      </w:r>
      <w:r>
        <w:rPr/>
        <w:t>with alluvia fan system and braided alluvial channels which flanked the north – west to</w:t>
      </w:r>
      <w:r>
        <w:rPr>
          <w:spacing w:val="1"/>
        </w:rPr>
        <w:t> </w:t>
      </w:r>
      <w:r>
        <w:rPr/>
        <w:t>south – east faulted- bounded margins of the Basin. The first major marine transgression</w:t>
      </w:r>
      <w:r>
        <w:rPr>
          <w:spacing w:val="-57"/>
        </w:rPr>
        <w:t> </w:t>
      </w:r>
      <w:r>
        <w:rPr/>
        <w:t>took place by the early part of the uppermost Maastrichian phase from the south via</w:t>
      </w:r>
      <w:r>
        <w:rPr>
          <w:spacing w:val="1"/>
        </w:rPr>
        <w:t> </w:t>
      </w:r>
      <w:r>
        <w:rPr/>
        <w:t>Anambra Basin with continued transgression estuarine to shallow marine condition</w:t>
      </w:r>
      <w:r>
        <w:rPr>
          <w:spacing w:val="1"/>
        </w:rPr>
        <w:t> </w:t>
      </w:r>
      <w:r>
        <w:rPr/>
        <w:t>prevailed,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reworking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Sandstones.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uppermost</w:t>
      </w:r>
      <w:r>
        <w:rPr>
          <w:spacing w:val="1"/>
        </w:rPr>
        <w:t> </w:t>
      </w:r>
      <w:r>
        <w:rPr/>
        <w:t>Maastrichian,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transgression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very</w:t>
      </w:r>
      <w:r>
        <w:rPr>
          <w:spacing w:val="-57"/>
        </w:rPr>
        <w:t> </w:t>
      </w:r>
      <w:r>
        <w:rPr/>
        <w:t>extensive</w:t>
      </w:r>
      <w:r>
        <w:rPr>
          <w:spacing w:val="-3"/>
        </w:rPr>
        <w:t> </w:t>
      </w:r>
      <w:r>
        <w:rPr/>
        <w:t>sandstones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thick</w:t>
      </w:r>
      <w:r>
        <w:rPr>
          <w:spacing w:val="1"/>
        </w:rPr>
        <w:t> </w:t>
      </w:r>
      <w:r>
        <w:rPr/>
        <w:t>kaolinite</w:t>
      </w:r>
      <w:r>
        <w:rPr>
          <w:spacing w:val="-1"/>
        </w:rPr>
        <w:t> </w:t>
      </w:r>
      <w:r>
        <w:rPr/>
        <w:t>beds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Patti</w:t>
      </w:r>
      <w:r>
        <w:rPr>
          <w:spacing w:val="1"/>
        </w:rPr>
        <w:t> </w:t>
      </w:r>
      <w:r>
        <w:rPr/>
        <w:t>formation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deposited.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49" w:right="275"/>
        <w:jc w:val="center"/>
      </w:pPr>
      <w:r>
        <w:rPr/>
        <w:t>26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77" w:lineRule="auto" w:before="64"/>
        <w:ind w:left="445"/>
      </w:pPr>
      <w:r>
        <w:rPr/>
        <w:t>end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Maastrichian</w:t>
      </w:r>
      <w:r>
        <w:rPr>
          <w:spacing w:val="22"/>
        </w:rPr>
        <w:t> </w:t>
      </w:r>
      <w:r>
        <w:rPr/>
        <w:t>phase</w:t>
      </w:r>
      <w:r>
        <w:rPr>
          <w:spacing w:val="22"/>
        </w:rPr>
        <w:t> </w:t>
      </w:r>
      <w:r>
        <w:rPr/>
        <w:t>marked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period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rapid</w:t>
      </w:r>
      <w:r>
        <w:rPr>
          <w:spacing w:val="22"/>
        </w:rPr>
        <w:t> </w:t>
      </w:r>
      <w:r>
        <w:rPr/>
        <w:t>regression</w:t>
      </w:r>
      <w:r>
        <w:rPr>
          <w:spacing w:val="23"/>
        </w:rPr>
        <w:t> </w:t>
      </w:r>
      <w:r>
        <w:rPr/>
        <w:t>(Adeleye,</w:t>
      </w:r>
      <w:r>
        <w:rPr>
          <w:spacing w:val="23"/>
        </w:rPr>
        <w:t> </w:t>
      </w:r>
      <w:r>
        <w:rPr/>
        <w:t>1989)</w:t>
      </w:r>
      <w:r>
        <w:rPr>
          <w:spacing w:val="21"/>
        </w:rPr>
        <w:t> </w:t>
      </w:r>
      <w:r>
        <w:rPr/>
        <w:t>and</w:t>
      </w:r>
      <w:r>
        <w:rPr>
          <w:spacing w:val="-57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Upper (Batati and Agbaja)</w:t>
      </w:r>
      <w:r>
        <w:rPr>
          <w:spacing w:val="5"/>
        </w:rPr>
        <w:t> </w:t>
      </w:r>
      <w:r>
        <w:rPr/>
        <w:t>Ironstone</w:t>
      </w:r>
      <w:r>
        <w:rPr>
          <w:spacing w:val="-1"/>
        </w:rPr>
        <w:t> </w:t>
      </w:r>
      <w:r>
        <w:rPr/>
        <w:t>members.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49" w:right="275"/>
        <w:jc w:val="center"/>
      </w:pPr>
      <w:r>
        <w:rPr/>
        <w:t>27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ind w:left="327" w:right="40" w:firstLine="0"/>
        <w:jc w:val="center"/>
      </w:pPr>
      <w:bookmarkStart w:name="_TOC_250018" w:id="27"/>
      <w:r>
        <w:rPr/>
        <w:t>CHAPTER</w:t>
      </w:r>
      <w:r>
        <w:rPr>
          <w:spacing w:val="-2"/>
        </w:rPr>
        <w:t> </w:t>
      </w:r>
      <w:bookmarkEnd w:id="27"/>
      <w:r>
        <w:rPr/>
        <w:t>TWO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3625" w:val="left" w:leader="none"/>
          <w:tab w:pos="3626" w:val="left" w:leader="none"/>
        </w:tabs>
        <w:spacing w:line="240" w:lineRule="auto" w:before="0" w:after="0"/>
        <w:ind w:left="3625" w:right="0" w:hanging="3181"/>
        <w:jc w:val="both"/>
      </w:pPr>
      <w:bookmarkStart w:name="_TOC_250017" w:id="28"/>
      <w:r>
        <w:rPr/>
        <w:t>LITERATURE</w:t>
      </w:r>
      <w:r>
        <w:rPr>
          <w:spacing w:val="-3"/>
        </w:rPr>
        <w:t> </w:t>
      </w:r>
      <w:bookmarkEnd w:id="28"/>
      <w:r>
        <w:rPr/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0"/>
        </w:numPr>
        <w:tabs>
          <w:tab w:pos="1166" w:val="left" w:leader="none"/>
        </w:tabs>
        <w:spacing w:line="240" w:lineRule="auto" w:before="1" w:after="0"/>
        <w:ind w:left="1165" w:right="0" w:hanging="721"/>
        <w:jc w:val="both"/>
      </w:pPr>
      <w:bookmarkStart w:name="_TOC_250016" w:id="29"/>
      <w:r>
        <w:rPr/>
        <w:t>Previous</w:t>
      </w:r>
      <w:r>
        <w:rPr>
          <w:spacing w:val="-5"/>
        </w:rPr>
        <w:t> </w:t>
      </w:r>
      <w:bookmarkEnd w:id="29"/>
      <w:r>
        <w:rPr/>
        <w:t>Works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445" w:right="669"/>
        <w:jc w:val="both"/>
      </w:pPr>
      <w:r>
        <w:rPr/>
        <w:t>Adeleye (1971) and Adeleye and Dessauvagie (1972), identified the presence of clay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Nupe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(Bida</w:t>
      </w:r>
      <w:r>
        <w:rPr>
          <w:spacing w:val="1"/>
        </w:rPr>
        <w:t> </w:t>
      </w:r>
      <w:r>
        <w:rPr/>
        <w:t>Sandstone). They studied the stratigraphic succession in the area and reported the direct</w:t>
      </w:r>
      <w:r>
        <w:rPr>
          <w:spacing w:val="1"/>
        </w:rPr>
        <w:t> </w:t>
      </w:r>
      <w:r>
        <w:rPr/>
        <w:t>overlying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coarse</w:t>
      </w:r>
      <w:r>
        <w:rPr>
          <w:spacing w:val="1"/>
        </w:rPr>
        <w:t> </w:t>
      </w:r>
      <w:r>
        <w:rPr/>
        <w:t>conglomerate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clay-sandstone</w:t>
      </w:r>
      <w:r>
        <w:rPr>
          <w:spacing w:val="1"/>
        </w:rPr>
        <w:t> </w:t>
      </w:r>
      <w:r>
        <w:rPr/>
        <w:t>admixture. According to Adeleye (1973), the conglomerates were themselves overlaid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sandstones,</w:t>
      </w:r>
      <w:r>
        <w:rPr>
          <w:spacing w:val="1"/>
        </w:rPr>
        <w:t> </w:t>
      </w:r>
      <w:r>
        <w:rPr/>
        <w:t>subsidiary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stones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siltstones.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occurrences</w:t>
      </w:r>
      <w:r>
        <w:rPr>
          <w:spacing w:val="1"/>
        </w:rPr>
        <w:t> </w:t>
      </w:r>
      <w:r>
        <w:rPr/>
        <w:t>investigated fall within the Cretaceous - Maastrichtian Middle Niger Basin (Bida basin).</w:t>
      </w:r>
      <w:r>
        <w:rPr>
          <w:spacing w:val="-57"/>
        </w:rPr>
        <w:t> </w:t>
      </w:r>
      <w:r>
        <w:rPr/>
        <w:t>Adeleye (1973) reported three main types of clay in Bida basin which include; (I) earthy</w:t>
      </w:r>
      <w:r>
        <w:rPr>
          <w:spacing w:val="-57"/>
        </w:rPr>
        <w:t> </w:t>
      </w:r>
      <w:r>
        <w:rPr/>
        <w:t>brown to red lateritic clays;</w:t>
      </w:r>
      <w:r>
        <w:rPr>
          <w:spacing w:val="1"/>
        </w:rPr>
        <w:t> </w:t>
      </w:r>
      <w:r>
        <w:rPr/>
        <w:t>(ii) grey ball clay and (iii) white-silty clays.</w:t>
      </w:r>
      <w:r>
        <w:rPr>
          <w:spacing w:val="60"/>
        </w:rPr>
        <w:t> </w:t>
      </w:r>
      <w:r>
        <w:rPr/>
        <w:t>The lateritic</w:t>
      </w:r>
      <w:r>
        <w:rPr>
          <w:spacing w:val="1"/>
        </w:rPr>
        <w:t> </w:t>
      </w:r>
      <w:r>
        <w:rPr/>
        <w:t>clay occurs beneath thin to thick covers of laterite within sections on the mesas.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stains of laterite are noticeable on these clays which grade into white – sandy kaolin</w:t>
      </w:r>
      <w:r>
        <w:rPr>
          <w:spacing w:val="1"/>
        </w:rPr>
        <w:t> </w:t>
      </w:r>
      <w:r>
        <w:rPr/>
        <w:t>within the peneplains. The grey ball – clays within the Bida basin occur on alluvial</w:t>
      </w:r>
      <w:r>
        <w:rPr>
          <w:spacing w:val="1"/>
        </w:rPr>
        <w:t> </w:t>
      </w:r>
      <w:r>
        <w:rPr/>
        <w:t>plains</w:t>
      </w:r>
      <w:r>
        <w:rPr>
          <w:spacing w:val="-1"/>
        </w:rPr>
        <w:t> </w:t>
      </w:r>
      <w:r>
        <w:rPr/>
        <w:t>of rivers,</w:t>
      </w:r>
      <w:r>
        <w:rPr>
          <w:spacing w:val="-1"/>
        </w:rPr>
        <w:t> </w:t>
      </w:r>
      <w:r>
        <w:rPr/>
        <w:t>which</w:t>
      </w:r>
      <w:r>
        <w:rPr>
          <w:spacing w:val="3"/>
        </w:rPr>
        <w:t> </w:t>
      </w:r>
      <w:r>
        <w:rPr/>
        <w:t>are</w:t>
      </w:r>
      <w:r>
        <w:rPr>
          <w:spacing w:val="-2"/>
        </w:rPr>
        <w:t> </w:t>
      </w:r>
      <w:r>
        <w:rPr/>
        <w:t>derived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feldspar</w:t>
      </w:r>
      <w:r>
        <w:rPr>
          <w:spacing w:val="-2"/>
        </w:rPr>
        <w:t> </w:t>
      </w:r>
      <w:r>
        <w:rPr/>
        <w:t>rich</w:t>
      </w:r>
      <w:r>
        <w:rPr>
          <w:spacing w:val="-1"/>
        </w:rPr>
        <w:t> </w:t>
      </w:r>
      <w:r>
        <w:rPr/>
        <w:t>basement</w:t>
      </w:r>
      <w:r>
        <w:rPr>
          <w:spacing w:val="-1"/>
        </w:rPr>
        <w:t> </w:t>
      </w:r>
      <w:r>
        <w:rPr/>
        <w:t>rocks.</w:t>
      </w:r>
    </w:p>
    <w:p>
      <w:pPr>
        <w:pStyle w:val="BodyText"/>
        <w:spacing w:line="480" w:lineRule="auto" w:before="4"/>
        <w:ind w:left="445" w:right="672"/>
        <w:jc w:val="both"/>
      </w:pPr>
      <w:r>
        <w:rPr/>
        <w:t>Adegoke (1979) also studied clays in parts of Bida basin. He worked on the structural</w:t>
      </w:r>
      <w:r>
        <w:rPr>
          <w:spacing w:val="1"/>
        </w:rPr>
        <w:t> </w:t>
      </w:r>
      <w:r>
        <w:rPr/>
        <w:t>properties of these clays at temperatures of 600°C - 1000°C. All the clay occurrences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Maastrichtian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(Bida</w:t>
      </w:r>
      <w:r>
        <w:rPr>
          <w:spacing w:val="1"/>
        </w:rPr>
        <w:t> </w:t>
      </w:r>
      <w:r>
        <w:rPr/>
        <w:t>Basin). The two main types of clays in the area are the earthy brownish to red lateritic</w:t>
      </w:r>
      <w:r>
        <w:rPr>
          <w:spacing w:val="1"/>
        </w:rPr>
        <w:t> </w:t>
      </w:r>
      <w:r>
        <w:rPr/>
        <w:t>clays and the greyish ball clays. There are also the whitish and silty kaolinites. The</w:t>
      </w:r>
      <w:r>
        <w:rPr>
          <w:spacing w:val="1"/>
        </w:rPr>
        <w:t> </w:t>
      </w:r>
      <w:r>
        <w:rPr/>
        <w:t>lateritic clay occurs beneath thin to thick covers of laterite on residual hills. The earthy</w:t>
      </w:r>
      <w:r>
        <w:rPr>
          <w:spacing w:val="1"/>
        </w:rPr>
        <w:t> </w:t>
      </w:r>
      <w:r>
        <w:rPr/>
        <w:t>lateritic clays</w:t>
      </w:r>
      <w:r>
        <w:rPr>
          <w:spacing w:val="1"/>
        </w:rPr>
        <w:t> </w:t>
      </w:r>
      <w:r>
        <w:rPr/>
        <w:t>are ubiquitous in occurrence. The greyish ball- clays</w:t>
      </w:r>
      <w:r>
        <w:rPr>
          <w:spacing w:val="60"/>
        </w:rPr>
        <w:t> </w:t>
      </w:r>
      <w:r>
        <w:rPr/>
        <w:t>within the Bida</w:t>
      </w:r>
      <w:r>
        <w:rPr>
          <w:spacing w:val="1"/>
        </w:rPr>
        <w:t> </w:t>
      </w:r>
      <w:r>
        <w:rPr/>
        <w:t>Basin</w:t>
      </w:r>
      <w:r>
        <w:rPr>
          <w:spacing w:val="14"/>
        </w:rPr>
        <w:t> </w:t>
      </w:r>
      <w:r>
        <w:rPr/>
        <w:t>occur</w:t>
      </w:r>
      <w:r>
        <w:rPr>
          <w:spacing w:val="12"/>
        </w:rPr>
        <w:t> </w:t>
      </w:r>
      <w:r>
        <w:rPr/>
        <w:t>on</w:t>
      </w:r>
      <w:r>
        <w:rPr>
          <w:spacing w:val="15"/>
        </w:rPr>
        <w:t> </w:t>
      </w:r>
      <w:r>
        <w:rPr/>
        <w:t>alluvial</w:t>
      </w:r>
      <w:r>
        <w:rPr>
          <w:spacing w:val="16"/>
        </w:rPr>
        <w:t> </w:t>
      </w:r>
      <w:r>
        <w:rPr/>
        <w:t>plains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rivers.</w:t>
      </w:r>
      <w:r>
        <w:rPr>
          <w:spacing w:val="15"/>
        </w:rPr>
        <w:t> </w:t>
      </w:r>
      <w:r>
        <w:rPr/>
        <w:t>These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seemingly</w:t>
      </w:r>
      <w:r>
        <w:rPr>
          <w:spacing w:val="8"/>
        </w:rPr>
        <w:t> </w:t>
      </w:r>
      <w:r>
        <w:rPr/>
        <w:t>secondarily</w:t>
      </w:r>
      <w:r>
        <w:rPr>
          <w:spacing w:val="6"/>
        </w:rPr>
        <w:t> </w:t>
      </w:r>
      <w:r>
        <w:rPr/>
        <w:t>derived</w:t>
      </w:r>
      <w:r>
        <w:rPr>
          <w:spacing w:val="15"/>
        </w:rPr>
        <w:t> </w:t>
      </w:r>
      <w:r>
        <w:rPr/>
        <w:t>clays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49" w:right="275"/>
        <w:jc w:val="center"/>
      </w:pPr>
      <w:r>
        <w:rPr/>
        <w:t>28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77" w:lineRule="auto" w:before="64"/>
        <w:ind w:left="445" w:right="678"/>
        <w:jc w:val="both"/>
      </w:pPr>
      <w:r>
        <w:rPr/>
        <w:t>deposited from suspension load in the streams. They are generally plastic in nature</w:t>
      </w:r>
      <w:r>
        <w:rPr>
          <w:spacing w:val="1"/>
        </w:rPr>
        <w:t> </w:t>
      </w:r>
      <w:r>
        <w:rPr/>
        <w:t>(Akhirevbulu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Ogunbajo, 2011).</w:t>
      </w:r>
    </w:p>
    <w:p>
      <w:pPr>
        <w:pStyle w:val="BodyText"/>
        <w:spacing w:line="480" w:lineRule="auto" w:before="4"/>
        <w:ind w:left="445" w:right="670"/>
        <w:jc w:val="both"/>
      </w:pPr>
      <w:r>
        <w:rPr/>
        <w:t>Some studies however have evaluated the industrial potentials of selected clay deposits</w:t>
      </w:r>
      <w:r>
        <w:rPr>
          <w:spacing w:val="1"/>
        </w:rPr>
        <w:t> </w:t>
      </w:r>
      <w:r>
        <w:rPr/>
        <w:t>in Nigeria. Alabi (2005)</w:t>
      </w:r>
      <w:r>
        <w:rPr>
          <w:spacing w:val="1"/>
        </w:rPr>
        <w:t> </w:t>
      </w:r>
      <w:r>
        <w:rPr/>
        <w:t>studied clay deposit in</w:t>
      </w:r>
      <w:r>
        <w:rPr>
          <w:spacing w:val="1"/>
        </w:rPr>
        <w:t> </w:t>
      </w:r>
      <w:r>
        <w:rPr/>
        <w:t>parts of central Bida basin</w:t>
      </w:r>
      <w:r>
        <w:rPr>
          <w:spacing w:val="60"/>
        </w:rPr>
        <w:t> </w:t>
      </w:r>
      <w:r>
        <w:rPr/>
        <w:t>in Kutigi</w:t>
      </w:r>
      <w:r>
        <w:rPr>
          <w:spacing w:val="1"/>
        </w:rPr>
        <w:t> </w:t>
      </w:r>
      <w:r>
        <w:rPr/>
        <w:t>town he visited two hills containing clay; the first occurrence is located on a hill east of</w:t>
      </w:r>
      <w:r>
        <w:rPr>
          <w:spacing w:val="1"/>
        </w:rPr>
        <w:t> </w:t>
      </w:r>
      <w:r>
        <w:rPr/>
        <w:t>Kutigi village. The second clay occurrence is to the west of Kutigi town which he called</w:t>
      </w:r>
      <w:r>
        <w:rPr>
          <w:spacing w:val="-57"/>
        </w:rPr>
        <w:t> </w:t>
      </w:r>
      <w:r>
        <w:rPr/>
        <w:t>location A and Location B respectively. He explored and estimated the reserve extent of</w:t>
      </w:r>
      <w:r>
        <w:rPr>
          <w:spacing w:val="-57"/>
        </w:rPr>
        <w:t> </w:t>
      </w:r>
      <w:r>
        <w:rPr/>
        <w:t>the clay deposits. Geophysical evidence suggests that the total reserve of the Kutigi clay</w:t>
      </w:r>
      <w:r>
        <w:rPr>
          <w:spacing w:val="-57"/>
        </w:rPr>
        <w:t> </w:t>
      </w:r>
      <w:r>
        <w:rPr/>
        <w:t>deposits are estimated to about 672,579 tons, with an aerial extent of about 57,400m</w:t>
      </w:r>
      <w:r>
        <w:rPr>
          <w:vertAlign w:val="superscript"/>
        </w:rPr>
        <w:t>2</w:t>
      </w:r>
      <w:r>
        <w:rPr>
          <w:vertAlign w:val="baseline"/>
        </w:rPr>
        <w:t> of</w:t>
      </w:r>
      <w:r>
        <w:rPr>
          <w:spacing w:val="1"/>
          <w:vertAlign w:val="baseline"/>
        </w:rPr>
        <w:t> </w:t>
      </w:r>
      <w:r>
        <w:rPr>
          <w:vertAlign w:val="baseline"/>
        </w:rPr>
        <w:t>clay</w:t>
      </w:r>
      <w:r>
        <w:rPr>
          <w:spacing w:val="-8"/>
          <w:vertAlign w:val="baseline"/>
        </w:rPr>
        <w:t> </w:t>
      </w:r>
      <w:r>
        <w:rPr>
          <w:vertAlign w:val="baseline"/>
        </w:rPr>
        <w:t>bed in location A,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also an area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extent of 300m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in location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B.</w:t>
      </w:r>
    </w:p>
    <w:p>
      <w:pPr>
        <w:pStyle w:val="BodyText"/>
        <w:spacing w:line="480" w:lineRule="auto" w:before="6"/>
        <w:ind w:left="445" w:right="672"/>
        <w:jc w:val="both"/>
      </w:pPr>
      <w:r>
        <w:rPr/>
        <w:t>Alabi (2005) chemical analysis show the high dominance of SiO</w:t>
      </w:r>
      <w:r>
        <w:rPr>
          <w:vertAlign w:val="subscript"/>
        </w:rPr>
        <w:t>2</w:t>
      </w:r>
      <w:r>
        <w:rPr>
          <w:vertAlign w:val="baseline"/>
        </w:rPr>
        <w:t> 66%,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26.87%,</w:t>
      </w:r>
      <w:r>
        <w:rPr>
          <w:spacing w:val="1"/>
          <w:vertAlign w:val="baseline"/>
        </w:rPr>
        <w:t> </w:t>
      </w:r>
      <w:r>
        <w:rPr>
          <w:vertAlign w:val="baseline"/>
        </w:rPr>
        <w:t>TiO</w:t>
      </w:r>
      <w:r>
        <w:rPr>
          <w:vertAlign w:val="subscript"/>
        </w:rPr>
        <w:t>2</w:t>
      </w:r>
      <w:r>
        <w:rPr>
          <w:vertAlign w:val="baseline"/>
        </w:rPr>
        <w:t> 1.45%,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0.99 %, while the 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4.69% represents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60"/>
          <w:vertAlign w:val="baseline"/>
        </w:rPr>
        <w:t> </w:t>
      </w:r>
      <w:r>
        <w:rPr>
          <w:vertAlign w:val="baseline"/>
        </w:rPr>
        <w:t>elements in</w:t>
      </w:r>
      <w:r>
        <w:rPr>
          <w:spacing w:val="1"/>
          <w:vertAlign w:val="baseline"/>
        </w:rPr>
        <w:t> </w:t>
      </w:r>
      <w:r>
        <w:rPr>
          <w:vertAlign w:val="baseline"/>
        </w:rPr>
        <w:t>trace amount. He reported that Kutigi clay occur as residual clay due to the weathering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feldspar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feldspathic</w:t>
      </w:r>
      <w:r>
        <w:rPr>
          <w:spacing w:val="1"/>
          <w:vertAlign w:val="baseline"/>
        </w:rPr>
        <w:t> </w:t>
      </w:r>
      <w:r>
        <w:rPr>
          <w:vertAlign w:val="baseline"/>
        </w:rPr>
        <w:t>sandstone.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clay was</w:t>
      </w:r>
      <w:r>
        <w:rPr>
          <w:spacing w:val="1"/>
          <w:vertAlign w:val="baseline"/>
        </w:rPr>
        <w:t> </w:t>
      </w:r>
      <w:r>
        <w:rPr>
          <w:vertAlign w:val="baseline"/>
        </w:rPr>
        <w:t>noted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60"/>
          <w:vertAlign w:val="baseline"/>
        </w:rPr>
        <w:t> </w:t>
      </w:r>
      <w:r>
        <w:rPr>
          <w:vertAlign w:val="baseline"/>
        </w:rPr>
        <w:t>raw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ceramic,</w:t>
      </w:r>
      <w:r>
        <w:rPr>
          <w:spacing w:val="1"/>
          <w:vertAlign w:val="baseline"/>
        </w:rPr>
        <w:t> </w:t>
      </w:r>
      <w:r>
        <w:rPr>
          <w:vertAlign w:val="baseline"/>
        </w:rPr>
        <w:t>paper,</w:t>
      </w:r>
      <w:r>
        <w:rPr>
          <w:spacing w:val="-1"/>
          <w:vertAlign w:val="baseline"/>
        </w:rPr>
        <w:t> </w:t>
      </w:r>
      <w:r>
        <w:rPr>
          <w:vertAlign w:val="baseline"/>
        </w:rPr>
        <w:t>refractory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paint</w:t>
      </w:r>
      <w:r>
        <w:rPr>
          <w:spacing w:val="2"/>
          <w:vertAlign w:val="baseline"/>
        </w:rPr>
        <w:t> </w:t>
      </w:r>
      <w:r>
        <w:rPr>
          <w:vertAlign w:val="baseline"/>
        </w:rPr>
        <w:t>industries respectively.</w:t>
      </w:r>
    </w:p>
    <w:p>
      <w:pPr>
        <w:pStyle w:val="BodyText"/>
        <w:spacing w:line="480" w:lineRule="auto"/>
        <w:ind w:left="445" w:right="662"/>
        <w:jc w:val="both"/>
      </w:pPr>
      <w:r>
        <w:rPr/>
        <w:t>Akhirevbulu </w:t>
      </w:r>
      <w:r>
        <w:rPr>
          <w:i/>
        </w:rPr>
        <w:t>et al</w:t>
      </w:r>
      <w:r>
        <w:rPr/>
        <w:t>. (2010) and Akhirevbulu and Ogunbajo (2011) studied the Geology</w:t>
      </w:r>
      <w:r>
        <w:rPr>
          <w:spacing w:val="1"/>
        </w:rPr>
        <w:t> </w:t>
      </w:r>
      <w:r>
        <w:rPr/>
        <w:t>and mineralogy of clay occurrences around Kutigi. The results of the mineralogical</w:t>
      </w:r>
      <w:r>
        <w:rPr>
          <w:spacing w:val="1"/>
        </w:rPr>
        <w:t> </w:t>
      </w:r>
      <w:r>
        <w:rPr/>
        <w:t>composition of the clay show that the dominant minerals present</w:t>
      </w:r>
      <w:r>
        <w:rPr>
          <w:spacing w:val="1"/>
        </w:rPr>
        <w:t> </w:t>
      </w:r>
      <w:r>
        <w:rPr/>
        <w:t>are kaolinite and</w:t>
      </w:r>
      <w:r>
        <w:rPr>
          <w:spacing w:val="1"/>
        </w:rPr>
        <w:t> </w:t>
      </w:r>
      <w:r>
        <w:rPr/>
        <w:t>quartz, while illite occur as traces. Kaolinite alone constitutes about 43.64%, quartz</w:t>
      </w:r>
      <w:r>
        <w:rPr>
          <w:spacing w:val="1"/>
        </w:rPr>
        <w:t> </w:t>
      </w:r>
      <w:r>
        <w:rPr/>
        <w:t>constitutes about 54.55% while illite constitute about 1.18%.</w:t>
      </w:r>
      <w:r>
        <w:rPr>
          <w:spacing w:val="1"/>
        </w:rPr>
        <w:t> </w:t>
      </w:r>
      <w:r>
        <w:rPr/>
        <w:t>Based on the results from</w:t>
      </w:r>
      <w:r>
        <w:rPr>
          <w:spacing w:val="1"/>
        </w:rPr>
        <w:t> </w:t>
      </w:r>
      <w:r>
        <w:rPr/>
        <w:t>the geological mapping and x-Ray Diffraction analysis, they suggest that the clay can be</w:t>
      </w:r>
      <w:r>
        <w:rPr>
          <w:spacing w:val="-57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manufacture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ceramics,</w:t>
      </w:r>
      <w:r>
        <w:rPr>
          <w:spacing w:val="2"/>
        </w:rPr>
        <w:t> </w:t>
      </w:r>
      <w:r>
        <w:rPr/>
        <w:t>refractory</w:t>
      </w:r>
      <w:r>
        <w:rPr>
          <w:spacing w:val="-6"/>
        </w:rPr>
        <w:t> </w:t>
      </w:r>
      <w:r>
        <w:rPr/>
        <w:t>bricks,</w:t>
      </w:r>
      <w:r>
        <w:rPr>
          <w:spacing w:val="-1"/>
        </w:rPr>
        <w:t> </w:t>
      </w:r>
      <w:r>
        <w:rPr/>
        <w:t>paper,</w:t>
      </w:r>
      <w:r>
        <w:rPr>
          <w:spacing w:val="1"/>
        </w:rPr>
        <w:t> </w:t>
      </w:r>
      <w:r>
        <w:rPr/>
        <w:t>paint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fertilizers.</w:t>
      </w:r>
    </w:p>
    <w:p>
      <w:pPr>
        <w:pStyle w:val="BodyText"/>
        <w:spacing w:line="480" w:lineRule="auto"/>
        <w:ind w:left="445" w:right="676"/>
        <w:jc w:val="both"/>
      </w:pPr>
      <w:r>
        <w:rPr/>
        <w:t>Ojo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sedimentological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Maastrichtian clays in Bida Basin and ascertained their industrial applicability; samples</w:t>
      </w:r>
      <w:r>
        <w:rPr>
          <w:spacing w:val="1"/>
        </w:rPr>
        <w:t> </w:t>
      </w:r>
      <w:r>
        <w:rPr/>
        <w:t>were</w:t>
      </w:r>
      <w:r>
        <w:rPr>
          <w:spacing w:val="25"/>
        </w:rPr>
        <w:t> </w:t>
      </w:r>
      <w:r>
        <w:rPr/>
        <w:t>collected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Agbaja</w:t>
      </w:r>
      <w:r>
        <w:rPr>
          <w:spacing w:val="27"/>
        </w:rPr>
        <w:t> </w:t>
      </w:r>
      <w:r>
        <w:rPr/>
        <w:t>southern</w:t>
      </w:r>
      <w:r>
        <w:rPr>
          <w:spacing w:val="32"/>
        </w:rPr>
        <w:t> </w:t>
      </w:r>
      <w:r>
        <w:rPr/>
        <w:t>Bida</w:t>
      </w:r>
      <w:r>
        <w:rPr>
          <w:spacing w:val="26"/>
        </w:rPr>
        <w:t> </w:t>
      </w:r>
      <w:r>
        <w:rPr/>
        <w:t>Basin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Share</w:t>
      </w:r>
      <w:r>
        <w:rPr>
          <w:spacing w:val="25"/>
        </w:rPr>
        <w:t> </w:t>
      </w:r>
      <w:r>
        <w:rPr/>
        <w:t>Northern</w:t>
      </w:r>
      <w:r>
        <w:rPr>
          <w:spacing w:val="30"/>
        </w:rPr>
        <w:t> </w:t>
      </w:r>
      <w:r>
        <w:rPr/>
        <w:t>Bida</w:t>
      </w:r>
      <w:r>
        <w:rPr>
          <w:spacing w:val="26"/>
        </w:rPr>
        <w:t> </w:t>
      </w:r>
      <w:r>
        <w:rPr/>
        <w:t>Basin.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49" w:right="275"/>
        <w:jc w:val="center"/>
      </w:pPr>
      <w:r>
        <w:rPr/>
        <w:t>29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7"/>
        <w:ind w:left="445" w:right="672"/>
        <w:jc w:val="both"/>
      </w:pPr>
      <w:r>
        <w:rPr/>
        <w:t>The clays are dominated by SiO</w:t>
      </w:r>
      <w:r>
        <w:rPr>
          <w:vertAlign w:val="subscript"/>
        </w:rPr>
        <w:t>2</w:t>
      </w:r>
      <w:r>
        <w:rPr>
          <w:vertAlign w:val="baseline"/>
        </w:rPr>
        <w:t> and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and are found to compare favourably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fire</w:t>
      </w:r>
      <w:r>
        <w:rPr>
          <w:spacing w:val="1"/>
          <w:vertAlign w:val="baseline"/>
        </w:rPr>
        <w:t> </w:t>
      </w:r>
      <w:r>
        <w:rPr>
          <w:vertAlign w:val="baseline"/>
        </w:rPr>
        <w:t>clay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Louis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Florida</w:t>
      </w:r>
      <w:r>
        <w:rPr>
          <w:spacing w:val="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1"/>
          <w:vertAlign w:val="baseline"/>
        </w:rPr>
        <w:t> </w:t>
      </w:r>
      <w:r>
        <w:rPr>
          <w:vertAlign w:val="baseline"/>
        </w:rPr>
        <w:t>Kaolinite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many</w:t>
      </w:r>
      <w:r>
        <w:rPr>
          <w:spacing w:val="1"/>
          <w:vertAlign w:val="baseline"/>
        </w:rPr>
        <w:t> </w:t>
      </w:r>
      <w:r>
        <w:rPr>
          <w:vertAlign w:val="baseline"/>
        </w:rPr>
        <w:t>known</w:t>
      </w:r>
      <w:r>
        <w:rPr>
          <w:spacing w:val="1"/>
          <w:vertAlign w:val="baseline"/>
        </w:rPr>
        <w:t> </w:t>
      </w:r>
      <w:r>
        <w:rPr>
          <w:vertAlign w:val="baseline"/>
        </w:rPr>
        <w:t>sedimentary clays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2"/>
          <w:vertAlign w:val="baseline"/>
        </w:rPr>
        <w:t> </w:t>
      </w:r>
      <w:r>
        <w:rPr>
          <w:vertAlign w:val="baseline"/>
        </w:rPr>
        <w:t>From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geochemical</w:t>
      </w:r>
      <w:r>
        <w:rPr>
          <w:spacing w:val="10"/>
          <w:vertAlign w:val="baseline"/>
        </w:rPr>
        <w:t> </w:t>
      </w:r>
      <w:r>
        <w:rPr>
          <w:vertAlign w:val="baseline"/>
        </w:rPr>
        <w:t>analyses</w:t>
      </w:r>
      <w:r>
        <w:rPr>
          <w:spacing w:val="-58"/>
          <w:vertAlign w:val="baseline"/>
        </w:rPr>
        <w:t> </w:t>
      </w:r>
      <w:r>
        <w:rPr>
          <w:vertAlign w:val="baseline"/>
        </w:rPr>
        <w:t>it was concluded that the clay are kaolinitic clays that can be beneficiated to high grade</w:t>
      </w:r>
      <w:r>
        <w:rPr>
          <w:spacing w:val="1"/>
          <w:vertAlign w:val="baseline"/>
        </w:rPr>
        <w:t> </w:t>
      </w:r>
      <w:r>
        <w:rPr>
          <w:vertAlign w:val="baseline"/>
        </w:rPr>
        <w:t>raw material suitable for use in paint, ceramics, earth and sanitary wares and chemicals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industries. The high SiO</w:t>
      </w:r>
      <w:r>
        <w:rPr>
          <w:vertAlign w:val="subscript"/>
        </w:rPr>
        <w:t>2</w:t>
      </w:r>
      <w:r>
        <w:rPr>
          <w:vertAlign w:val="baseline"/>
        </w:rPr>
        <w:t> but low CaO, MgO and Na</w:t>
      </w:r>
      <w:r>
        <w:rPr>
          <w:vertAlign w:val="subscript"/>
        </w:rPr>
        <w:t>2</w:t>
      </w:r>
      <w:r>
        <w:rPr>
          <w:vertAlign w:val="baseline"/>
        </w:rPr>
        <w:t>O show that the clays in both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locations are amenable to beneficiation to achieve appropriate grade for manufacturing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sanitary hard</w:t>
      </w:r>
      <w:r>
        <w:rPr>
          <w:spacing w:val="1"/>
          <w:vertAlign w:val="baseline"/>
        </w:rPr>
        <w:t> </w:t>
      </w:r>
      <w:r>
        <w:rPr>
          <w:vertAlign w:val="baseline"/>
        </w:rPr>
        <w:t>wares.</w:t>
      </w:r>
      <w:r>
        <w:rPr>
          <w:spacing w:val="1"/>
          <w:vertAlign w:val="baseline"/>
        </w:rPr>
        <w:t> </w:t>
      </w:r>
      <w:r>
        <w:rPr>
          <w:vertAlign w:val="baseline"/>
        </w:rPr>
        <w:t>Another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clays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concentrations of the heavy metals and thus meeting the specifications for raw 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chemical industries for the manufacture of powder, metallurgical products, and 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catalyst.</w:t>
      </w:r>
    </w:p>
    <w:p>
      <w:pPr>
        <w:pStyle w:val="BodyText"/>
        <w:spacing w:line="480" w:lineRule="auto"/>
        <w:ind w:left="445" w:right="672"/>
        <w:jc w:val="both"/>
      </w:pPr>
      <w:r>
        <w:rPr/>
        <w:t>Omang </w:t>
      </w:r>
      <w:r>
        <w:rPr>
          <w:i/>
        </w:rPr>
        <w:t>et al. </w:t>
      </w:r>
      <w:r>
        <w:rPr/>
        <w:t>(2019) characterized Kaolin deposits within Okpella and its environs using</w:t>
      </w:r>
      <w:r>
        <w:rPr>
          <w:spacing w:val="-57"/>
        </w:rPr>
        <w:t> </w:t>
      </w:r>
      <w:r>
        <w:rPr/>
        <w:t>the mineralogical and geochemical constituents of the major oxides present with a view</w:t>
      </w:r>
      <w:r>
        <w:rPr>
          <w:spacing w:val="1"/>
        </w:rPr>
        <w:t> </w:t>
      </w:r>
      <w:r>
        <w:rPr/>
        <w:t>to determining its applicability for industrial purposes. They reveal that the origin of the</w:t>
      </w:r>
      <w:r>
        <w:rPr>
          <w:spacing w:val="1"/>
        </w:rPr>
        <w:t> </w:t>
      </w:r>
      <w:r>
        <w:rPr/>
        <w:t>Okpella kaolin is of sedimentary type formed by the decomposition of some igneous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and later transported</w:t>
      </w:r>
      <w:r>
        <w:rPr>
          <w:spacing w:val="1"/>
        </w:rPr>
        <w:t> </w:t>
      </w:r>
      <w:r>
        <w:rPr/>
        <w:t>and is</w:t>
      </w:r>
      <w:r>
        <w:rPr>
          <w:spacing w:val="1"/>
        </w:rPr>
        <w:t> </w:t>
      </w:r>
      <w:r>
        <w:rPr/>
        <w:t>deposited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unlike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clay</w:t>
      </w:r>
      <w:r>
        <w:rPr>
          <w:spacing w:val="1"/>
        </w:rPr>
        <w:t> </w:t>
      </w:r>
      <w:r>
        <w:rPr/>
        <w:t>deposit in Kutigi reported by Alabi (2005) to be of residual origin due to the weathering</w:t>
      </w:r>
      <w:r>
        <w:rPr>
          <w:spacing w:val="1"/>
        </w:rPr>
        <w:t> </w:t>
      </w:r>
      <w:r>
        <w:rPr/>
        <w:t>of feldspar from feldspathic sandstone. On the basis of the mineralogical and chemical</w:t>
      </w:r>
      <w:r>
        <w:rPr>
          <w:spacing w:val="1"/>
        </w:rPr>
        <w:t> </w:t>
      </w:r>
      <w:r>
        <w:rPr/>
        <w:t>analyses result it was concluded that Okpella Kaolin deposits can be used for industrial</w:t>
      </w:r>
      <w:r>
        <w:rPr>
          <w:spacing w:val="1"/>
        </w:rPr>
        <w:t> </w:t>
      </w:r>
      <w:r>
        <w:rPr/>
        <w:t>applications such as the</w:t>
      </w:r>
      <w:r>
        <w:rPr>
          <w:spacing w:val="1"/>
        </w:rPr>
        <w:t> </w:t>
      </w:r>
      <w:r>
        <w:rPr/>
        <w:t>production of ceramic tiles, Portland cements and</w:t>
      </w:r>
      <w:r>
        <w:rPr>
          <w:spacing w:val="60"/>
        </w:rPr>
        <w:t> </w:t>
      </w:r>
      <w:r>
        <w:rPr/>
        <w:t>as pigments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paint production, and as</w:t>
      </w:r>
      <w:r>
        <w:rPr>
          <w:spacing w:val="-1"/>
        </w:rPr>
        <w:t> </w:t>
      </w:r>
      <w:r>
        <w:rPr/>
        <w:t>fillers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papermaking.</w:t>
      </w:r>
    </w:p>
    <w:p>
      <w:pPr>
        <w:pStyle w:val="BodyText"/>
        <w:spacing w:line="480" w:lineRule="auto"/>
        <w:ind w:left="445" w:right="667"/>
        <w:jc w:val="both"/>
      </w:pPr>
      <w:r>
        <w:rPr/>
        <w:t>Onyekuru </w:t>
      </w:r>
      <w:r>
        <w:rPr>
          <w:i/>
        </w:rPr>
        <w:t>et al. </w:t>
      </w:r>
      <w:r>
        <w:rPr/>
        <w:t>(2018) review the mineralogical and geochemical properties of clay</w:t>
      </w:r>
      <w:r>
        <w:rPr>
          <w:spacing w:val="1"/>
        </w:rPr>
        <w:t> </w:t>
      </w:r>
      <w:r>
        <w:rPr/>
        <w:t>deposits in some parts of South-eastern Nigeria in order to ascertain the quantity and</w:t>
      </w:r>
      <w:r>
        <w:rPr>
          <w:spacing w:val="1"/>
        </w:rPr>
        <w:t> </w:t>
      </w:r>
      <w:r>
        <w:rPr/>
        <w:t>quality of the deposits for economic purposes. The studied location includes the Mamu</w:t>
      </w:r>
      <w:r>
        <w:rPr>
          <w:spacing w:val="1"/>
        </w:rPr>
        <w:t> </w:t>
      </w:r>
      <w:r>
        <w:rPr/>
        <w:t>Formation</w:t>
      </w:r>
      <w:r>
        <w:rPr>
          <w:spacing w:val="54"/>
        </w:rPr>
        <w:t> </w:t>
      </w:r>
      <w:r>
        <w:rPr/>
        <w:t>(Uturu</w:t>
      </w:r>
      <w:r>
        <w:rPr>
          <w:spacing w:val="54"/>
        </w:rPr>
        <w:t> </w:t>
      </w:r>
      <w:r>
        <w:rPr/>
        <w:t>and</w:t>
      </w:r>
      <w:r>
        <w:rPr>
          <w:spacing w:val="4"/>
        </w:rPr>
        <w:t> </w:t>
      </w:r>
      <w:r>
        <w:rPr/>
        <w:t>Ikpankwu),</w:t>
      </w:r>
      <w:r>
        <w:rPr>
          <w:spacing w:val="57"/>
        </w:rPr>
        <w:t> </w:t>
      </w:r>
      <w:r>
        <w:rPr/>
        <w:t>Ajali</w:t>
      </w:r>
      <w:r>
        <w:rPr>
          <w:spacing w:val="58"/>
        </w:rPr>
        <w:t> </w:t>
      </w:r>
      <w:r>
        <w:rPr/>
        <w:t>Formation</w:t>
      </w:r>
      <w:r>
        <w:rPr>
          <w:spacing w:val="55"/>
        </w:rPr>
        <w:t> </w:t>
      </w:r>
      <w:r>
        <w:rPr/>
        <w:t>(Uturu),</w:t>
      </w:r>
      <w:r>
        <w:rPr>
          <w:spacing w:val="52"/>
        </w:rPr>
        <w:t> </w:t>
      </w:r>
      <w:r>
        <w:rPr/>
        <w:t>Nsukka</w:t>
      </w:r>
      <w:r>
        <w:rPr>
          <w:spacing w:val="53"/>
        </w:rPr>
        <w:t> </w:t>
      </w:r>
      <w:r>
        <w:rPr/>
        <w:t>Formation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49" w:right="275"/>
        <w:jc w:val="center"/>
      </w:pPr>
      <w:r>
        <w:rPr/>
        <w:t>30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5"/>
        <w:jc w:val="both"/>
      </w:pPr>
      <w:r>
        <w:rPr/>
        <w:t>(Ikpankwu), Imo Shale (Ezinnachi), Ameki Formation (Ohiya) and Benin Formation</w:t>
      </w:r>
      <w:r>
        <w:rPr>
          <w:spacing w:val="1"/>
        </w:rPr>
        <w:t> </w:t>
      </w:r>
      <w:r>
        <w:rPr/>
        <w:t>(Awommama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Orlu).</w:t>
      </w:r>
      <w:r>
        <w:rPr>
          <w:spacing w:val="1"/>
        </w:rPr>
        <w:t> </w:t>
      </w:r>
      <w:r>
        <w:rPr/>
        <w:t>Mineralogical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kaolinite,</w:t>
      </w:r>
      <w:r>
        <w:rPr>
          <w:spacing w:val="1"/>
        </w:rPr>
        <w:t> </w:t>
      </w:r>
      <w:r>
        <w:rPr/>
        <w:t>bentonite, dickite, quartz and iron minerals in the clay deposits. Kaolinite and quartz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samples.</w:t>
      </w:r>
      <w:r>
        <w:rPr>
          <w:spacing w:val="60"/>
        </w:rPr>
        <w:t> </w:t>
      </w:r>
      <w:r>
        <w:rPr/>
        <w:t>Bentonite</w:t>
      </w:r>
      <w:r>
        <w:rPr>
          <w:spacing w:val="1"/>
        </w:rPr>
        <w:t> </w:t>
      </w:r>
      <w:r>
        <w:rPr/>
        <w:t>occurred only in samples from Awomamma and Orlu indicating a possible source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adjoining</w:t>
      </w:r>
      <w:r>
        <w:rPr>
          <w:spacing w:val="1"/>
        </w:rPr>
        <w:t> </w:t>
      </w:r>
      <w:r>
        <w:rPr/>
        <w:t>Cameroun</w:t>
      </w:r>
      <w:r>
        <w:rPr>
          <w:spacing w:val="1"/>
        </w:rPr>
        <w:t> </w:t>
      </w:r>
      <w:r>
        <w:rPr/>
        <w:t>volcanic.</w:t>
      </w:r>
      <w:r>
        <w:rPr>
          <w:spacing w:val="1"/>
        </w:rPr>
        <w:t> </w:t>
      </w:r>
      <w:r>
        <w:rPr/>
        <w:t>Dickite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kaolinite,</w:t>
      </w:r>
      <w:r>
        <w:rPr>
          <w:spacing w:val="1"/>
        </w:rPr>
        <w:t> </w:t>
      </w:r>
      <w:r>
        <w:rPr/>
        <w:t>showing progressive replacement in the Ohiya II clay unit, while iron minerals were</w:t>
      </w:r>
      <w:r>
        <w:rPr>
          <w:spacing w:val="1"/>
        </w:rPr>
        <w:t> </w:t>
      </w:r>
      <w:r>
        <w:rPr/>
        <w:t>common</w:t>
      </w:r>
      <w:r>
        <w:rPr>
          <w:spacing w:val="-1"/>
        </w:rPr>
        <w:t> </w:t>
      </w:r>
      <w:r>
        <w:rPr/>
        <w:t>in clays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Ikpankwu</w:t>
      </w:r>
      <w:r>
        <w:rPr>
          <w:spacing w:val="-1"/>
        </w:rPr>
        <w:t> </w:t>
      </w:r>
      <w:r>
        <w:rPr/>
        <w:t>and Uturu</w:t>
      </w:r>
      <w:r>
        <w:rPr>
          <w:spacing w:val="2"/>
        </w:rPr>
        <w:t> </w:t>
      </w:r>
      <w:r>
        <w:rPr/>
        <w:t>sections.</w:t>
      </w:r>
    </w:p>
    <w:p>
      <w:pPr>
        <w:pStyle w:val="BodyText"/>
        <w:spacing w:line="480" w:lineRule="auto" w:before="2"/>
        <w:ind w:left="445" w:right="671"/>
        <w:jc w:val="both"/>
      </w:pPr>
      <w:r>
        <w:rPr/>
        <w:t>The iron minerals caused the occurrence of concretions and extreme coloration of clays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finished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clays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challenges for their usage in industries, especially for paper and rubber production, low</w:t>
      </w:r>
      <w:r>
        <w:rPr>
          <w:spacing w:val="1"/>
        </w:rPr>
        <w:t> </w:t>
      </w:r>
      <w:r>
        <w:rPr/>
        <w:t>iron content in clays from Njaba, Ohiya I and II would potentially make the dominant</w:t>
      </w:r>
      <w:r>
        <w:rPr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useful in</w:t>
      </w:r>
      <w:r>
        <w:rPr>
          <w:spacing w:val="1"/>
        </w:rPr>
        <w:t> </w:t>
      </w:r>
      <w:r>
        <w:rPr/>
        <w:t>white body production.</w:t>
      </w:r>
      <w:r>
        <w:rPr>
          <w:spacing w:val="1"/>
        </w:rPr>
        <w:t> </w:t>
      </w:r>
      <w:r>
        <w:rPr/>
        <w:t>Their geochemical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revealed</w:t>
      </w:r>
      <w:r>
        <w:rPr>
          <w:spacing w:val="-57"/>
        </w:rPr>
        <w:t> </w:t>
      </w:r>
      <w:r>
        <w:rPr/>
        <w:t>that the samples from the study area are rich in alumina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Compared with some</w:t>
      </w:r>
      <w:r>
        <w:rPr>
          <w:spacing w:val="1"/>
          <w:vertAlign w:val="baseline"/>
        </w:rPr>
        <w:t> </w:t>
      </w:r>
      <w:r>
        <w:rPr>
          <w:vertAlign w:val="baseline"/>
        </w:rPr>
        <w:t>industrial specifications, the clay deposits in the study area can be used as raw 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for the production of pottery, bricks, ceramics, refractories, paper, earthenware and</w:t>
      </w:r>
      <w:r>
        <w:rPr>
          <w:spacing w:val="1"/>
          <w:vertAlign w:val="baseline"/>
        </w:rPr>
        <w:t> </w:t>
      </w:r>
      <w:r>
        <w:rPr>
          <w:vertAlign w:val="baseline"/>
        </w:rPr>
        <w:t>paints. The low alumina-iron ratio in the samples from Uturu and Ikpankwu deposits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-1"/>
          <w:vertAlign w:val="baseline"/>
        </w:rPr>
        <w:t> </w:t>
      </w:r>
      <w:r>
        <w:rPr>
          <w:vertAlign w:val="baseline"/>
        </w:rPr>
        <w:t>render the</w:t>
      </w:r>
      <w:r>
        <w:rPr>
          <w:spacing w:val="-1"/>
          <w:vertAlign w:val="baseline"/>
        </w:rPr>
        <w:t> </w:t>
      </w:r>
      <w:r>
        <w:rPr>
          <w:vertAlign w:val="baseline"/>
        </w:rPr>
        <w:t>clays</w:t>
      </w:r>
      <w:r>
        <w:rPr>
          <w:spacing w:val="2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production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good quality</w:t>
      </w:r>
      <w:r>
        <w:rPr>
          <w:spacing w:val="-8"/>
          <w:vertAlign w:val="baseline"/>
        </w:rPr>
        <w:t> </w:t>
      </w:r>
      <w:r>
        <w:rPr>
          <w:vertAlign w:val="baseline"/>
        </w:rPr>
        <w:t>cement.</w:t>
      </w:r>
    </w:p>
    <w:p>
      <w:pPr>
        <w:pStyle w:val="BodyText"/>
        <w:spacing w:line="480" w:lineRule="auto"/>
        <w:ind w:left="445" w:right="672"/>
        <w:jc w:val="both"/>
      </w:pPr>
      <w:r>
        <w:rPr/>
        <w:t>In another survey of clay deposits in Dukku, Jega and Yauri in Kebbi State, Nigeria, the</w:t>
      </w:r>
      <w:r>
        <w:rPr>
          <w:spacing w:val="1"/>
        </w:rPr>
        <w:t> </w:t>
      </w:r>
      <w:r>
        <w:rPr/>
        <w:t>physical and chemical properties of some selected clays deposits were analyzed in other</w:t>
      </w:r>
      <w:r>
        <w:rPr>
          <w:spacing w:val="1"/>
        </w:rPr>
        <w:t> </w:t>
      </w:r>
      <w:r>
        <w:rPr/>
        <w:t>to determine their suitability for industrial application. The chemical composition shows</w:t>
      </w:r>
      <w:r>
        <w:rPr>
          <w:spacing w:val="-57"/>
        </w:rPr>
        <w:t> </w:t>
      </w:r>
      <w:r>
        <w:rPr/>
        <w:t>high dominance of SiO</w:t>
      </w:r>
      <w:r>
        <w:rPr>
          <w:vertAlign w:val="subscript"/>
        </w:rPr>
        <w:t>2</w:t>
      </w:r>
      <w:r>
        <w:rPr>
          <w:spacing w:val="60"/>
          <w:vertAlign w:val="baseline"/>
        </w:rPr>
        <w:t> </w:t>
      </w:r>
      <w:r>
        <w:rPr>
          <w:vertAlign w:val="baseline"/>
        </w:rPr>
        <w:t>and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in all the samples. SiO</w:t>
      </w:r>
      <w:r>
        <w:rPr>
          <w:vertAlign w:val="subscript"/>
        </w:rPr>
        <w:t>2</w:t>
      </w:r>
      <w:r>
        <w:rPr>
          <w:vertAlign w:val="baseline"/>
        </w:rPr>
        <w:t> (52.45 - 55.85),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(30.58</w:t>
      </w:r>
      <w:r>
        <w:rPr>
          <w:spacing w:val="17"/>
          <w:vertAlign w:val="baseline"/>
        </w:rPr>
        <w:t> </w:t>
      </w:r>
      <w:r>
        <w:rPr>
          <w:vertAlign w:val="baseline"/>
        </w:rPr>
        <w:t>–</w:t>
      </w:r>
      <w:r>
        <w:rPr>
          <w:spacing w:val="20"/>
          <w:vertAlign w:val="baseline"/>
        </w:rPr>
        <w:t> </w:t>
      </w:r>
      <w:r>
        <w:rPr>
          <w:vertAlign w:val="baseline"/>
        </w:rPr>
        <w:t>37.32)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minor</w:t>
      </w:r>
      <w:r>
        <w:rPr>
          <w:spacing w:val="17"/>
          <w:vertAlign w:val="baseline"/>
        </w:rPr>
        <w:t> </w:t>
      </w:r>
      <w:r>
        <w:rPr>
          <w:vertAlign w:val="baseline"/>
        </w:rPr>
        <w:t>compounds:</w:t>
      </w:r>
      <w:r>
        <w:rPr>
          <w:spacing w:val="23"/>
          <w:vertAlign w:val="baseline"/>
        </w:rPr>
        <w:t> </w:t>
      </w:r>
      <w:r>
        <w:rPr>
          <w:vertAlign w:val="baseline"/>
        </w:rPr>
        <w:t>MgO</w:t>
      </w:r>
      <w:r>
        <w:rPr>
          <w:spacing w:val="20"/>
          <w:vertAlign w:val="baseline"/>
        </w:rPr>
        <w:t> </w:t>
      </w:r>
      <w:r>
        <w:rPr>
          <w:vertAlign w:val="baseline"/>
        </w:rPr>
        <w:t>(2.41</w:t>
      </w:r>
      <w:r>
        <w:rPr>
          <w:spacing w:val="23"/>
          <w:vertAlign w:val="baseline"/>
        </w:rPr>
        <w:t> </w:t>
      </w:r>
      <w:r>
        <w:rPr>
          <w:vertAlign w:val="baseline"/>
        </w:rPr>
        <w:t>-</w:t>
      </w:r>
      <w:r>
        <w:rPr>
          <w:spacing w:val="18"/>
          <w:vertAlign w:val="baseline"/>
        </w:rPr>
        <w:t> </w:t>
      </w:r>
      <w:r>
        <w:rPr>
          <w:vertAlign w:val="baseline"/>
        </w:rPr>
        <w:t>1.10),</w:t>
      </w:r>
      <w:r>
        <w:rPr>
          <w:spacing w:val="20"/>
          <w:vertAlign w:val="baseline"/>
        </w:rPr>
        <w:t> </w:t>
      </w:r>
      <w:r>
        <w:rPr>
          <w:vertAlign w:val="baseline"/>
        </w:rPr>
        <w:t>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24"/>
          <w:vertAlign w:val="baseline"/>
        </w:rPr>
        <w:t> </w:t>
      </w:r>
      <w:r>
        <w:rPr>
          <w:vertAlign w:val="baseline"/>
        </w:rPr>
        <w:t>(11.00</w:t>
      </w:r>
      <w:r>
        <w:rPr>
          <w:spacing w:val="15"/>
          <w:vertAlign w:val="baseline"/>
        </w:rPr>
        <w:t> </w:t>
      </w:r>
      <w:r>
        <w:rPr>
          <w:vertAlign w:val="baseline"/>
        </w:rPr>
        <w:t>-</w:t>
      </w:r>
      <w:r>
        <w:rPr>
          <w:spacing w:val="19"/>
          <w:vertAlign w:val="baseline"/>
        </w:rPr>
        <w:t> </w:t>
      </w:r>
      <w:r>
        <w:rPr>
          <w:vertAlign w:val="baseline"/>
        </w:rPr>
        <w:t>2.30),</w:t>
      </w:r>
      <w:r>
        <w:rPr>
          <w:spacing w:val="20"/>
          <w:vertAlign w:val="baseline"/>
        </w:rPr>
        <w:t> </w:t>
      </w:r>
      <w:r>
        <w:rPr>
          <w:vertAlign w:val="baseline"/>
        </w:rPr>
        <w:t>CaO</w:t>
      </w:r>
    </w:p>
    <w:p>
      <w:pPr>
        <w:pStyle w:val="BodyText"/>
        <w:ind w:left="445"/>
        <w:jc w:val="both"/>
      </w:pPr>
      <w:r>
        <w:rPr/>
        <w:t>(1.0</w:t>
      </w:r>
      <w:r>
        <w:rPr>
          <w:spacing w:val="22"/>
        </w:rPr>
        <w:t> </w:t>
      </w:r>
      <w:r>
        <w:rPr/>
        <w:t>–</w:t>
      </w:r>
      <w:r>
        <w:rPr>
          <w:spacing w:val="26"/>
        </w:rPr>
        <w:t> </w:t>
      </w:r>
      <w:r>
        <w:rPr/>
        <w:t>3.50),</w:t>
      </w:r>
      <w:r>
        <w:rPr>
          <w:spacing w:val="26"/>
        </w:rPr>
        <w:t> </w:t>
      </w:r>
      <w:r>
        <w:rPr/>
        <w:t>K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26"/>
          <w:vertAlign w:val="baseline"/>
        </w:rPr>
        <w:t> </w:t>
      </w:r>
      <w:r>
        <w:rPr>
          <w:vertAlign w:val="baseline"/>
        </w:rPr>
        <w:t>(0.2</w:t>
      </w:r>
      <w:r>
        <w:rPr>
          <w:spacing w:val="25"/>
          <w:vertAlign w:val="baseline"/>
        </w:rPr>
        <w:t> </w:t>
      </w:r>
      <w:r>
        <w:rPr>
          <w:vertAlign w:val="baseline"/>
        </w:rPr>
        <w:t>-</w:t>
      </w:r>
      <w:r>
        <w:rPr>
          <w:spacing w:val="30"/>
          <w:vertAlign w:val="baseline"/>
        </w:rPr>
        <w:t> </w:t>
      </w:r>
      <w:r>
        <w:rPr>
          <w:vertAlign w:val="baseline"/>
        </w:rPr>
        <w:t>0.55),</w:t>
      </w:r>
      <w:r>
        <w:rPr>
          <w:spacing w:val="24"/>
          <w:vertAlign w:val="baseline"/>
        </w:rPr>
        <w:t> </w:t>
      </w:r>
      <w:r>
        <w:rPr>
          <w:vertAlign w:val="baseline"/>
        </w:rPr>
        <w:t>TiO</w:t>
      </w:r>
      <w:r>
        <w:rPr>
          <w:vertAlign w:val="subscript"/>
        </w:rPr>
        <w:t>2</w:t>
      </w:r>
      <w:r>
        <w:rPr>
          <w:spacing w:val="30"/>
          <w:vertAlign w:val="baseline"/>
        </w:rPr>
        <w:t> </w:t>
      </w:r>
      <w:r>
        <w:rPr>
          <w:vertAlign w:val="baseline"/>
        </w:rPr>
        <w:t>(0.02</w:t>
      </w:r>
      <w:r>
        <w:rPr>
          <w:spacing w:val="26"/>
          <w:vertAlign w:val="baseline"/>
        </w:rPr>
        <w:t> </w:t>
      </w:r>
      <w:r>
        <w:rPr>
          <w:vertAlign w:val="baseline"/>
        </w:rPr>
        <w:t>–</w:t>
      </w:r>
      <w:r>
        <w:rPr>
          <w:spacing w:val="25"/>
          <w:vertAlign w:val="baseline"/>
        </w:rPr>
        <w:t> </w:t>
      </w:r>
      <w:r>
        <w:rPr>
          <w:vertAlign w:val="baseline"/>
        </w:rPr>
        <w:t>0.25),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23"/>
          <w:vertAlign w:val="baseline"/>
        </w:rPr>
        <w:t> </w:t>
      </w:r>
      <w:r>
        <w:rPr>
          <w:vertAlign w:val="baseline"/>
        </w:rPr>
        <w:t>(0.04</w:t>
      </w:r>
      <w:r>
        <w:rPr>
          <w:spacing w:val="26"/>
          <w:vertAlign w:val="baseline"/>
        </w:rPr>
        <w:t> </w:t>
      </w:r>
      <w:r>
        <w:rPr>
          <w:vertAlign w:val="baseline"/>
        </w:rPr>
        <w:t>–</w:t>
      </w:r>
      <w:r>
        <w:rPr>
          <w:spacing w:val="28"/>
          <w:vertAlign w:val="baseline"/>
        </w:rPr>
        <w:t> </w:t>
      </w:r>
      <w:r>
        <w:rPr>
          <w:vertAlign w:val="baseline"/>
        </w:rPr>
        <w:t>0.50)</w:t>
      </w:r>
      <w:r>
        <w:rPr>
          <w:spacing w:val="25"/>
          <w:vertAlign w:val="baseline"/>
        </w:rPr>
        <w:t> </w:t>
      </w:r>
      <w:r>
        <w:rPr>
          <w:vertAlign w:val="baseline"/>
        </w:rPr>
        <w:t>which</w:t>
      </w:r>
      <w:r>
        <w:rPr>
          <w:spacing w:val="26"/>
          <w:vertAlign w:val="baseline"/>
        </w:rPr>
        <w:t> </w:t>
      </w:r>
      <w:r>
        <w:rPr>
          <w:vertAlign w:val="baseline"/>
        </w:rPr>
        <w:t>are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49" w:right="275"/>
        <w:jc w:val="center"/>
      </w:pPr>
      <w:r>
        <w:rPr/>
        <w:t>31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69"/>
        <w:jc w:val="both"/>
      </w:pPr>
      <w:r>
        <w:rPr/>
        <w:t>within acceptable limits. It was reported that the chemical compositions determined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Dukku and Yauri deposits characterized possessed the right properties for refractory and</w:t>
      </w:r>
      <w:r>
        <w:rPr>
          <w:spacing w:val="-57"/>
        </w:rPr>
        <w:t> </w:t>
      </w:r>
      <w:r>
        <w:rPr/>
        <w:t>fireclay brick production while the presence of high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content reduces quality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depict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Dukku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Yauri</w:t>
      </w:r>
      <w:r>
        <w:rPr>
          <w:spacing w:val="60"/>
          <w:vertAlign w:val="baseline"/>
        </w:rPr>
        <w:t> </w:t>
      </w:r>
      <w:r>
        <w:rPr>
          <w:vertAlign w:val="baseline"/>
        </w:rPr>
        <w:t>clays</w:t>
      </w:r>
      <w:r>
        <w:rPr>
          <w:spacing w:val="60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 within the acceptable range according to international standard for fireclay,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refractory</w:t>
      </w:r>
      <w:r>
        <w:rPr>
          <w:spacing w:val="-8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5"/>
          <w:vertAlign w:val="baseline"/>
        </w:rPr>
        <w:t> </w:t>
      </w:r>
      <w:r>
        <w:rPr>
          <w:vertAlign w:val="baseline"/>
        </w:rPr>
        <w:t>(Salihu</w:t>
      </w:r>
      <w:r>
        <w:rPr>
          <w:spacing w:val="2"/>
          <w:vertAlign w:val="baseline"/>
        </w:rPr>
        <w:t> </w:t>
      </w:r>
      <w:r>
        <w:rPr>
          <w:vertAlign w:val="baseline"/>
        </w:rPr>
        <w:t>&amp;</w:t>
      </w:r>
      <w:r>
        <w:rPr>
          <w:spacing w:val="1"/>
          <w:vertAlign w:val="baseline"/>
        </w:rPr>
        <w:t> </w:t>
      </w:r>
      <w:r>
        <w:rPr>
          <w:vertAlign w:val="baseline"/>
        </w:rPr>
        <w:t>Suleiman 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ind w:left="49" w:right="275"/>
        <w:jc w:val="center"/>
      </w:pPr>
      <w:r>
        <w:rPr/>
        <w:t>32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ind w:left="816" w:right="275" w:firstLine="0"/>
        <w:jc w:val="center"/>
      </w:pPr>
      <w:bookmarkStart w:name="_TOC_250015" w:id="30"/>
      <w:r>
        <w:rPr/>
        <w:t>CHAPTER</w:t>
      </w:r>
      <w:r>
        <w:rPr>
          <w:spacing w:val="-2"/>
        </w:rPr>
        <w:t> </w:t>
      </w:r>
      <w:bookmarkEnd w:id="30"/>
      <w:r>
        <w:rPr/>
        <w:t>THREE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3325" w:val="left" w:leader="none"/>
          <w:tab w:pos="3326" w:val="left" w:leader="none"/>
        </w:tabs>
        <w:spacing w:line="240" w:lineRule="auto" w:before="0" w:after="0"/>
        <w:ind w:left="3325" w:right="0" w:hanging="2881"/>
        <w:jc w:val="both"/>
      </w:pPr>
      <w:bookmarkStart w:name="_TOC_250014" w:id="31"/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bookmarkEnd w:id="31"/>
      <w:r>
        <w:rPr/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1"/>
        </w:numPr>
        <w:tabs>
          <w:tab w:pos="1226" w:val="left" w:leader="none"/>
        </w:tabs>
        <w:spacing w:line="240" w:lineRule="auto" w:before="1" w:after="0"/>
        <w:ind w:left="1225" w:right="0" w:hanging="781"/>
        <w:jc w:val="both"/>
      </w:pPr>
      <w:bookmarkStart w:name="_TOC_250013" w:id="32"/>
      <w:r>
        <w:rPr/>
        <w:t>Fieldwork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bookmarkEnd w:id="32"/>
      <w:r>
        <w:rPr/>
        <w:t>Collection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445" w:right="673"/>
        <w:jc w:val="both"/>
      </w:pPr>
      <w:r>
        <w:rPr/>
        <w:t>Two hills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clay were visited.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hill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KTG 1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 hill KTG 2 for easy identification. A total of thirteen samples were collected</w:t>
      </w:r>
      <w:r>
        <w:rPr>
          <w:spacing w:val="1"/>
        </w:rPr>
        <w:t> </w:t>
      </w:r>
      <w:r>
        <w:rPr/>
        <w:t>randomly</w:t>
      </w:r>
      <w:r>
        <w:rPr>
          <w:spacing w:val="13"/>
        </w:rPr>
        <w:t> </w:t>
      </w:r>
      <w:r>
        <w:rPr/>
        <w:t>in</w:t>
      </w:r>
      <w:r>
        <w:rPr>
          <w:spacing w:val="31"/>
        </w:rPr>
        <w:t> </w:t>
      </w:r>
      <w:r>
        <w:rPr/>
        <w:t>area</w:t>
      </w:r>
      <w:r>
        <w:rPr>
          <w:spacing w:val="27"/>
        </w:rPr>
        <w:t> </w:t>
      </w:r>
      <w:r>
        <w:rPr/>
        <w:t>where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clay</w:t>
      </w:r>
      <w:r>
        <w:rPr>
          <w:spacing w:val="19"/>
        </w:rPr>
        <w:t> </w:t>
      </w:r>
      <w:r>
        <w:rPr/>
        <w:t>was</w:t>
      </w:r>
      <w:r>
        <w:rPr>
          <w:spacing w:val="25"/>
        </w:rPr>
        <w:t> </w:t>
      </w:r>
      <w:r>
        <w:rPr/>
        <w:t>well</w:t>
      </w:r>
      <w:r>
        <w:rPr>
          <w:spacing w:val="27"/>
        </w:rPr>
        <w:t> </w:t>
      </w:r>
      <w:r>
        <w:rPr/>
        <w:t>exposed,</w:t>
      </w:r>
      <w:r>
        <w:rPr>
          <w:spacing w:val="26"/>
        </w:rPr>
        <w:t> </w:t>
      </w:r>
      <w:r>
        <w:rPr/>
        <w:t>Seven</w:t>
      </w:r>
      <w:r>
        <w:rPr>
          <w:spacing w:val="27"/>
        </w:rPr>
        <w:t> </w:t>
      </w:r>
      <w:r>
        <w:rPr/>
        <w:t>from</w:t>
      </w:r>
      <w:r>
        <w:rPr>
          <w:spacing w:val="31"/>
        </w:rPr>
        <w:t> </w:t>
      </w:r>
      <w:r>
        <w:rPr/>
        <w:t>Location</w:t>
      </w:r>
      <w:r>
        <w:rPr>
          <w:spacing w:val="28"/>
        </w:rPr>
        <w:t> </w:t>
      </w:r>
      <w:r>
        <w:rPr/>
        <w:t>KTG</w:t>
      </w:r>
      <w:r>
        <w:rPr>
          <w:spacing w:val="23"/>
        </w:rPr>
        <w:t> </w:t>
      </w:r>
      <w:r>
        <w:rPr/>
        <w:t>1</w:t>
      </w:r>
      <w:r>
        <w:rPr>
          <w:spacing w:val="27"/>
        </w:rPr>
        <w:t> </w:t>
      </w:r>
      <w:r>
        <w:rPr/>
        <w:t>and</w:t>
      </w:r>
      <w:r>
        <w:rPr>
          <w:spacing w:val="-57"/>
        </w:rPr>
        <w:t> </w:t>
      </w:r>
      <w:r>
        <w:rPr/>
        <w:t>Six from Location KTG 2 respectively with the aid of a digger and geological hammer.</w:t>
      </w:r>
      <w:r>
        <w:rPr>
          <w:spacing w:val="1"/>
        </w:rPr>
        <w:t> </w:t>
      </w:r>
      <w:r>
        <w:rPr/>
        <w:t>In some cases the samples were divided in two halves, making a total of twenty six</w:t>
      </w:r>
      <w:r>
        <w:rPr>
          <w:spacing w:val="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enable a</w:t>
      </w:r>
      <w:r>
        <w:rPr>
          <w:spacing w:val="-2"/>
        </w:rPr>
        <w:t> </w:t>
      </w:r>
      <w:r>
        <w:rPr/>
        <w:t>better representative</w:t>
      </w:r>
      <w:r>
        <w:rPr>
          <w:spacing w:val="-2"/>
        </w:rPr>
        <w:t> </w:t>
      </w:r>
      <w:r>
        <w:rPr/>
        <w:t>for the</w:t>
      </w:r>
      <w:r>
        <w:rPr>
          <w:spacing w:val="-3"/>
        </w:rPr>
        <w:t> </w:t>
      </w:r>
      <w:r>
        <w:rPr/>
        <w:t>various</w:t>
      </w:r>
      <w:r>
        <w:rPr>
          <w:spacing w:val="2"/>
        </w:rPr>
        <w:t> </w:t>
      </w:r>
      <w:r>
        <w:rPr/>
        <w:t>laboratories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line="480" w:lineRule="auto" w:before="3"/>
        <w:ind w:left="445" w:right="672"/>
        <w:jc w:val="both"/>
      </w:pPr>
      <w:r>
        <w:rPr/>
        <w:t>All samples were properly labelled and arranged in bags for the various laboratories</w:t>
      </w:r>
      <w:r>
        <w:rPr>
          <w:spacing w:val="1"/>
        </w:rPr>
        <w:t> </w:t>
      </w:r>
      <w:r>
        <w:rPr/>
        <w:t>analyses. The samples were labelled from KTG 1A, KTG 1B to KTG 1G for Location</w:t>
      </w:r>
      <w:r>
        <w:rPr>
          <w:spacing w:val="1"/>
        </w:rPr>
        <w:t> </w:t>
      </w:r>
      <w:r>
        <w:rPr/>
        <w:t>KTG 1 and for Location</w:t>
      </w:r>
      <w:r>
        <w:rPr>
          <w:spacing w:val="1"/>
        </w:rPr>
        <w:t> </w:t>
      </w:r>
      <w:r>
        <w:rPr/>
        <w:t>KTG 2 the samples were labelled KTG 2A, KTG 2B to KTG</w:t>
      </w:r>
      <w:r>
        <w:rPr>
          <w:spacing w:val="1"/>
        </w:rPr>
        <w:t> </w:t>
      </w:r>
      <w:r>
        <w:rPr/>
        <w:t>2F respectively. A Global Position System was used to indicate the coordinates of the</w:t>
      </w:r>
      <w:r>
        <w:rPr>
          <w:spacing w:val="1"/>
        </w:rPr>
        <w:t> </w:t>
      </w:r>
      <w:r>
        <w:rPr/>
        <w:t>areas where the clay sample was collected and the coordinates were recorded in a field</w:t>
      </w:r>
      <w:r>
        <w:rPr>
          <w:spacing w:val="1"/>
        </w:rPr>
        <w:t> </w:t>
      </w:r>
      <w:r>
        <w:rPr/>
        <w:t>notebook. The clay was studied and observed in hand specimen for their colour and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instu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the clay and other lithology. A measuring tape was used to record</w:t>
      </w:r>
      <w:r>
        <w:rPr>
          <w:spacing w:val="1"/>
        </w:rPr>
        <w:t> </w:t>
      </w:r>
      <w:r>
        <w:rPr/>
        <w:t>the thickness of the overburden and the thickness of the beds. A lithological section was</w:t>
      </w:r>
      <w:r>
        <w:rPr>
          <w:spacing w:val="-57"/>
        </w:rPr>
        <w:t> </w:t>
      </w:r>
      <w:r>
        <w:rPr/>
        <w:t>produced for KTG1 and KTG2 from instu measurements of bed thickness and observed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Photograph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clay occurrence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relevant to the study were taken with the aid of a camera. All measurements, field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 and documented in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field notebook.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2"/>
        <w:ind w:left="49" w:right="275"/>
        <w:jc w:val="center"/>
      </w:pPr>
      <w:r>
        <w:rPr/>
        <w:t>33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numPr>
          <w:ilvl w:val="1"/>
          <w:numId w:val="11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bookmarkStart w:name="_TOC_250012" w:id="33"/>
      <w:r>
        <w:rPr/>
        <w:t>Laboratory</w:t>
      </w:r>
      <w:r>
        <w:rPr>
          <w:spacing w:val="-5"/>
        </w:rPr>
        <w:t> </w:t>
      </w:r>
      <w:bookmarkEnd w:id="33"/>
      <w:r>
        <w:rPr/>
        <w:t>Analysis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67"/>
        <w:jc w:val="both"/>
      </w:pPr>
      <w:r>
        <w:rPr/>
        <w:t>Various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Atterberg‟s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(XRD)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X-Ray Fluorescence (XRF)</w:t>
      </w:r>
      <w:r>
        <w:rPr>
          <w:spacing w:val="1"/>
        </w:rPr>
        <w:t> </w:t>
      </w:r>
      <w:r>
        <w:rPr/>
        <w:t>analyses</w:t>
      </w:r>
      <w:r>
        <w:rPr>
          <w:spacing w:val="1"/>
        </w:rPr>
        <w:t> </w:t>
      </w:r>
      <w:r>
        <w:rPr/>
        <w:t>were carried out</w:t>
      </w:r>
      <w:r>
        <w:rPr>
          <w:spacing w:val="60"/>
        </w:rPr>
        <w:t> </w:t>
      </w:r>
      <w:r>
        <w:rPr/>
        <w:t>on the</w:t>
      </w:r>
      <w:r>
        <w:rPr>
          <w:spacing w:val="1"/>
        </w:rPr>
        <w:t> </w:t>
      </w:r>
      <w:r>
        <w:rPr/>
        <w:t>clay samples collected within the study area. The test carried out on the samples can be</w:t>
      </w:r>
      <w:r>
        <w:rPr>
          <w:spacing w:val="1"/>
        </w:rPr>
        <w:t> </w:t>
      </w:r>
      <w:r>
        <w:rPr/>
        <w:t>classified into physical and geochemical. The physical method employed include the</w:t>
      </w:r>
      <w:r>
        <w:rPr>
          <w:spacing w:val="1"/>
        </w:rPr>
        <w:t> </w:t>
      </w:r>
      <w:r>
        <w:rPr/>
        <w:t>Atterberg‟s limit and Shrinkage limit test to determine the physical properties, eight</w:t>
      </w:r>
      <w:r>
        <w:rPr>
          <w:spacing w:val="1"/>
        </w:rPr>
        <w:t> </w:t>
      </w:r>
      <w:r>
        <w:rPr/>
        <w:t>samples were used for these test. The Atterberg‟s limit tests were carried out at the</w:t>
      </w:r>
      <w:r>
        <w:rPr>
          <w:spacing w:val="1"/>
        </w:rPr>
        <w:t> </w:t>
      </w:r>
      <w:r>
        <w:rPr/>
        <w:t>Department of Geology laboratory, Federal University of Technology, Minna, Nigeria.</w:t>
      </w:r>
      <w:r>
        <w:rPr>
          <w:spacing w:val="1"/>
        </w:rPr>
        <w:t> </w:t>
      </w:r>
      <w:r>
        <w:rPr/>
        <w:t>The Shrinkage was carried out at the Nigeria Geological Survey Research Laboratory,</w:t>
      </w:r>
      <w:r>
        <w:rPr>
          <w:spacing w:val="1"/>
        </w:rPr>
        <w:t> </w:t>
      </w:r>
      <w:r>
        <w:rPr/>
        <w:t>Kaduna. X-Ray Diffraction was employed to determine the mineralogical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 the clay. Four samples were selected for this test. Eleven samples were analyses for</w:t>
      </w:r>
      <w:r>
        <w:rPr>
          <w:spacing w:val="1"/>
        </w:rPr>
        <w:t> </w:t>
      </w:r>
      <w:r>
        <w:rPr/>
        <w:t>elemental composition using the X-Ray Fluorescence.The XRD and XRF were carried</w:t>
      </w:r>
      <w:r>
        <w:rPr>
          <w:spacing w:val="1"/>
        </w:rPr>
        <w:t> </w:t>
      </w:r>
      <w:r>
        <w:rPr/>
        <w:t>out</w:t>
      </w:r>
      <w:r>
        <w:rPr>
          <w:spacing w:val="-1"/>
        </w:rPr>
        <w:t> </w:t>
      </w:r>
      <w:r>
        <w:rPr/>
        <w:t>at the Nigeria</w:t>
      </w:r>
      <w:r>
        <w:rPr>
          <w:spacing w:val="-1"/>
        </w:rPr>
        <w:t> </w:t>
      </w:r>
      <w:r>
        <w:rPr/>
        <w:t>Geological Survey</w:t>
      </w:r>
      <w:r>
        <w:rPr>
          <w:spacing w:val="-10"/>
        </w:rPr>
        <w:t> </w:t>
      </w:r>
      <w:r>
        <w:rPr/>
        <w:t>Research</w:t>
      </w:r>
      <w:r>
        <w:rPr>
          <w:spacing w:val="4"/>
        </w:rPr>
        <w:t> </w:t>
      </w:r>
      <w:r>
        <w:rPr/>
        <w:t>Laboratory, Kaduna.</w:t>
      </w:r>
    </w:p>
    <w:p>
      <w:pPr>
        <w:pStyle w:val="Heading1"/>
        <w:numPr>
          <w:ilvl w:val="2"/>
          <w:numId w:val="11"/>
        </w:numPr>
        <w:tabs>
          <w:tab w:pos="1166" w:val="left" w:leader="none"/>
        </w:tabs>
        <w:spacing w:line="240" w:lineRule="auto" w:before="14" w:after="0"/>
        <w:ind w:left="1165" w:right="0" w:hanging="721"/>
        <w:jc w:val="both"/>
      </w:pPr>
      <w:bookmarkStart w:name="_TOC_250011" w:id="34"/>
      <w:r>
        <w:rPr/>
        <w:t>Geotechnical</w:t>
      </w:r>
      <w:r>
        <w:rPr>
          <w:spacing w:val="-3"/>
        </w:rPr>
        <w:t> </w:t>
      </w:r>
      <w:bookmarkEnd w:id="34"/>
      <w:r>
        <w:rPr/>
        <w:t>tests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445" w:right="673"/>
        <w:jc w:val="both"/>
      </w:pPr>
      <w:r>
        <w:rPr/>
        <w:t>The geotechnical tests were undertaken to ascertain the physical characteristics of the</w:t>
      </w:r>
      <w:r>
        <w:rPr>
          <w:spacing w:val="1"/>
        </w:rPr>
        <w:t> </w:t>
      </w:r>
      <w:r>
        <w:rPr/>
        <w:t>clay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limit,</w:t>
      </w:r>
      <w:r>
        <w:rPr>
          <w:spacing w:val="1"/>
        </w:rPr>
        <w:t> </w:t>
      </w:r>
      <w:r>
        <w:rPr/>
        <w:t>plastic limit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moisture content.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 the characteristics of the clay and to obtain the clay parameters required for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with</w:t>
      </w:r>
      <w:r>
        <w:rPr>
          <w:spacing w:val="3"/>
        </w:rPr>
        <w:t> </w:t>
      </w:r>
      <w:r>
        <w:rPr/>
        <w:t>various</w:t>
      </w:r>
      <w:r>
        <w:rPr>
          <w:spacing w:val="3"/>
        </w:rPr>
        <w:t> </w:t>
      </w:r>
      <w:r>
        <w:rPr/>
        <w:t>industrial standard</w:t>
      </w:r>
      <w:r>
        <w:rPr>
          <w:spacing w:val="1"/>
        </w:rPr>
        <w:t> </w:t>
      </w:r>
      <w:r>
        <w:rPr/>
        <w:t>specifications.</w:t>
      </w:r>
    </w:p>
    <w:p>
      <w:pPr>
        <w:pStyle w:val="BodyText"/>
        <w:spacing w:line="480" w:lineRule="auto"/>
        <w:ind w:left="445" w:right="674"/>
        <w:jc w:val="both"/>
      </w:pPr>
      <w:r>
        <w:rPr/>
        <w:t>BS1377 method was used to carry out the test.</w:t>
      </w:r>
      <w:r>
        <w:rPr>
          <w:spacing w:val="1"/>
        </w:rPr>
        <w:t> </w:t>
      </w:r>
      <w:r>
        <w:rPr/>
        <w:t>The clay samples were pulverized</w:t>
      </w:r>
      <w:r>
        <w:rPr>
          <w:spacing w:val="1"/>
        </w:rPr>
        <w:t> </w:t>
      </w:r>
      <w:r>
        <w:rPr/>
        <w:t>thoroughly with a mortar and pestle. Water was added to the sample, mixed and then</w:t>
      </w:r>
      <w:r>
        <w:rPr>
          <w:spacing w:val="1"/>
        </w:rPr>
        <w:t> </w:t>
      </w:r>
      <w:r>
        <w:rPr/>
        <w:t>moulded to enable a thread of 1/8 in diameter to roll around the cone. Uniform roll</w:t>
      </w:r>
      <w:r>
        <w:rPr>
          <w:spacing w:val="1"/>
        </w:rPr>
        <w:t> </w:t>
      </w:r>
      <w:r>
        <w:rPr/>
        <w:t>pressure was applied throughout. The mould was put in a container with a known</w:t>
      </w:r>
      <w:r>
        <w:rPr>
          <w:spacing w:val="1"/>
        </w:rPr>
        <w:t> </w:t>
      </w:r>
      <w:r>
        <w:rPr/>
        <w:t>weight,</w:t>
      </w:r>
      <w:r>
        <w:rPr>
          <w:spacing w:val="-1"/>
        </w:rPr>
        <w:t> </w:t>
      </w:r>
      <w:r>
        <w:rPr/>
        <w:t>weighed, dried in</w:t>
      </w:r>
      <w:r>
        <w:rPr>
          <w:spacing w:val="4"/>
        </w:rPr>
        <w:t> </w:t>
      </w:r>
      <w:r>
        <w:rPr/>
        <w:t>an oven, cooled</w:t>
      </w:r>
      <w:r>
        <w:rPr>
          <w:spacing w:val="1"/>
        </w:rPr>
        <w:t> </w:t>
      </w:r>
      <w:r>
        <w:rPr/>
        <w:t>and reweighed.</w:t>
      </w:r>
    </w:p>
    <w:p>
      <w:pPr>
        <w:pStyle w:val="BodyText"/>
        <w:spacing w:line="480" w:lineRule="auto"/>
        <w:ind w:left="445" w:right="674"/>
        <w:jc w:val="both"/>
      </w:pPr>
      <w:r>
        <w:rPr/>
        <w:t>The moisture content of the clay was determined and recorded. The water content at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measureable</w:t>
      </w:r>
      <w:r>
        <w:rPr>
          <w:spacing w:val="3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was</w:t>
      </w:r>
      <w:r>
        <w:rPr>
          <w:spacing w:val="1"/>
        </w:rPr>
        <w:t> </w:t>
      </w:r>
      <w:r>
        <w:rPr/>
        <w:t>first apparent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liquid</w:t>
      </w:r>
      <w:r>
        <w:rPr>
          <w:spacing w:val="-2"/>
        </w:rPr>
        <w:t> </w:t>
      </w:r>
      <w:r>
        <w:rPr/>
        <w:t>limit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49" w:right="275"/>
        <w:jc w:val="center"/>
      </w:pPr>
      <w:r>
        <w:rPr/>
        <w:t>34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0"/>
        <w:jc w:val="both"/>
      </w:pPr>
      <w:r>
        <w:rPr/>
        <w:t>it marked the boundary between the liquid and plastic states. The plastic limit is the</w:t>
      </w:r>
      <w:r>
        <w:rPr>
          <w:spacing w:val="1"/>
        </w:rPr>
        <w:t> </w:t>
      </w:r>
      <w:r>
        <w:rPr/>
        <w:t>water content at which a paste is formed and thread 1/8 diameter rolled around without</w:t>
      </w:r>
      <w:r>
        <w:rPr>
          <w:spacing w:val="1"/>
        </w:rPr>
        <w:t> </w:t>
      </w:r>
      <w:r>
        <w:rPr/>
        <w:t>crumbling. This marks the boundary between the plastic and the semi-solid states while</w:t>
      </w:r>
      <w:r>
        <w:rPr>
          <w:spacing w:val="1"/>
        </w:rPr>
        <w:t> </w:t>
      </w:r>
      <w:r>
        <w:rPr/>
        <w:t>the plasticity index is the range of water content throughout which a soil exhibits plastic</w:t>
      </w:r>
      <w:r>
        <w:rPr>
          <w:spacing w:val="1"/>
        </w:rPr>
        <w:t> </w:t>
      </w:r>
      <w:r>
        <w:rPr/>
        <w:t>properties.</w:t>
      </w:r>
    </w:p>
    <w:p>
      <w:pPr>
        <w:pStyle w:val="BodyText"/>
        <w:spacing w:line="482" w:lineRule="auto"/>
        <w:ind w:left="445" w:right="671"/>
        <w:jc w:val="both"/>
      </w:pPr>
      <w:r>
        <w:rPr/>
        <w:t>The Atterberg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(liquid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LL and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PL),</w:t>
      </w:r>
      <w:r>
        <w:rPr>
          <w:spacing w:val="1"/>
        </w:rPr>
        <w:t> </w:t>
      </w:r>
      <w:r>
        <w:rPr/>
        <w:t>entail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moisture content which vary with consistency of clay samples from solid state to liquid</w:t>
      </w:r>
      <w:r>
        <w:rPr>
          <w:spacing w:val="1"/>
        </w:rPr>
        <w:t> </w:t>
      </w:r>
      <w:r>
        <w:rPr/>
        <w:t>state.</w:t>
      </w:r>
      <w:r>
        <w:rPr>
          <w:spacing w:val="-7"/>
        </w:rPr>
        <w:t> </w:t>
      </w:r>
      <w:r>
        <w:rPr/>
        <w:t>Three</w:t>
      </w:r>
      <w:r>
        <w:rPr>
          <w:spacing w:val="-2"/>
        </w:rPr>
        <w:t> </w:t>
      </w:r>
      <w:r>
        <w:rPr/>
        <w:t>main</w:t>
      </w:r>
      <w:r>
        <w:rPr>
          <w:spacing w:val="-14"/>
        </w:rPr>
        <w:t> </w:t>
      </w:r>
      <w:r>
        <w:rPr/>
        <w:t>Atterberg‟s</w:t>
      </w:r>
      <w:r>
        <w:rPr>
          <w:spacing w:val="-5"/>
        </w:rPr>
        <w:t> </w:t>
      </w:r>
      <w:r>
        <w:rPr/>
        <w:t>limits</w:t>
      </w:r>
      <w:r>
        <w:rPr>
          <w:spacing w:val="-1"/>
        </w:rPr>
        <w:t> </w:t>
      </w:r>
      <w:r>
        <w:rPr/>
        <w:t>conducted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clay</w:t>
      </w:r>
      <w:r>
        <w:rPr>
          <w:spacing w:val="-9"/>
        </w:rPr>
        <w:t> </w:t>
      </w:r>
      <w:r>
        <w:rPr/>
        <w:t>samples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3"/>
          <w:numId w:val="11"/>
        </w:numPr>
        <w:tabs>
          <w:tab w:pos="1526" w:val="left" w:leader="none"/>
        </w:tabs>
        <w:spacing w:line="480" w:lineRule="auto" w:before="0" w:after="0"/>
        <w:ind w:left="1525" w:right="681" w:hanging="720"/>
        <w:jc w:val="both"/>
        <w:rPr>
          <w:sz w:val="24"/>
        </w:rPr>
      </w:pPr>
      <w:r>
        <w:rPr>
          <w:sz w:val="24"/>
        </w:rPr>
        <w:t>Liquid-limit (LL) – which is the moisture content at which the soil has such</w:t>
      </w:r>
      <w:r>
        <w:rPr>
          <w:spacing w:val="1"/>
          <w:sz w:val="24"/>
        </w:rPr>
        <w:t> </w:t>
      </w:r>
      <w:r>
        <w:rPr>
          <w:sz w:val="24"/>
        </w:rPr>
        <w:t>small shear strength so that it can close a groove of standard width when</w:t>
      </w:r>
      <w:r>
        <w:rPr>
          <w:spacing w:val="1"/>
          <w:sz w:val="24"/>
        </w:rPr>
        <w:t> </w:t>
      </w:r>
      <w:r>
        <w:rPr>
          <w:sz w:val="24"/>
        </w:rPr>
        <w:t>stirred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2"/>
          <w:sz w:val="24"/>
        </w:rPr>
        <w:t> </w:t>
      </w:r>
      <w:r>
        <w:rPr>
          <w:sz w:val="24"/>
        </w:rPr>
        <w:t>specified</w:t>
      </w:r>
      <w:r>
        <w:rPr>
          <w:spacing w:val="-1"/>
          <w:sz w:val="24"/>
        </w:rPr>
        <w:t> </w:t>
      </w:r>
      <w:r>
        <w:rPr>
          <w:sz w:val="24"/>
        </w:rPr>
        <w:t>manner.</w:t>
      </w:r>
    </w:p>
    <w:p>
      <w:pPr>
        <w:pStyle w:val="ListParagraph"/>
        <w:numPr>
          <w:ilvl w:val="3"/>
          <w:numId w:val="11"/>
        </w:numPr>
        <w:tabs>
          <w:tab w:pos="1526" w:val="left" w:leader="none"/>
        </w:tabs>
        <w:spacing w:line="480" w:lineRule="auto" w:before="0" w:after="0"/>
        <w:ind w:left="1525" w:right="683" w:hanging="720"/>
        <w:jc w:val="both"/>
        <w:rPr>
          <w:sz w:val="24"/>
        </w:rPr>
      </w:pPr>
      <w:r>
        <w:rPr>
          <w:sz w:val="24"/>
        </w:rPr>
        <w:t>Plastic limit (PL) –</w:t>
      </w:r>
      <w:r>
        <w:rPr>
          <w:spacing w:val="1"/>
          <w:sz w:val="24"/>
        </w:rPr>
        <w:t> </w:t>
      </w:r>
      <w:r>
        <w:rPr>
          <w:sz w:val="24"/>
        </w:rPr>
        <w:t>which is the water content at which the soil rolled into a</w:t>
      </w:r>
      <w:r>
        <w:rPr>
          <w:spacing w:val="1"/>
          <w:sz w:val="24"/>
        </w:rPr>
        <w:t> </w:t>
      </w:r>
      <w:r>
        <w:rPr>
          <w:sz w:val="24"/>
        </w:rPr>
        <w:t>thread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specified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crumbles</w:t>
      </w:r>
      <w:r>
        <w:rPr>
          <w:spacing w:val="-1"/>
          <w:sz w:val="24"/>
        </w:rPr>
        <w:t> </w:t>
      </w:r>
      <w:r>
        <w:rPr>
          <w:sz w:val="24"/>
        </w:rPr>
        <w:t>(a specified size of</w:t>
      </w:r>
      <w:r>
        <w:rPr>
          <w:spacing w:val="-1"/>
          <w:sz w:val="24"/>
        </w:rPr>
        <w:t> </w:t>
      </w:r>
      <w:r>
        <w:rPr>
          <w:sz w:val="24"/>
        </w:rPr>
        <w:t>3mm diameter)</w:t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0" w:after="0"/>
        <w:ind w:left="1525" w:right="0" w:hanging="721"/>
        <w:jc w:val="both"/>
        <w:rPr>
          <w:sz w:val="24"/>
        </w:rPr>
      </w:pPr>
      <w:r>
        <w:rPr>
          <w:sz w:val="24"/>
        </w:rPr>
        <w:t>Plasticity</w:t>
      </w:r>
      <w:r>
        <w:rPr>
          <w:spacing w:val="-12"/>
          <w:sz w:val="24"/>
        </w:rPr>
        <w:t> </w:t>
      </w:r>
      <w:r>
        <w:rPr>
          <w:sz w:val="24"/>
        </w:rPr>
        <w:t>index</w:t>
      </w:r>
      <w:r>
        <w:rPr>
          <w:spacing w:val="2"/>
          <w:sz w:val="24"/>
        </w:rPr>
        <w:t> </w:t>
      </w:r>
      <w:r>
        <w:rPr>
          <w:sz w:val="24"/>
        </w:rPr>
        <w:t>(PI</w:t>
      </w:r>
      <w:r>
        <w:rPr>
          <w:spacing w:val="-3"/>
          <w:sz w:val="24"/>
        </w:rPr>
        <w:t> </w:t>
      </w:r>
      <w:r>
        <w:rPr>
          <w:sz w:val="24"/>
        </w:rPr>
        <w:t>Plasticity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240" w:lineRule="auto" w:before="0" w:after="0"/>
        <w:ind w:left="1525" w:right="0" w:hanging="721"/>
        <w:jc w:val="both"/>
        <w:rPr>
          <w:sz w:val="24"/>
        </w:rPr>
      </w:pPr>
      <w:r>
        <w:rPr>
          <w:sz w:val="24"/>
        </w:rPr>
        <w:t>index</w:t>
      </w:r>
      <w:r>
        <w:rPr>
          <w:spacing w:val="-1"/>
          <w:sz w:val="24"/>
        </w:rPr>
        <w:t> </w:t>
      </w:r>
      <w:r>
        <w:rPr>
          <w:sz w:val="24"/>
        </w:rPr>
        <w:t>(PI</w:t>
      </w:r>
      <w:r>
        <w:rPr>
          <w:spacing w:val="-7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LL–PL) was</w:t>
      </w:r>
      <w:r>
        <w:rPr>
          <w:spacing w:val="1"/>
          <w:sz w:val="24"/>
        </w:rPr>
        <w:t> </w:t>
      </w:r>
      <w:r>
        <w:rPr>
          <w:sz w:val="24"/>
        </w:rPr>
        <w:t>calculated 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difference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480" w:lineRule="auto" w:before="0" w:after="0"/>
        <w:ind w:left="1525" w:right="670" w:hanging="720"/>
        <w:jc w:val="both"/>
        <w:rPr>
          <w:sz w:val="24"/>
        </w:rPr>
      </w:pP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limit</w:t>
      </w:r>
      <w:r>
        <w:rPr>
          <w:spacing w:val="1"/>
          <w:sz w:val="24"/>
        </w:rPr>
        <w:t> </w:t>
      </w:r>
      <w:r>
        <w:rPr>
          <w:sz w:val="24"/>
        </w:rPr>
        <w:t>(LL)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plastic</w:t>
      </w:r>
      <w:r>
        <w:rPr>
          <w:spacing w:val="1"/>
          <w:sz w:val="24"/>
        </w:rPr>
        <w:t> </w:t>
      </w:r>
      <w:r>
        <w:rPr>
          <w:sz w:val="24"/>
        </w:rPr>
        <w:t>limit</w:t>
      </w:r>
      <w:r>
        <w:rPr>
          <w:spacing w:val="1"/>
          <w:sz w:val="24"/>
        </w:rPr>
        <w:t> </w:t>
      </w:r>
      <w:r>
        <w:rPr>
          <w:sz w:val="24"/>
        </w:rPr>
        <w:t>(PL)=</w:t>
      </w:r>
      <w:r>
        <w:rPr>
          <w:spacing w:val="1"/>
          <w:sz w:val="24"/>
        </w:rPr>
        <w:t> </w:t>
      </w:r>
      <w:r>
        <w:rPr>
          <w:sz w:val="24"/>
        </w:rPr>
        <w:t>LL–PL)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calculated</w:t>
      </w:r>
      <w:r>
        <w:rPr>
          <w:spacing w:val="46"/>
          <w:sz w:val="24"/>
        </w:rPr>
        <w:t> </w:t>
      </w:r>
      <w:r>
        <w:rPr>
          <w:sz w:val="24"/>
        </w:rPr>
        <w:t>as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difference</w:t>
      </w:r>
      <w:r>
        <w:rPr>
          <w:spacing w:val="41"/>
          <w:sz w:val="24"/>
        </w:rPr>
        <w:t> </w:t>
      </w:r>
      <w:r>
        <w:rPr>
          <w:sz w:val="24"/>
        </w:rPr>
        <w:t>between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liquid</w:t>
      </w:r>
      <w:r>
        <w:rPr>
          <w:spacing w:val="45"/>
          <w:sz w:val="24"/>
        </w:rPr>
        <w:t> </w:t>
      </w:r>
      <w:r>
        <w:rPr>
          <w:sz w:val="24"/>
        </w:rPr>
        <w:t>limit</w:t>
      </w:r>
      <w:r>
        <w:rPr>
          <w:spacing w:val="45"/>
          <w:sz w:val="24"/>
        </w:rPr>
        <w:t> </w:t>
      </w:r>
      <w:r>
        <w:rPr>
          <w:sz w:val="24"/>
        </w:rPr>
        <w:t>(LL)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plastic</w:t>
      </w:r>
      <w:r>
        <w:rPr>
          <w:spacing w:val="-57"/>
          <w:sz w:val="24"/>
        </w:rPr>
        <w:t> </w:t>
      </w:r>
      <w:r>
        <w:rPr>
          <w:sz w:val="24"/>
        </w:rPr>
        <w:t>limit</w:t>
      </w:r>
      <w:r>
        <w:rPr>
          <w:spacing w:val="-1"/>
          <w:sz w:val="24"/>
        </w:rPr>
        <w:t> </w:t>
      </w:r>
      <w:r>
        <w:rPr>
          <w:sz w:val="24"/>
        </w:rPr>
        <w:t>(PL)</w:t>
      </w:r>
    </w:p>
    <w:p>
      <w:pPr>
        <w:pStyle w:val="ListParagraph"/>
        <w:numPr>
          <w:ilvl w:val="0"/>
          <w:numId w:val="12"/>
        </w:numPr>
        <w:tabs>
          <w:tab w:pos="1526" w:val="left" w:leader="none"/>
        </w:tabs>
        <w:spacing w:line="480" w:lineRule="auto" w:before="0" w:after="0"/>
        <w:ind w:left="1525" w:right="675" w:hanging="720"/>
        <w:jc w:val="both"/>
        <w:rPr>
          <w:sz w:val="24"/>
        </w:rPr>
      </w:pPr>
      <w:r>
        <w:rPr>
          <w:sz w:val="24"/>
        </w:rPr>
        <w:t>Shrinkage limit- which is the water content that is just sufficient to fill the</w:t>
      </w:r>
      <w:r>
        <w:rPr>
          <w:spacing w:val="1"/>
          <w:sz w:val="24"/>
        </w:rPr>
        <w:t> </w:t>
      </w:r>
      <w:r>
        <w:rPr>
          <w:sz w:val="24"/>
        </w:rPr>
        <w:t>pores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soil</w:t>
      </w:r>
      <w:r>
        <w:rPr>
          <w:spacing w:val="-1"/>
          <w:sz w:val="24"/>
        </w:rPr>
        <w:t> </w:t>
      </w:r>
      <w:r>
        <w:rPr>
          <w:sz w:val="24"/>
        </w:rPr>
        <w:t>when the</w:t>
      </w:r>
      <w:r>
        <w:rPr>
          <w:spacing w:val="-2"/>
          <w:sz w:val="24"/>
        </w:rPr>
        <w:t> </w:t>
      </w:r>
      <w:r>
        <w:rPr>
          <w:sz w:val="24"/>
        </w:rPr>
        <w:t>soil is</w:t>
      </w:r>
      <w:r>
        <w:rPr>
          <w:spacing w:val="1"/>
          <w:sz w:val="24"/>
        </w:rPr>
        <w:t> </w:t>
      </w:r>
      <w:r>
        <w:rPr>
          <w:sz w:val="24"/>
        </w:rPr>
        <w:t>at the</w:t>
      </w:r>
      <w:r>
        <w:rPr>
          <w:spacing w:val="-2"/>
          <w:sz w:val="24"/>
        </w:rPr>
        <w:t> </w:t>
      </w:r>
      <w:r>
        <w:rPr>
          <w:sz w:val="24"/>
        </w:rPr>
        <w:t>minimum</w:t>
      </w:r>
      <w:r>
        <w:rPr>
          <w:spacing w:val="-2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after drying.</w:t>
      </w:r>
    </w:p>
    <w:p>
      <w:pPr>
        <w:pStyle w:val="Heading1"/>
        <w:numPr>
          <w:ilvl w:val="2"/>
          <w:numId w:val="11"/>
        </w:numPr>
        <w:tabs>
          <w:tab w:pos="1166" w:val="left" w:leader="none"/>
        </w:tabs>
        <w:spacing w:line="240" w:lineRule="auto" w:before="8" w:after="0"/>
        <w:ind w:left="1165" w:right="0" w:hanging="721"/>
        <w:jc w:val="both"/>
      </w:pPr>
      <w:bookmarkStart w:name="_TOC_250010" w:id="35"/>
      <w:r>
        <w:rPr/>
        <w:t>Shrinkage</w:t>
      </w:r>
      <w:r>
        <w:rPr>
          <w:spacing w:val="-5"/>
        </w:rPr>
        <w:t> </w:t>
      </w:r>
      <w:r>
        <w:rPr/>
        <w:t>limit</w:t>
      </w:r>
      <w:r>
        <w:rPr>
          <w:spacing w:val="-5"/>
        </w:rPr>
        <w:t> </w:t>
      </w:r>
      <w:bookmarkEnd w:id="35"/>
      <w:r>
        <w:rPr/>
        <w:t>test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76"/>
        <w:jc w:val="both"/>
      </w:pPr>
      <w:r>
        <w:rPr/>
        <w:t>For the shrinkage tests, between 10 and 20gm samples were made into pellets and fired</w:t>
      </w:r>
      <w:r>
        <w:rPr>
          <w:spacing w:val="1"/>
        </w:rPr>
        <w:t> </w:t>
      </w:r>
      <w:r>
        <w:rPr/>
        <w:t>at 950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52"/>
        </w:rPr>
        <w:t> </w:t>
      </w:r>
      <w:r>
        <w:rPr/>
        <w:t>- 1100</w:t>
      </w:r>
      <w:r>
        <w:rPr>
          <w:rFonts w:ascii="Cambria Math" w:hAnsi="Cambria Math"/>
        </w:rPr>
        <w:t>℃</w:t>
      </w:r>
      <w:r>
        <w:rPr>
          <w:rFonts w:ascii="Cambria Math" w:hAnsi="Cambria Math"/>
          <w:spacing w:val="53"/>
        </w:rPr>
        <w:t> </w:t>
      </w:r>
      <w:r>
        <w:rPr/>
        <w:t>in a furnace. After four hours the furnace was allowed to cool down</w:t>
      </w:r>
      <w:r>
        <w:rPr>
          <w:spacing w:val="1"/>
        </w:rPr>
        <w:t> </w:t>
      </w:r>
      <w:r>
        <w:rPr/>
        <w:t>to room temperature and the diameter of the fire pellets were measured. The difference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dry</w:t>
      </w:r>
      <w:r>
        <w:rPr>
          <w:spacing w:val="-8"/>
        </w:rPr>
        <w:t> </w:t>
      </w:r>
      <w:r>
        <w:rPr/>
        <w:t>and</w:t>
      </w:r>
      <w:r>
        <w:rPr>
          <w:spacing w:val="-1"/>
        </w:rPr>
        <w:t> </w:t>
      </w:r>
      <w:r>
        <w:rPr/>
        <w:t>fired</w:t>
      </w:r>
      <w:r>
        <w:rPr>
          <w:spacing w:val="2"/>
        </w:rPr>
        <w:t> </w:t>
      </w:r>
      <w:r>
        <w:rPr/>
        <w:t>diameters</w:t>
      </w:r>
      <w:r>
        <w:rPr>
          <w:spacing w:val="-1"/>
        </w:rPr>
        <w:t> </w:t>
      </w:r>
      <w:r>
        <w:rPr/>
        <w:t>of the pellets</w:t>
      </w:r>
      <w:r>
        <w:rPr>
          <w:spacing w:val="2"/>
        </w:rPr>
        <w:t> </w:t>
      </w:r>
      <w:r>
        <w:rPr/>
        <w:t>gave</w:t>
      </w:r>
      <w:r>
        <w:rPr>
          <w:spacing w:val="-2"/>
        </w:rPr>
        <w:t> </w:t>
      </w:r>
      <w:r>
        <w:rPr/>
        <w:t>the percentage</w:t>
      </w:r>
      <w:r>
        <w:rPr>
          <w:spacing w:val="1"/>
        </w:rPr>
        <w:t> </w:t>
      </w:r>
      <w:r>
        <w:rPr/>
        <w:t>shrinkage.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before="1"/>
        <w:ind w:left="49" w:right="275"/>
        <w:jc w:val="center"/>
      </w:pPr>
      <w:r>
        <w:rPr/>
        <w:t>35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numPr>
          <w:ilvl w:val="2"/>
          <w:numId w:val="11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r>
        <w:rPr/>
        <w:t>X-Ray</w:t>
      </w:r>
      <w:r>
        <w:rPr>
          <w:spacing w:val="-5"/>
        </w:rPr>
        <w:t> </w:t>
      </w:r>
      <w:r>
        <w:rPr/>
        <w:t>diffraction analysis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73"/>
        <w:jc w:val="both"/>
      </w:pPr>
      <w:r>
        <w:rPr/>
        <w:t>Four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constructive interference of monochromatic X-rays and a crystalline sample. These X-</w:t>
      </w:r>
      <w:r>
        <w:rPr>
          <w:spacing w:val="1"/>
        </w:rPr>
        <w:t> </w:t>
      </w:r>
      <w:r>
        <w:rPr/>
        <w:t>rays are generated by a cathode ray tube, filtered to produce monochromatic radiation,</w:t>
      </w:r>
      <w:r>
        <w:rPr>
          <w:spacing w:val="1"/>
        </w:rPr>
        <w:t> </w:t>
      </w:r>
      <w:r>
        <w:rPr/>
        <w:t>collimated</w:t>
      </w:r>
      <w:r>
        <w:rPr>
          <w:spacing w:val="-1"/>
        </w:rPr>
        <w:t> </w:t>
      </w:r>
      <w:r>
        <w:rPr/>
        <w:t>to concentrate, and directed toward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sample.</w:t>
      </w:r>
    </w:p>
    <w:p>
      <w:pPr>
        <w:pStyle w:val="BodyText"/>
        <w:spacing w:line="480" w:lineRule="auto"/>
        <w:ind w:left="445" w:right="674"/>
        <w:jc w:val="both"/>
      </w:pPr>
      <w:r>
        <w:rPr/>
        <w:t>The interaction of the incident rays with the sample produces constructive interference</w:t>
      </w:r>
      <w:r>
        <w:rPr>
          <w:spacing w:val="1"/>
        </w:rPr>
        <w:t> </w:t>
      </w:r>
      <w:r>
        <w:rPr/>
        <w:t>(and a diffracted ray) when conditions satisfy Bragg's Law (</w:t>
      </w:r>
      <w:r>
        <w:rPr>
          <w:i/>
        </w:rPr>
        <w:t>n</w:t>
      </w:r>
      <w:r>
        <w:rPr/>
        <w:t>λ=2</w:t>
      </w:r>
      <w:r>
        <w:rPr>
          <w:i/>
        </w:rPr>
        <w:t>d </w:t>
      </w:r>
      <w:r>
        <w:rPr/>
        <w:t>sin θ). This law</w:t>
      </w:r>
      <w:r>
        <w:rPr>
          <w:spacing w:val="1"/>
        </w:rPr>
        <w:t> </w:t>
      </w:r>
      <w:r>
        <w:rPr/>
        <w:t>relates the wavelength</w:t>
      </w:r>
      <w:r>
        <w:rPr>
          <w:spacing w:val="1"/>
        </w:rPr>
        <w:t> </w:t>
      </w:r>
      <w:r>
        <w:rPr/>
        <w:t>of electromagnetic radiation to the diffraction angle and the</w:t>
      </w:r>
      <w:r>
        <w:rPr>
          <w:spacing w:val="1"/>
        </w:rPr>
        <w:t> </w:t>
      </w:r>
      <w:r>
        <w:rPr/>
        <w:t>lattice</w:t>
      </w:r>
      <w:r>
        <w:rPr>
          <w:spacing w:val="1"/>
        </w:rPr>
        <w:t> </w:t>
      </w:r>
      <w:r>
        <w:rPr/>
        <w:t>spacing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diffracted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detected,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counted.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2θangles,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directions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lattice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random</w:t>
      </w:r>
      <w:r>
        <w:rPr>
          <w:spacing w:val="-57"/>
        </w:rPr>
        <w:t> </w:t>
      </w:r>
      <w:r>
        <w:rPr/>
        <w:t>orientation of the powdered material. Conversion of the diffraction peaks to d-spacing</w:t>
      </w:r>
      <w:r>
        <w:rPr>
          <w:spacing w:val="1"/>
        </w:rPr>
        <w:t> </w:t>
      </w:r>
      <w:r>
        <w:rPr/>
        <w:t>allows identification of the mineral because each mineral has a set of unique d-spacing.</w:t>
      </w:r>
      <w:r>
        <w:rPr>
          <w:spacing w:val="1"/>
        </w:rPr>
        <w:t> </w:t>
      </w:r>
      <w:r>
        <w:rPr/>
        <w:t>Typically, this is achieved by comparison of d-spacing with standard reference patterns.</w:t>
      </w:r>
      <w:r>
        <w:rPr>
          <w:spacing w:val="1"/>
        </w:rPr>
        <w:t> </w:t>
      </w:r>
      <w:r>
        <w:rPr/>
        <w:t>The samples collected from the field were pulverized to</w:t>
      </w:r>
      <w:r>
        <w:rPr>
          <w:spacing w:val="60"/>
        </w:rPr>
        <w:t> </w:t>
      </w:r>
      <w:r>
        <w:rPr/>
        <w:t>-75μm, mounted on a glass</w:t>
      </w:r>
      <w:r>
        <w:rPr>
          <w:spacing w:val="1"/>
        </w:rPr>
        <w:t> </w:t>
      </w:r>
      <w:r>
        <w:rPr/>
        <w:t>slide and bombarded with X-rays. The X-rays are diffracted by planes of atoms in the</w:t>
      </w:r>
      <w:r>
        <w:rPr>
          <w:spacing w:val="1"/>
        </w:rPr>
        <w:t> </w:t>
      </w:r>
      <w:r>
        <w:rPr/>
        <w:t>crystal structure and patterns were produced. The diffraction patterns were recorded at</w:t>
      </w:r>
      <w:r>
        <w:rPr>
          <w:spacing w:val="1"/>
        </w:rPr>
        <w:t> </w:t>
      </w:r>
      <w:r>
        <w:rPr/>
        <w:t>scan range of 1-75 degree with a K-alpha 1 and K-alpha 2 radiations. The test was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at the Nigeria</w:t>
      </w:r>
      <w:r>
        <w:rPr>
          <w:spacing w:val="3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Survey</w:t>
      </w:r>
      <w:r>
        <w:rPr>
          <w:spacing w:val="-11"/>
        </w:rPr>
        <w:t> </w:t>
      </w:r>
      <w:r>
        <w:rPr/>
        <w:t>Research</w:t>
      </w:r>
      <w:r>
        <w:rPr>
          <w:spacing w:val="4"/>
        </w:rPr>
        <w:t> </w:t>
      </w:r>
      <w:r>
        <w:rPr/>
        <w:t>Laboratory,</w:t>
      </w:r>
      <w:r>
        <w:rPr>
          <w:spacing w:val="1"/>
        </w:rPr>
        <w:t> </w:t>
      </w:r>
      <w:r>
        <w:rPr/>
        <w:t>Kaduna.</w:t>
      </w:r>
    </w:p>
    <w:p>
      <w:pPr>
        <w:pStyle w:val="Heading1"/>
        <w:numPr>
          <w:ilvl w:val="2"/>
          <w:numId w:val="11"/>
        </w:numPr>
        <w:tabs>
          <w:tab w:pos="1166" w:val="left" w:leader="none"/>
        </w:tabs>
        <w:spacing w:line="240" w:lineRule="auto" w:before="12" w:after="0"/>
        <w:ind w:left="1165" w:right="0" w:hanging="721"/>
        <w:jc w:val="both"/>
      </w:pPr>
      <w:r>
        <w:rPr/>
        <w:t>X-Ray</w:t>
      </w:r>
      <w:r>
        <w:rPr>
          <w:spacing w:val="-5"/>
        </w:rPr>
        <w:t> </w:t>
      </w:r>
      <w:r>
        <w:rPr/>
        <w:t>fluorescence</w:t>
      </w:r>
      <w:r>
        <w:rPr>
          <w:spacing w:val="-4"/>
        </w:rPr>
        <w:t> </w:t>
      </w:r>
      <w:r>
        <w:rPr/>
        <w:t>analysis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445" w:right="667"/>
        <w:jc w:val="both"/>
      </w:pPr>
      <w:r>
        <w:rPr/>
        <w:t>Eleven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X-Ray</w:t>
      </w:r>
      <w:r>
        <w:rPr>
          <w:spacing w:val="1"/>
        </w:rPr>
        <w:t> </w:t>
      </w:r>
      <w:r>
        <w:rPr/>
        <w:t>Fluorescence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atoms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constituted mineral phases of the geomaterial, when they interact with radiation. When</w:t>
      </w:r>
      <w:r>
        <w:rPr>
          <w:spacing w:val="1"/>
        </w:rPr>
        <w:t> </w:t>
      </w:r>
      <w:r>
        <w:rPr/>
        <w:t>materials are excited with high-energy and</w:t>
      </w:r>
      <w:r>
        <w:rPr>
          <w:spacing w:val="1"/>
        </w:rPr>
        <w:t> </w:t>
      </w:r>
      <w:r>
        <w:rPr/>
        <w:t>short wavelength</w:t>
      </w:r>
      <w:r>
        <w:rPr>
          <w:spacing w:val="60"/>
        </w:rPr>
        <w:t> </w:t>
      </w:r>
      <w:r>
        <w:rPr/>
        <w:t>radiation (X-rays), they</w:t>
      </w:r>
      <w:r>
        <w:rPr>
          <w:spacing w:val="1"/>
        </w:rPr>
        <w:t> </w:t>
      </w:r>
      <w:r>
        <w:rPr/>
        <w:t>can</w:t>
      </w:r>
      <w:r>
        <w:rPr>
          <w:spacing w:val="3"/>
        </w:rPr>
        <w:t> </w:t>
      </w:r>
      <w:r>
        <w:rPr/>
        <w:t>become</w:t>
      </w:r>
      <w:r>
        <w:rPr>
          <w:spacing w:val="3"/>
        </w:rPr>
        <w:t> </w:t>
      </w:r>
      <w:r>
        <w:rPr/>
        <w:t>ionized.</w:t>
      </w:r>
      <w:r>
        <w:rPr>
          <w:spacing w:val="8"/>
        </w:rPr>
        <w:t> </w:t>
      </w:r>
      <w:r>
        <w:rPr/>
        <w:t>If</w:t>
      </w:r>
      <w:r>
        <w:rPr>
          <w:spacing w:val="1"/>
        </w:rPr>
        <w:t> </w:t>
      </w:r>
      <w:r>
        <w:rPr/>
        <w:t>the energy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radiation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sufficient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dislodge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tightly-held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49" w:right="275"/>
        <w:jc w:val="center"/>
      </w:pPr>
      <w:r>
        <w:rPr/>
        <w:t>36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77" w:lineRule="auto" w:before="64"/>
        <w:ind w:left="445" w:right="679"/>
        <w:jc w:val="both"/>
      </w:pPr>
      <w:r>
        <w:rPr/>
        <w:t>inner electron, the atom becomes unstable and an outer electron replaces the missing</w:t>
      </w:r>
      <w:r>
        <w:rPr>
          <w:spacing w:val="1"/>
        </w:rPr>
        <w:t> </w:t>
      </w:r>
      <w:r>
        <w:rPr/>
        <w:t>inner</w:t>
      </w:r>
      <w:r>
        <w:rPr>
          <w:spacing w:val="-2"/>
        </w:rPr>
        <w:t> </w:t>
      </w:r>
      <w:r>
        <w:rPr/>
        <w:t>electron.</w:t>
      </w:r>
    </w:p>
    <w:p>
      <w:pPr>
        <w:pStyle w:val="BodyText"/>
        <w:spacing w:line="480" w:lineRule="auto" w:before="4"/>
        <w:ind w:left="445" w:right="672"/>
        <w:jc w:val="both"/>
      </w:pPr>
      <w:r>
        <w:rPr/>
        <w:t>When this happens, energy is released due to the decreased binding energy of the inner</w:t>
      </w:r>
      <w:r>
        <w:rPr>
          <w:spacing w:val="1"/>
        </w:rPr>
        <w:t> </w:t>
      </w:r>
      <w:r>
        <w:rPr/>
        <w:t>electron orbital compared with an outer one. The emitted radiation is of lower energy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 incident</w:t>
      </w:r>
      <w:r>
        <w:rPr>
          <w:spacing w:val="1"/>
        </w:rPr>
        <w:t> </w:t>
      </w:r>
      <w:r>
        <w:rPr/>
        <w:t>X-rays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fluorescent</w:t>
      </w:r>
      <w:r>
        <w:rPr>
          <w:spacing w:val="1"/>
        </w:rPr>
        <w:t> </w:t>
      </w:r>
      <w:r>
        <w:rPr/>
        <w:t>radiation.</w:t>
      </w:r>
      <w:r>
        <w:rPr>
          <w:spacing w:val="60"/>
        </w:rPr>
        <w:t> </w:t>
      </w:r>
      <w:r>
        <w:rPr/>
        <w:t>Because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 of the emitted photon is characteristic of a transition between specific electron</w:t>
      </w:r>
      <w:r>
        <w:rPr>
          <w:spacing w:val="1"/>
        </w:rPr>
        <w:t> </w:t>
      </w:r>
      <w:r>
        <w:rPr/>
        <w:t>orbital in a particular element, the resulting fluorescent X-rays can be used to detect the</w:t>
      </w:r>
      <w:r>
        <w:rPr>
          <w:spacing w:val="1"/>
        </w:rPr>
        <w:t> </w:t>
      </w:r>
      <w:r>
        <w:rPr/>
        <w:t>abundances of elements that are present in the sample. One gram of pulverized rock</w:t>
      </w:r>
      <w:r>
        <w:rPr>
          <w:spacing w:val="1"/>
        </w:rPr>
        <w:t> </w:t>
      </w:r>
      <w:r>
        <w:rPr/>
        <w:t>samples were mixed with four grams of the flux lithium tetraborate acid and introduced</w:t>
      </w:r>
      <w:r>
        <w:rPr>
          <w:spacing w:val="1"/>
        </w:rPr>
        <w:t> </w:t>
      </w:r>
      <w:r>
        <w:rPr/>
        <w:t>in to the crucible. A bead was produced after heating to about 200</w:t>
      </w:r>
      <w:r>
        <w:rPr>
          <w:rFonts w:ascii="Symbol" w:hAnsi="Symbol"/>
        </w:rPr>
        <w:t></w:t>
      </w:r>
      <w:r>
        <w:rPr/>
        <w:t>C. The bead was</w:t>
      </w:r>
      <w:r>
        <w:rPr>
          <w:spacing w:val="1"/>
        </w:rPr>
        <w:t> </w:t>
      </w:r>
      <w:r>
        <w:rPr/>
        <w:t>introduced into the sample cup and was carefully placed on the sample charger of</w:t>
      </w:r>
      <w:r>
        <w:rPr>
          <w:spacing w:val="1"/>
        </w:rPr>
        <w:t> </w:t>
      </w:r>
      <w:r>
        <w:rPr/>
        <w:t>Energy Dispersive X-ray Fluorescence machine. The test was carried out at the Nigeria</w:t>
      </w:r>
      <w:r>
        <w:rPr>
          <w:spacing w:val="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Survey</w:t>
      </w:r>
      <w:r>
        <w:rPr>
          <w:spacing w:val="-10"/>
        </w:rPr>
        <w:t> </w:t>
      </w:r>
      <w:r>
        <w:rPr/>
        <w:t>Research</w:t>
      </w:r>
      <w:r>
        <w:rPr>
          <w:spacing w:val="4"/>
        </w:rPr>
        <w:t> </w:t>
      </w:r>
      <w:r>
        <w:rPr/>
        <w:t>Laboratory,</w:t>
      </w:r>
      <w:r>
        <w:rPr>
          <w:spacing w:val="2"/>
        </w:rPr>
        <w:t> </w:t>
      </w:r>
      <w:r>
        <w:rPr/>
        <w:t>Kaduna.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49" w:right="275"/>
        <w:jc w:val="center"/>
      </w:pPr>
      <w:r>
        <w:rPr/>
        <w:t>37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Heading1"/>
        <w:ind w:left="655" w:right="275" w:firstLine="0"/>
        <w:jc w:val="center"/>
      </w:pPr>
      <w:bookmarkStart w:name="_TOC_250009" w:id="36"/>
      <w:r>
        <w:rPr/>
        <w:t>CHAPTER</w:t>
      </w:r>
      <w:r>
        <w:rPr>
          <w:spacing w:val="-3"/>
        </w:rPr>
        <w:t> </w:t>
      </w:r>
      <w:bookmarkEnd w:id="36"/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3325" w:val="left" w:leader="none"/>
          <w:tab w:pos="3326" w:val="left" w:leader="none"/>
        </w:tabs>
        <w:spacing w:line="240" w:lineRule="auto" w:before="0" w:after="0"/>
        <w:ind w:left="3325" w:right="0" w:hanging="288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1225" w:val="left" w:leader="none"/>
          <w:tab w:pos="1226" w:val="left" w:leader="none"/>
        </w:tabs>
        <w:spacing w:line="240" w:lineRule="auto" w:before="1" w:after="0"/>
        <w:ind w:left="1225" w:right="0" w:hanging="781"/>
        <w:jc w:val="left"/>
      </w:pPr>
      <w:bookmarkStart w:name="_TOC_250008" w:id="37"/>
      <w:r>
        <w:rPr/>
        <w:t>Field</w:t>
      </w:r>
      <w:r>
        <w:rPr>
          <w:spacing w:val="-3"/>
        </w:rPr>
        <w:t> </w:t>
      </w:r>
      <w:bookmarkEnd w:id="37"/>
      <w:r>
        <w:rPr/>
        <w:t>Relationship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2" w:lineRule="auto" w:before="1"/>
        <w:ind w:left="445" w:right="672"/>
        <w:jc w:val="both"/>
      </w:pPr>
      <w:r>
        <w:rPr/>
        <w:t>Two hills were observed to contain clay within the study area and were noted location</w:t>
      </w:r>
      <w:r>
        <w:rPr>
          <w:spacing w:val="1"/>
        </w:rPr>
        <w:t> </w:t>
      </w:r>
      <w:r>
        <w:rPr/>
        <w:t>KTG1 and location KTG2. Location KTG1 is located on a hill that contains two beds of</w:t>
      </w:r>
      <w:r>
        <w:rPr>
          <w:spacing w:val="1"/>
        </w:rPr>
        <w:t> </w:t>
      </w:r>
      <w:r>
        <w:rPr/>
        <w:t>clay exposed by erosion, with varying heights and distance from each other. The hill is</w:t>
      </w:r>
      <w:r>
        <w:rPr>
          <w:spacing w:val="1"/>
        </w:rPr>
        <w:t> </w:t>
      </w:r>
      <w:r>
        <w:rPr/>
        <w:t>steep and has very poor vegetation covers. The first bed at the base of the unit contains</w:t>
      </w:r>
      <w:r>
        <w:rPr>
          <w:spacing w:val="1"/>
        </w:rPr>
        <w:t> </w:t>
      </w:r>
      <w:r>
        <w:rPr/>
        <w:t>clay that ranges between 1m to about 2.5m thickness and is overlain by laterite of about</w:t>
      </w:r>
      <w:r>
        <w:rPr>
          <w:spacing w:val="1"/>
        </w:rPr>
        <w:t> </w:t>
      </w:r>
      <w:r>
        <w:rPr/>
        <w:t>1.21m,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capped by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thin layer of ironstone overburden</w:t>
      </w:r>
      <w:r>
        <w:rPr>
          <w:spacing w:val="1"/>
        </w:rPr>
        <w:t> </w:t>
      </w:r>
      <w:r>
        <w:rPr/>
        <w:t>(Plate</w:t>
      </w:r>
      <w:r>
        <w:rPr>
          <w:spacing w:val="3"/>
        </w:rPr>
        <w:t> </w:t>
      </w:r>
      <w:r>
        <w:rPr>
          <w:rFonts w:ascii="Symbol" w:hAnsi="Symbol"/>
        </w:rPr>
        <w:t></w:t>
      </w:r>
      <w:r>
        <w:rPr/>
        <w:t>).</w:t>
      </w:r>
    </w:p>
    <w:p>
      <w:pPr>
        <w:pStyle w:val="BodyText"/>
        <w:ind w:left="475"/>
        <w:rPr>
          <w:sz w:val="20"/>
        </w:rPr>
      </w:pPr>
      <w:r>
        <w:rPr>
          <w:sz w:val="20"/>
        </w:rPr>
        <w:pict>
          <v:group style="width:343.4pt;height:309.7pt;mso-position-horizontal-relative:char;mso-position-vertical-relative:line" coordorigin="0,0" coordsize="6868,6194">
            <v:shape style="position:absolute;left:0;top:0;width:6868;height:6194" type="#_x0000_t75" stroked="false">
              <v:imagedata r:id="rId13" o:title=""/>
            </v:shape>
            <v:shape style="position:absolute;left:3438;top:1533;width:936;height:2997" coordorigin="3438,1533" coordsize="936,2997" path="m3977,4134l3977,4130,3975,4127,3972,4124,3968,4123,3965,4123,3961,4125,3528,4450,3498,4410,3438,4530,3570,4506,3540,4466,3973,4141,3976,4138,3977,4134xm4134,1545l4134,1541,4132,1537,4129,1535,4125,1533,4122,1533,4118,1535,3685,1860,3655,1820,3595,1940,3727,1916,3697,1876,4130,1551,4133,1548,4134,1545xm4374,2694l4374,2691,4372,2687,4369,2684,4365,2683,4362,2683,4358,2685,3925,3010,3895,2970,3835,3090,3967,3066,3937,3026,4370,2701,4373,2698,4374,2694xe" filled="true" fillcolor="#000000" stroked="false">
              <v:path arrowok="t"/>
              <v:fill type="solid"/>
            </v:shape>
            <v:shape style="position:absolute;left:4356;top:1299;width:1196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Iron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Stone</w:t>
                    </w:r>
                  </w:p>
                </w:txbxContent>
              </v:textbox>
              <w10:wrap type="none"/>
            </v:shape>
            <v:shape style="position:absolute;left:4512;top:2521;width:7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Laterite</w:t>
                    </w:r>
                  </w:p>
                </w:txbxContent>
              </v:textbox>
              <w10:wrap type="none"/>
            </v:shape>
            <v:shape style="position:absolute;left:4116;top:3887;width:47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Clay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before="100"/>
        <w:ind w:left="1885" w:right="2813" w:hanging="720"/>
        <w:rPr>
          <w:rFonts w:ascii="Symbol" w:hAnsi="Symbol"/>
        </w:rPr>
      </w:pPr>
      <w:r>
        <w:rPr/>
        <w:t>Plate </w:t>
      </w:r>
      <w:r>
        <w:rPr>
          <w:rFonts w:ascii="Symbol" w:hAnsi="Symbol"/>
        </w:rPr>
        <w:t></w:t>
      </w:r>
      <w:r>
        <w:rPr/>
        <w:t>: Lithological section of clay capped with Iron stone</w:t>
      </w:r>
      <w:r>
        <w:rPr>
          <w:spacing w:val="-57"/>
        </w:rPr>
        <w:t> </w:t>
      </w:r>
      <w:r>
        <w:rPr/>
        <w:t>at KTG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N 009</w:t>
      </w:r>
      <w:r>
        <w:rPr>
          <w:rFonts w:ascii="Symbol" w:hAnsi="Symbol"/>
        </w:rPr>
        <w:t></w:t>
      </w:r>
      <w:r>
        <w:rPr/>
        <w:t> 12</w:t>
      </w:r>
      <w:r>
        <w:rPr>
          <w:rFonts w:ascii="Symbol" w:hAnsi="Symbol"/>
        </w:rPr>
        <w:t></w:t>
      </w:r>
      <w:r>
        <w:rPr>
          <w:spacing w:val="-1"/>
        </w:rPr>
        <w:t> </w:t>
      </w:r>
      <w:r>
        <w:rPr/>
        <w:t>02</w:t>
      </w:r>
      <w:r>
        <w:rPr>
          <w:rFonts w:ascii="Symbol" w:hAnsi="Symbol"/>
        </w:rPr>
        <w:t></w:t>
      </w:r>
      <w:r>
        <w:rPr/>
        <w:t>, E 005</w:t>
      </w:r>
      <w:r>
        <w:rPr>
          <w:rFonts w:ascii="Symbol" w:hAnsi="Symbol"/>
        </w:rPr>
        <w:t></w:t>
      </w:r>
      <w:r>
        <w:rPr/>
        <w:t> 35</w:t>
      </w:r>
      <w:r>
        <w:rPr>
          <w:rFonts w:ascii="Symbol" w:hAnsi="Symbol"/>
        </w:rPr>
        <w:t></w:t>
      </w:r>
      <w:r>
        <w:rPr>
          <w:spacing w:val="-1"/>
        </w:rPr>
        <w:t> </w:t>
      </w:r>
      <w:r>
        <w:rPr/>
        <w:t>22</w:t>
      </w:r>
      <w:r>
        <w:rPr>
          <w:rFonts w:ascii="Symbol" w:hAnsi="Symbol"/>
        </w:rPr>
        <w:t>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8"/>
        <w:rPr>
          <w:rFonts w:ascii="Symbol" w:hAnsi="Symbol"/>
          <w:sz w:val="27"/>
        </w:rPr>
      </w:pPr>
    </w:p>
    <w:p>
      <w:pPr>
        <w:pStyle w:val="BodyText"/>
        <w:spacing w:before="90"/>
        <w:ind w:left="445"/>
      </w:pPr>
      <w:r>
        <w:rPr/>
        <w:t>.</w:t>
      </w:r>
    </w:p>
    <w:p>
      <w:pPr>
        <w:pStyle w:val="BodyText"/>
        <w:spacing w:before="167"/>
        <w:ind w:left="49" w:right="275"/>
        <w:jc w:val="center"/>
      </w:pPr>
      <w:r>
        <w:rPr/>
        <w:t>38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70"/>
        <w:jc w:val="both"/>
      </w:pPr>
      <w:r>
        <w:rPr/>
        <w:t>The second bed of clay occurs at the top with varying distance range of about 1 meter</w:t>
      </w:r>
      <w:r>
        <w:rPr>
          <w:spacing w:val="1"/>
        </w:rPr>
        <w:t> </w:t>
      </w:r>
      <w:r>
        <w:rPr/>
        <w:t>from the first bed of clay. The clay deposit with thickness of about 1.5 to 5.3 meter was</w:t>
      </w:r>
      <w:r>
        <w:rPr>
          <w:spacing w:val="1"/>
        </w:rPr>
        <w:t> </w:t>
      </w:r>
      <w:r>
        <w:rPr/>
        <w:t>observed to be massively exposed due to erosion, and is overlain by a thin layer of</w:t>
      </w:r>
      <w:r>
        <w:rPr>
          <w:spacing w:val="1"/>
        </w:rPr>
        <w:t> </w:t>
      </w:r>
      <w:r>
        <w:rPr/>
        <w:t>Ironstone overburden. Both locations contain clay that feels gritty to touch between</w:t>
      </w:r>
      <w:r>
        <w:rPr>
          <w:spacing w:val="1"/>
        </w:rPr>
        <w:t> </w:t>
      </w:r>
      <w:r>
        <w:rPr/>
        <w:t>fingers in hand specimen and varies from white to brownish white with a reddish stain</w:t>
      </w:r>
      <w:r>
        <w:rPr>
          <w:spacing w:val="1"/>
        </w:rPr>
        <w:t> </w:t>
      </w:r>
      <w:r>
        <w:rPr/>
        <w:t>colouration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as a result of the</w:t>
      </w:r>
      <w:r>
        <w:rPr>
          <w:spacing w:val="-3"/>
        </w:rPr>
        <w:t> </w:t>
      </w:r>
      <w:r>
        <w:rPr/>
        <w:t>ironstone overburden</w:t>
      </w:r>
      <w:r>
        <w:rPr>
          <w:spacing w:val="1"/>
        </w:rPr>
        <w:t> </w:t>
      </w:r>
      <w:r>
        <w:rPr/>
        <w:t>(Plate</w:t>
      </w:r>
      <w:r>
        <w:rPr>
          <w:spacing w:val="-1"/>
        </w:rPr>
        <w:t> </w:t>
      </w:r>
      <w:r>
        <w:rPr>
          <w:rFonts w:ascii="Symbol" w:hAnsi="Symbol"/>
        </w:rPr>
        <w:t>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1260475</wp:posOffset>
            </wp:positionH>
            <wp:positionV relativeFrom="paragraph">
              <wp:posOffset>213872</wp:posOffset>
            </wp:positionV>
            <wp:extent cx="5146839" cy="3381375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839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4"/>
        <w:ind w:left="2605" w:right="2316" w:hanging="1381"/>
        <w:rPr>
          <w:rFonts w:ascii="Symbol" w:hAnsi="Symbol"/>
        </w:rPr>
      </w:pPr>
      <w:r>
        <w:rPr/>
        <w:t>Plate </w:t>
      </w:r>
      <w:r>
        <w:rPr>
          <w:rFonts w:ascii="Symbol" w:hAnsi="Symbol"/>
        </w:rPr>
        <w:t></w:t>
      </w:r>
      <w:r>
        <w:rPr/>
        <w:t>: Exposed massive clay with tinted red colour at KTG 1</w:t>
      </w:r>
      <w:r>
        <w:rPr>
          <w:spacing w:val="-57"/>
        </w:rPr>
        <w:t> </w:t>
      </w:r>
      <w:r>
        <w:rPr/>
        <w:t>N</w:t>
      </w:r>
      <w:r>
        <w:rPr>
          <w:spacing w:val="-1"/>
        </w:rPr>
        <w:t> </w:t>
      </w:r>
      <w:r>
        <w:rPr/>
        <w:t>009</w:t>
      </w:r>
      <w:r>
        <w:rPr>
          <w:rFonts w:ascii="Symbol" w:hAnsi="Symbol"/>
        </w:rPr>
        <w:t></w:t>
      </w:r>
      <w:r>
        <w:rPr/>
        <w:t> 11</w:t>
      </w:r>
      <w:r>
        <w:rPr>
          <w:rFonts w:ascii="Symbol" w:hAnsi="Symbol"/>
        </w:rPr>
        <w:t></w:t>
      </w:r>
      <w:r>
        <w:rPr>
          <w:spacing w:val="-1"/>
        </w:rPr>
        <w:t> </w:t>
      </w:r>
      <w:r>
        <w:rPr/>
        <w:t>55</w:t>
      </w:r>
      <w:r>
        <w:rPr>
          <w:rFonts w:ascii="Symbol" w:hAnsi="Symbol"/>
        </w:rPr>
        <w:t></w:t>
      </w:r>
      <w:r>
        <w:rPr/>
        <w:t>, E 005</w:t>
      </w:r>
      <w:r>
        <w:rPr>
          <w:rFonts w:ascii="Symbol" w:hAnsi="Symbol"/>
        </w:rPr>
        <w:t></w:t>
      </w:r>
      <w:r>
        <w:rPr/>
        <w:t> 35</w:t>
      </w:r>
      <w:r>
        <w:rPr>
          <w:rFonts w:ascii="Symbol" w:hAnsi="Symbol"/>
        </w:rPr>
        <w:t></w:t>
      </w:r>
      <w:r>
        <w:rPr>
          <w:spacing w:val="-1"/>
        </w:rPr>
        <w:t> </w:t>
      </w:r>
      <w:r>
        <w:rPr/>
        <w:t>59</w:t>
      </w:r>
      <w:r>
        <w:rPr>
          <w:rFonts w:ascii="Symbol" w:hAnsi="Symbol"/>
        </w:rPr>
        <w:t></w:t>
      </w: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spacing w:line="480" w:lineRule="auto" w:before="205"/>
        <w:ind w:left="445" w:right="673"/>
        <w:jc w:val="both"/>
      </w:pPr>
      <w:r>
        <w:rPr/>
        <w:t>The lithological section of KTG1 as observed on the field (Figure 4.1) shows medium</w:t>
      </w:r>
      <w:r>
        <w:rPr>
          <w:spacing w:val="1"/>
        </w:rPr>
        <w:t> </w:t>
      </w:r>
      <w:r>
        <w:rPr/>
        <w:t>grain sandstone of about 0.21m and is overlain by intercalation of siltstone – sandstone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claystone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1.5m.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siltstone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claystone</w:t>
      </w:r>
      <w:r>
        <w:rPr>
          <w:spacing w:val="-57"/>
        </w:rPr>
        <w:t> </w:t>
      </w:r>
      <w:r>
        <w:rPr/>
        <w:t>admixture is directly overlain by a massive claystone of about 5.3m in height and is</w:t>
      </w:r>
      <w:r>
        <w:rPr>
          <w:spacing w:val="1"/>
        </w:rPr>
        <w:t> </w:t>
      </w:r>
      <w:r>
        <w:rPr/>
        <w:t>tinted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red</w:t>
      </w:r>
      <w:r>
        <w:rPr>
          <w:spacing w:val="15"/>
        </w:rPr>
        <w:t> </w:t>
      </w:r>
      <w:r>
        <w:rPr/>
        <w:t>stain,</w:t>
      </w:r>
      <w:r>
        <w:rPr>
          <w:spacing w:val="14"/>
        </w:rPr>
        <w:t> </w:t>
      </w:r>
      <w:r>
        <w:rPr/>
        <w:t>overlaying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admixture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siltstone</w:t>
      </w:r>
      <w:r>
        <w:rPr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/>
        <w:t>sandstone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claystone</w:t>
      </w:r>
      <w:r>
        <w:rPr>
          <w:spacing w:val="-57"/>
        </w:rPr>
        <w:t> </w:t>
      </w:r>
      <w:r>
        <w:rPr/>
        <w:t>is</w:t>
      </w:r>
      <w:r>
        <w:rPr>
          <w:spacing w:val="29"/>
        </w:rPr>
        <w:t> </w:t>
      </w:r>
      <w:r>
        <w:rPr/>
        <w:t>an</w:t>
      </w:r>
      <w:r>
        <w:rPr>
          <w:spacing w:val="29"/>
        </w:rPr>
        <w:t> </w:t>
      </w:r>
      <w:r>
        <w:rPr/>
        <w:t>oolitic</w:t>
      </w:r>
      <w:r>
        <w:rPr>
          <w:spacing w:val="29"/>
        </w:rPr>
        <w:t> </w:t>
      </w:r>
      <w:r>
        <w:rPr/>
        <w:t>ironstone</w:t>
      </w:r>
      <w:r>
        <w:rPr>
          <w:spacing w:val="28"/>
        </w:rPr>
        <w:t> </w:t>
      </w:r>
      <w:r>
        <w:rPr/>
        <w:t>overburden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about</w:t>
      </w:r>
      <w:r>
        <w:rPr>
          <w:spacing w:val="31"/>
        </w:rPr>
        <w:t> </w:t>
      </w:r>
      <w:r>
        <w:rPr/>
        <w:t>1.1m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height.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ironstone</w:t>
      </w:r>
      <w:r>
        <w:rPr>
          <w:spacing w:val="29"/>
        </w:rPr>
        <w:t> </w:t>
      </w:r>
      <w:r>
        <w:rPr/>
        <w:t>overburden</w:t>
      </w:r>
    </w:p>
    <w:p>
      <w:pPr>
        <w:pStyle w:val="BodyText"/>
        <w:spacing w:before="200"/>
        <w:ind w:left="49" w:right="275"/>
        <w:jc w:val="center"/>
      </w:pPr>
      <w:r>
        <w:rPr/>
        <w:t>39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77" w:lineRule="auto" w:before="64"/>
        <w:ind w:left="445" w:right="321"/>
      </w:pPr>
      <w:r>
        <w:rPr/>
        <w:t>produce</w:t>
      </w:r>
      <w:r>
        <w:rPr>
          <w:spacing w:val="34"/>
        </w:rPr>
        <w:t> </w:t>
      </w:r>
      <w:r>
        <w:rPr/>
        <w:t>iron-rich</w:t>
      </w:r>
      <w:r>
        <w:rPr>
          <w:spacing w:val="35"/>
        </w:rPr>
        <w:t> </w:t>
      </w:r>
      <w:r>
        <w:rPr/>
        <w:t>percolating</w:t>
      </w:r>
      <w:r>
        <w:rPr>
          <w:spacing w:val="37"/>
        </w:rPr>
        <w:t> </w:t>
      </w:r>
      <w:r>
        <w:rPr/>
        <w:t>water</w:t>
      </w:r>
      <w:r>
        <w:rPr>
          <w:spacing w:val="36"/>
        </w:rPr>
        <w:t> </w:t>
      </w:r>
      <w:r>
        <w:rPr/>
        <w:t>resulting</w:t>
      </w:r>
      <w:r>
        <w:rPr>
          <w:spacing w:val="36"/>
        </w:rPr>
        <w:t> </w:t>
      </w:r>
      <w:r>
        <w:rPr/>
        <w:t>in</w:t>
      </w:r>
      <w:r>
        <w:rPr>
          <w:spacing w:val="40"/>
        </w:rPr>
        <w:t> </w:t>
      </w:r>
      <w:r>
        <w:rPr/>
        <w:t>iron</w:t>
      </w:r>
      <w:r>
        <w:rPr>
          <w:spacing w:val="34"/>
        </w:rPr>
        <w:t> </w:t>
      </w:r>
      <w:r>
        <w:rPr/>
        <w:t>oxide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4"/>
        </w:rPr>
        <w:t> </w:t>
      </w:r>
      <w:r>
        <w:rPr/>
        <w:t>deposited</w:t>
      </w:r>
      <w:r>
        <w:rPr>
          <w:spacing w:val="37"/>
        </w:rPr>
        <w:t> </w:t>
      </w:r>
      <w:r>
        <w:rPr/>
        <w:t>along</w:t>
      </w:r>
      <w:r>
        <w:rPr>
          <w:spacing w:val="36"/>
        </w:rPr>
        <w:t> </w:t>
      </w:r>
      <w:r>
        <w:rPr/>
        <w:t>the</w:t>
      </w:r>
      <w:r>
        <w:rPr>
          <w:spacing w:val="-57"/>
        </w:rPr>
        <w:t> </w:t>
      </w:r>
      <w:r>
        <w:rPr/>
        <w:t>clay</w:t>
      </w:r>
      <w:r>
        <w:rPr>
          <w:spacing w:val="-9"/>
        </w:rPr>
        <w:t> </w:t>
      </w:r>
      <w:r>
        <w:rPr/>
        <w:t>profile</w:t>
      </w:r>
      <w:r>
        <w:rPr>
          <w:spacing w:val="-1"/>
        </w:rPr>
        <w:t> </w:t>
      </w:r>
      <w:r>
        <w:rPr/>
        <w:t>downward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explain the tinted red stain on the</w:t>
      </w:r>
      <w:r>
        <w:rPr>
          <w:spacing w:val="-1"/>
        </w:rPr>
        <w:t> </w:t>
      </w:r>
      <w:r>
        <w:rPr/>
        <w:t>clay.</w:t>
      </w:r>
    </w:p>
    <w:p>
      <w:pPr>
        <w:pStyle w:val="BodyText"/>
        <w:spacing w:before="3"/>
        <w:rPr>
          <w:sz w:val="11"/>
        </w:rPr>
      </w:pPr>
    </w:p>
    <w:p>
      <w:pPr>
        <w:tabs>
          <w:tab w:pos="2519" w:val="left" w:leader="none"/>
          <w:tab w:pos="4751" w:val="left" w:leader="none"/>
        </w:tabs>
        <w:spacing w:before="62" w:after="19"/>
        <w:ind w:left="894" w:right="0" w:firstLine="0"/>
        <w:jc w:val="left"/>
        <w:rPr>
          <w:rFonts w:ascii="Calibri"/>
          <w:sz w:val="16"/>
        </w:rPr>
      </w:pPr>
      <w:r>
        <w:rPr/>
        <w:pict>
          <v:shape style="position:absolute;margin-left:102.760002pt;margin-top:18.950027pt;width:6.6pt;height:30.2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FO</w:t>
                  </w:r>
                  <w:r>
                    <w:rPr>
                      <w:rFonts w:ascii="Calibri"/>
                      <w:b/>
                      <w:spacing w:val="2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RM ATIO</w:t>
                  </w:r>
                  <w:r>
                    <w:rPr>
                      <w:rFonts w:ascii="Calibri"/>
                      <w:b/>
                      <w:spacing w:val="2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879997pt;margin-top:25.397713pt;width:6.6pt;height:22.3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ME</w:t>
                  </w:r>
                  <w:r>
                    <w:rPr>
                      <w:rFonts w:ascii="Calibri"/>
                      <w:b/>
                      <w:spacing w:val="-4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M</w:t>
                  </w:r>
                  <w:r>
                    <w:rPr>
                      <w:rFonts w:ascii="Calibri"/>
                      <w:b/>
                      <w:spacing w:val="-5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BE</w:t>
                  </w:r>
                  <w:r>
                    <w:rPr>
                      <w:rFonts w:ascii="Calibri"/>
                      <w:b/>
                      <w:spacing w:val="-3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360001pt;margin-top:28.745768pt;width:6.6pt;height:18.4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Bed</w:t>
                  </w:r>
                  <w:r>
                    <w:rPr>
                      <w:rFonts w:ascii="Calibri"/>
                      <w:b/>
                      <w:spacing w:val="30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No</w:t>
                  </w:r>
                  <w:r>
                    <w:rPr>
                      <w:rFonts w:ascii="Calibri"/>
                      <w:b/>
                      <w:spacing w:val="-11"/>
                      <w:sz w:val="9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839996pt;margin-top:23.651756pt;width:12.2pt;height:23.2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auto" w:before="2"/>
                    <w:ind w:left="159" w:right="44" w:hanging="14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Thickness</w:t>
                  </w:r>
                  <w:r>
                    <w:rPr>
                      <w:rFonts w:ascii="Calibri"/>
                      <w:b/>
                      <w:spacing w:val="19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(</w:t>
                  </w:r>
                  <w:r>
                    <w:rPr>
                      <w:rFonts w:ascii="Calibri"/>
                      <w:b/>
                      <w:spacing w:val="-11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m)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679993pt;margin-top:23.753893pt;width:6.6pt;height:22.2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Lithology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09998pt;margin-top:26.506077pt;width:79.9pt;height:21.6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75" w:right="172" w:hanging="8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Silt</w:t>
                  </w:r>
                  <w:r>
                    <w:rPr>
                      <w:rFonts w:ascii="Calibri"/>
                      <w:b/>
                      <w:spacing w:val="1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VF</w:t>
                  </w:r>
                  <w:r>
                    <w:rPr>
                      <w:rFonts w:ascii="Calibri"/>
                      <w:b/>
                      <w:spacing w:val="-10"/>
                      <w:sz w:val="9"/>
                    </w:rPr>
                    <w:t> </w:t>
                  </w:r>
                </w:p>
                <w:p>
                  <w:pPr>
                    <w:spacing w:before="40"/>
                    <w:ind w:left="80" w:right="253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F</w:t>
                  </w:r>
                  <w:r>
                    <w:rPr>
                      <w:rFonts w:ascii="Calibri"/>
                      <w:b/>
                      <w:spacing w:val="1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M</w:t>
                  </w:r>
                </w:p>
                <w:p>
                  <w:pPr>
                    <w:spacing w:before="23"/>
                    <w:ind w:left="80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w w:val="101"/>
                      <w:sz w:val="9"/>
                    </w:rPr>
                    <w:t>C</w:t>
                  </w:r>
                </w:p>
                <w:p>
                  <w:pPr>
                    <w:spacing w:line="108" w:lineRule="exact" w:before="46"/>
                    <w:ind w:left="80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Vc</w:t>
                  </w:r>
                  <w:r>
                    <w:rPr>
                      <w:rFonts w:ascii="Calibri"/>
                      <w:b/>
                      <w:spacing w:val="-12"/>
                      <w:sz w:val="9"/>
                    </w:rPr>
                    <w:t> </w:t>
                  </w:r>
                </w:p>
                <w:p>
                  <w:pPr>
                    <w:spacing w:line="307" w:lineRule="auto" w:before="0"/>
                    <w:ind w:left="20" w:right="0" w:firstLine="24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Gravel</w:t>
                  </w:r>
                  <w:r>
                    <w:rPr>
                      <w:rFonts w:ascii="Calibri"/>
                      <w:b/>
                      <w:spacing w:val="1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Pebbles</w:t>
                  </w:r>
                  <w:r>
                    <w:rPr>
                      <w:rFonts w:ascii="Calibri"/>
                      <w:b/>
                      <w:spacing w:val="1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Cobbles</w:t>
                  </w:r>
                  <w:r>
                    <w:rPr>
                      <w:rFonts w:ascii="Calibri"/>
                      <w:b/>
                      <w:spacing w:val="1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Boulders</w:t>
                  </w:r>
                </w:p>
                <w:p>
                  <w:pPr>
                    <w:spacing w:before="30"/>
                    <w:ind w:left="32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Paleo-</w:t>
                  </w:r>
                  <w:r>
                    <w:rPr>
                      <w:rFonts w:ascii="Calibri"/>
                      <w:b/>
                      <w:spacing w:val="1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current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position w:val="-4"/>
          <w:sz w:val="22"/>
        </w:rPr>
        <w:t>1cm</w:t>
      </w:r>
      <w:r>
        <w:rPr>
          <w:rFonts w:ascii="Calibri"/>
          <w:spacing w:val="-1"/>
          <w:position w:val="-4"/>
          <w:sz w:val="22"/>
        </w:rPr>
        <w:t> </w:t>
      </w:r>
      <w:r>
        <w:rPr>
          <w:rFonts w:ascii="Calibri"/>
          <w:position w:val="-4"/>
          <w:sz w:val="22"/>
        </w:rPr>
        <w:t>=1m</w:t>
        <w:tab/>
        <w:t>KUTIGI</w:t>
        <w:tab/>
      </w:r>
      <w:r>
        <w:rPr>
          <w:rFonts w:ascii="Calibri"/>
          <w:sz w:val="16"/>
        </w:rPr>
        <w:t>Enagi</w:t>
      </w:r>
      <w:r>
        <w:rPr>
          <w:rFonts w:ascii="Calibri"/>
          <w:spacing w:val="-4"/>
          <w:sz w:val="16"/>
        </w:rPr>
        <w:t> </w:t>
      </w:r>
      <w:r>
        <w:rPr>
          <w:rFonts w:ascii="Calibri"/>
          <w:sz w:val="16"/>
        </w:rPr>
        <w:t>and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z w:val="16"/>
        </w:rPr>
        <w:t>Batati</w:t>
      </w:r>
    </w:p>
    <w:p>
      <w:pPr>
        <w:pStyle w:val="BodyText"/>
        <w:ind w:left="3849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 style="width:176.4pt;height:31.7pt;mso-position-horizontal-relative:char;mso-position-vertical-relative:line" type="#_x0000_t202" filled="false" stroked="true" strokeweight=".63346pt" strokecolor="#000000">
            <w10:anchorlock/>
            <v:textbox inset="0,0,0,0">
              <w:txbxContent>
                <w:p>
                  <w:pPr>
                    <w:spacing w:line="111" w:lineRule="exact" w:before="0"/>
                    <w:ind w:left="882" w:right="0" w:firstLine="0"/>
                    <w:jc w:val="left"/>
                    <w:rPr>
                      <w:rFonts w:ascii="Calibri"/>
                      <w:sz w:val="16"/>
                    </w:rPr>
                  </w:pPr>
                  <w:r>
                    <w:rPr>
                      <w:rFonts w:ascii="Calibri"/>
                      <w:sz w:val="16"/>
                    </w:rPr>
                    <w:t>Kutigi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pStyle w:val="BodyText"/>
        <w:spacing w:before="8"/>
        <w:rPr>
          <w:rFonts w:ascii="Calibri"/>
          <w:sz w:val="5"/>
        </w:rPr>
      </w:pPr>
    </w:p>
    <w:p>
      <w:pPr>
        <w:spacing w:after="0"/>
        <w:rPr>
          <w:rFonts w:ascii="Calibri"/>
          <w:sz w:val="5"/>
        </w:rPr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before="12"/>
        <w:rPr>
          <w:rFonts w:ascii="Calibri"/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6"/>
        </w:rPr>
      </w:pPr>
      <w:r>
        <w:rPr/>
        <w:pict>
          <v:shape style="position:absolute;margin-left:101.080002pt;margin-top:25.72282pt;width:20pt;height:45.35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Batati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669998pt;margin-top:-29.616127pt;width:6.6pt;height:12.3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/>
                      <w:b/>
                      <w:sz w:val="9"/>
                    </w:rPr>
                  </w:pPr>
                  <w:r>
                    <w:rPr>
                      <w:rFonts w:ascii="Calibri"/>
                      <w:b/>
                      <w:sz w:val="9"/>
                    </w:rPr>
                    <w:t>C</w:t>
                  </w:r>
                  <w:r>
                    <w:rPr>
                      <w:rFonts w:ascii="Calibri"/>
                      <w:b/>
                      <w:spacing w:val="23"/>
                      <w:sz w:val="9"/>
                    </w:rPr>
                    <w:t> </w:t>
                  </w:r>
                  <w:r>
                    <w:rPr>
                      <w:rFonts w:ascii="Calibri"/>
                      <w:b/>
                      <w:sz w:val="9"/>
                    </w:rPr>
                    <w:t>lay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1.1M</w:t>
      </w:r>
    </w:p>
    <w:p>
      <w:pPr>
        <w:spacing w:line="280" w:lineRule="auto" w:before="46"/>
        <w:ind w:left="1222" w:right="4002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Oolitic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Ironstone</w:t>
      </w:r>
    </w:p>
    <w:p>
      <w:pPr>
        <w:spacing w:after="0" w:line="280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360" w:bottom="1200" w:left="1540" w:right="740"/>
          <w:cols w:num="2" w:equalWidth="0">
            <w:col w:w="1604" w:space="1917"/>
            <w:col w:w="610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after="0"/>
        <w:rPr>
          <w:rFonts w:ascii="Calibri"/>
          <w:sz w:val="16"/>
        </w:rPr>
        <w:sectPr>
          <w:type w:val="continuous"/>
          <w:pgSz w:w="11910" w:h="16840"/>
          <w:pgMar w:top="1360" w:bottom="1200" w:left="1540" w:right="740"/>
        </w:sectPr>
      </w:pPr>
    </w:p>
    <w:p>
      <w:pPr>
        <w:spacing w:line="278" w:lineRule="auto" w:before="56"/>
        <w:ind w:left="4629" w:right="0" w:firstLine="2"/>
        <w:jc w:val="both"/>
        <w:rPr>
          <w:rFonts w:ascii="Calibri"/>
          <w:sz w:val="22"/>
        </w:rPr>
      </w:pPr>
      <w:r>
        <w:rPr/>
        <w:pict>
          <v:shape style="position:absolute;margin-left:101.080002pt;margin-top:45.188793pt;width:20pt;height:78.1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Formation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Massive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claystone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tinted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red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stain</w:t>
      </w: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0"/>
        <w:ind w:left="0" w:right="1617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o</w:t>
      </w:r>
    </w:p>
    <w:p>
      <w:pPr>
        <w:pStyle w:val="BodyText"/>
        <w:spacing w:before="6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spacing w:before="1"/>
        <w:ind w:left="1087" w:right="0" w:firstLine="0"/>
        <w:jc w:val="left"/>
        <w:rPr>
          <w:rFonts w:ascii="Calibri"/>
          <w:sz w:val="22"/>
        </w:rPr>
      </w:pPr>
      <w:r>
        <w:rPr>
          <w:rFonts w:ascii="Calibri"/>
          <w:position w:val="1"/>
          <w:sz w:val="22"/>
        </w:rPr>
        <w:t>Cla</w:t>
      </w:r>
      <w:r>
        <w:rPr>
          <w:rFonts w:ascii="Calibri"/>
          <w:sz w:val="22"/>
        </w:rPr>
        <w:t>y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line="247" w:lineRule="exact" w:before="0"/>
        <w:ind w:left="1337" w:right="159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ne</w:t>
      </w:r>
    </w:p>
    <w:p>
      <w:pPr>
        <w:spacing w:line="247" w:lineRule="exact" w:before="0"/>
        <w:ind w:left="109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st</w:t>
      </w:r>
    </w:p>
    <w:p>
      <w:pPr>
        <w:spacing w:before="141"/>
        <w:ind w:left="1345" w:right="1599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KEY</w:t>
      </w:r>
    </w:p>
    <w:p>
      <w:pPr>
        <w:spacing w:after="0"/>
        <w:jc w:val="center"/>
        <w:rPr>
          <w:rFonts w:ascii="Calibri"/>
          <w:sz w:val="16"/>
        </w:rPr>
        <w:sectPr>
          <w:type w:val="continuous"/>
          <w:pgSz w:w="11910" w:h="16840"/>
          <w:pgMar w:top="1360" w:bottom="1200" w:left="1540" w:right="740"/>
          <w:cols w:num="2" w:equalWidth="0">
            <w:col w:w="6366" w:space="40"/>
            <w:col w:w="3224"/>
          </w:cols>
        </w:sectPr>
      </w:pPr>
    </w:p>
    <w:p>
      <w:pPr>
        <w:pStyle w:val="BodyText"/>
        <w:spacing w:before="3"/>
        <w:rPr>
          <w:rFonts w:ascii="Calibri"/>
          <w:sz w:val="13"/>
        </w:rPr>
      </w:pPr>
    </w:p>
    <w:p>
      <w:pPr>
        <w:spacing w:line="297" w:lineRule="auto" w:before="68"/>
        <w:ind w:left="8119" w:right="635" w:firstLine="0"/>
        <w:jc w:val="right"/>
        <w:rPr>
          <w:rFonts w:ascii="Calibri"/>
          <w:sz w:val="16"/>
        </w:rPr>
      </w:pPr>
      <w:r>
        <w:rPr>
          <w:rFonts w:ascii="Calibri"/>
          <w:sz w:val="16"/>
        </w:rPr>
        <w:t>Ironstone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pacing w:val="-1"/>
          <w:sz w:val="16"/>
        </w:rPr>
        <w:t>Clay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stone</w:t>
      </w:r>
    </w:p>
    <w:p>
      <w:pPr>
        <w:pStyle w:val="BodyText"/>
        <w:spacing w:before="8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1910" w:h="16840"/>
          <w:pgMar w:top="1360" w:bottom="1200" w:left="1540" w:right="740"/>
        </w:sectPr>
      </w:pPr>
    </w:p>
    <w:p>
      <w:pPr>
        <w:spacing w:before="68"/>
        <w:ind w:left="0" w:right="38" w:firstLine="0"/>
        <w:jc w:val="right"/>
        <w:rPr>
          <w:rFonts w:ascii="Calibri"/>
          <w:sz w:val="16"/>
        </w:rPr>
      </w:pPr>
      <w:r>
        <w:rPr>
          <w:rFonts w:ascii="Calibri"/>
          <w:sz w:val="16"/>
        </w:rPr>
        <w:t>5.3M</w:t>
      </w:r>
    </w:p>
    <w:p>
      <w:pPr>
        <w:spacing w:line="549" w:lineRule="auto" w:before="90"/>
        <w:ind w:left="1234" w:right="609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Siltstone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Sandstone</w:t>
      </w:r>
    </w:p>
    <w:p>
      <w:pPr>
        <w:spacing w:line="184" w:lineRule="exact" w:before="0"/>
        <w:ind w:left="133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Red</w:t>
      </w:r>
      <w:r>
        <w:rPr>
          <w:rFonts w:ascii="Calibri"/>
          <w:spacing w:val="-8"/>
          <w:sz w:val="16"/>
        </w:rPr>
        <w:t> </w:t>
      </w:r>
      <w:r>
        <w:rPr>
          <w:rFonts w:ascii="Calibri"/>
          <w:sz w:val="16"/>
        </w:rPr>
        <w:t>stain</w:t>
      </w:r>
    </w:p>
    <w:p>
      <w:pPr>
        <w:spacing w:after="0" w:line="184" w:lineRule="exact"/>
        <w:jc w:val="left"/>
        <w:rPr>
          <w:rFonts w:ascii="Calibri"/>
          <w:sz w:val="16"/>
        </w:rPr>
        <w:sectPr>
          <w:type w:val="continuous"/>
          <w:pgSz w:w="11910" w:h="16840"/>
          <w:pgMar w:top="1360" w:bottom="1200" w:left="1540" w:right="740"/>
          <w:cols w:num="2" w:equalWidth="0">
            <w:col w:w="1616" w:space="5468"/>
            <w:col w:w="2546"/>
          </w:cols>
        </w:sectPr>
      </w:pPr>
    </w:p>
    <w:p>
      <w:pPr>
        <w:pStyle w:val="BodyText"/>
        <w:spacing w:before="7"/>
        <w:rPr>
          <w:rFonts w:ascii="Calibri"/>
          <w:sz w:val="17"/>
        </w:rPr>
      </w:pPr>
    </w:p>
    <w:p>
      <w:pPr>
        <w:spacing w:before="56"/>
        <w:ind w:left="0" w:right="1457" w:firstLine="0"/>
        <w:jc w:val="right"/>
        <w:rPr>
          <w:rFonts w:ascii="Calibri"/>
          <w:sz w:val="22"/>
        </w:rPr>
      </w:pPr>
      <w:r>
        <w:rPr/>
        <w:pict>
          <v:shape style="position:absolute;margin-left:101.080002pt;margin-top:-29.657234pt;width:20pt;height:41.5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Enagi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Siltstone</w: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after="0"/>
        <w:rPr>
          <w:rFonts w:ascii="Calibri"/>
          <w:sz w:val="15"/>
        </w:rPr>
        <w:sectPr>
          <w:type w:val="continuous"/>
          <w:pgSz w:w="11910" w:h="16840"/>
          <w:pgMar w:top="1360" w:bottom="1200" w:left="1540" w:right="740"/>
        </w:sectPr>
      </w:pPr>
    </w:p>
    <w:p>
      <w:pPr>
        <w:pStyle w:val="BodyText"/>
        <w:rPr>
          <w:rFonts w:ascii="Calibri"/>
          <w:sz w:val="16"/>
        </w:rPr>
      </w:pPr>
      <w:r>
        <w:rPr/>
        <w:pict>
          <v:group style="position:absolute;margin-left:0pt;margin-top:132.359985pt;width:491.9pt;height:597.9pt;mso-position-horizontal-relative:page;mso-position-vertical-relative:page;z-index:-18473472" coordorigin="0,2647" coordsize="9838,11958">
            <v:line style="position:absolute" from="4158,3322" to="4158,14580" stroked="true" strokeweight=".75346pt" strokecolor="#000000">
              <v:stroke dashstyle="shortdot"/>
            </v:line>
            <v:line style="position:absolute" from="4961,3161" to="4961,14580" stroked="true" strokeweight="1.31346pt" strokecolor="#000000">
              <v:stroke dashstyle="shortdot"/>
            </v:line>
            <v:line style="position:absolute" from="4808,3161" to="4808,14580" stroked="true" strokeweight=".84346pt" strokecolor="#000000">
              <v:stroke dashstyle="shortdot"/>
            </v:line>
            <v:shape style="position:absolute;left:3770;top:3161;width:770;height:11419" coordorigin="3771,3161" coordsize="770,11419" path="m4541,3161l4541,14580m3771,3161l3771,14580e" filled="false" stroked="true" strokeweight=".94346pt" strokecolor="#000000">
              <v:path arrowok="t"/>
              <v:stroke dashstyle="shortdot"/>
            </v:shape>
            <v:shape style="position:absolute;left:1988;top:2974;width:7834;height:11625" coordorigin="1988,2975" coordsize="7834,11625" path="m5104,2983l5099,14596m1988,2986l9822,2987m1988,3619l9822,3621m8924,2977l8922,14597m5397,2979l5395,14599m3126,2975l3125,14595e" filled="false" stroked="true" strokeweight=".563460pt" strokecolor="#000000">
              <v:path arrowok="t"/>
              <v:stroke dashstyle="solid"/>
            </v:shape>
            <v:shape style="position:absolute;left:2813;top:2969;width:2;height:11632" coordorigin="2814,2969" coordsize="0,11632" path="m2814,14186l2814,14600m2814,2969l2814,13822e" filled="false" stroked="true" strokeweight=".62346pt" strokecolor="#000000">
              <v:path arrowok="t"/>
              <v:stroke dashstyle="solid"/>
            </v:shape>
            <v:shape style="position:absolute;left:2287;top:2969;width:275;height:11632" coordorigin="2288,2969" coordsize="275,11632" path="m2562,14186l2562,14600m2562,2969l2562,13822m2288,14186l2288,14600m2288,2969l2288,13822e" filled="false" stroked="true" strokeweight=".63346pt" strokecolor="#000000">
              <v:path arrowok="t"/>
              <v:stroke dashstyle="solid"/>
            </v:shape>
            <v:shape style="position:absolute;left:2724;top:2983;width:780;height:11592" coordorigin="2725,2983" coordsize="780,11592" path="m3498,2983l3504,14575m2903,12118l2747,12118m2892,12491l2736,12491m2903,11000l2747,11000m2892,11376l2736,11376m2899,11734l2743,11734m2903,9874l2747,9874m2892,10249l2736,10249m2899,10610l2743,10610m2890,8750l2734,8750m2881,9123l2725,9123m2886,9483l2732,9483m2903,7623l2747,7623m2892,7997l2736,7997m2899,8357l2743,8357m2903,6497l2747,6497m2892,6873l2736,6873m2899,7233l2743,7233m2903,5373l2747,5373m2892,5746l2736,5746m2899,6106l2743,6106m2903,4247l2747,4247m2892,4620l2736,4620m2899,4980l2743,4980m2892,3897l2736,3897m2907,14286l2751,14286m2907,13188l2751,13188m2897,13561l2742,13561m2897,12838l2742,12838e" filled="false" stroked="true" strokeweight=".563460pt" strokecolor="#000000">
              <v:path arrowok="t"/>
              <v:stroke dashstyle="solid"/>
            </v:shape>
            <v:line style="position:absolute" from="1811,5290" to="3110,5293" stroked="true" strokeweight="1.499pt" strokecolor="#000000">
              <v:stroke dashstyle="solid"/>
            </v:line>
            <v:line style="position:absolute" from="2199,5294" to="9818,5300" stroked="true" strokeweight=".74945pt" strokecolor="#000000">
              <v:stroke dashstyle="solid"/>
            </v:line>
            <v:shape style="position:absolute;left:9115;top:3975;width:197;height:129" type="#_x0000_t75" stroked="false">
              <v:imagedata r:id="rId15" o:title=""/>
            </v:shape>
            <v:shape style="position:absolute;left:3223;top:5541;width:495;height:1254" coordorigin="3223,5541" coordsize="495,1254" path="m3223,5929l3269,5929,3269,5541,3360,5541,3360,5929,3405,5929,3314,6059,3223,5929xm3536,5929l3582,5929,3582,5541,3673,5541,3673,5929,3718,5929,3627,6059,3536,5929xm3300,6665l3346,6665,3346,6277,3437,6277,3437,6665,3482,6665,3391,6795,3300,6665xe" filled="false" stroked="true" strokeweight=".74945pt" strokecolor="#000000">
              <v:path arrowok="t"/>
              <v:stroke dashstyle="solid"/>
            </v:shape>
            <v:shape style="position:absolute;left:3628;top:6277;width:182;height:518" coordorigin="3628,6277" coordsize="182,518" path="m3764,6277l3674,6277,3674,6665,3628,6665,3719,6795,3810,6665,3764,6665,3764,6277xe" filled="true" fillcolor="#ffffff" stroked="false">
              <v:path arrowok="t"/>
              <v:fill type="solid"/>
            </v:shape>
            <v:shape style="position:absolute;left:3172;top:6277;width:638;height:1340" coordorigin="3172,6277" coordsize="638,1340" path="m3628,6665l3674,6665,3674,6277,3764,6277,3764,6665,3810,6665,3719,6795,3628,6665xm3172,7488l3218,7488,3218,7099,3309,7099,3309,7488,3354,7488,3263,7617,3172,7488xe" filled="false" stroked="true" strokeweight=".74945pt" strokecolor="#000000">
              <v:path arrowok="t"/>
              <v:stroke dashstyle="solid"/>
            </v:shape>
            <v:shape style="position:absolute;left:3482;top:7099;width:182;height:518" coordorigin="3482,7099" coordsize="182,518" path="m3619,7099l3528,7099,3528,7488,3482,7488,3573,7617,3664,7488,3619,7488,3619,7099xe" filled="true" fillcolor="#ffffff" stroked="false">
              <v:path arrowok="t"/>
              <v:fill type="solid"/>
            </v:shape>
            <v:shape style="position:absolute;left:3223;top:7099;width:495;height:2025" coordorigin="3223,7099" coordsize="495,2025" path="m3482,7488l3528,7488,3528,7099,3619,7099,3619,7488,3664,7488,3573,7617,3482,7488xm3223,8157l3269,8157,3269,7769,3360,7769,3360,8157,3405,8157,3314,8287,3223,8157xm3536,8157l3582,8157,3582,7769,3673,7769,3673,8157,3718,8157,3627,8287,3536,8157xm3223,8772l3269,8772,3269,8384,3360,8384,3360,8772,3405,8772,3314,8902,3223,8772xm3536,8995l3582,8995,3582,8607,3673,8607,3673,8995,3718,8995,3627,9124,3536,8995xe" filled="false" stroked="true" strokeweight=".74945pt" strokecolor="#000000">
              <v:path arrowok="t"/>
              <v:stroke dashstyle="solid"/>
            </v:shape>
            <v:shape style="position:absolute;left:0;top:9117;width:3372;height:404" type="#_x0000_t75" stroked="false">
              <v:imagedata r:id="rId16" o:title=""/>
            </v:shape>
            <v:shape style="position:absolute;left:3300;top:9495;width:418;height:878" coordorigin="3300,9496" coordsize="418,878" path="m3536,9884l3582,9884,3582,9496,3673,9496,3673,9884,3718,9884,3627,10013,3536,9884xm3300,10244l3346,10244,3346,9856,3437,9856,3437,10244,3482,10244,3391,10374,3300,10244xe" filled="false" stroked="true" strokeweight=".74945pt" strokecolor="#000000">
              <v:path arrowok="t"/>
              <v:stroke dashstyle="solid"/>
            </v:shape>
            <v:line style="position:absolute" from="4150,3165" to="4165,3165" stroked="true" strokeweight=".3257pt" strokecolor="#000000">
              <v:stroke dashstyle="shortdot"/>
            </v:line>
            <v:shape style="position:absolute;left:5145;top:2717;width:506;height:73" type="#_x0000_t75" stroked="false">
              <v:imagedata r:id="rId17" o:title=""/>
            </v:shape>
            <v:shape style="position:absolute;left:0;top:2647;width:9838;height:11945" type="#_x0000_t75" stroked="false">
              <v:imagedata r:id="rId18" o:title=""/>
            </v:shape>
            <v:shape style="position:absolute;left:3302;top:2824;width:480;height:79" type="#_x0000_t75" stroked="false">
              <v:imagedata r:id="rId19" o:title=""/>
            </v:shape>
            <v:shape style="position:absolute;left:5154;top:2861;width:648;height:73" type="#_x0000_t75" stroked="false">
              <v:imagedata r:id="rId20" o:title=""/>
            </v:shape>
            <v:shape style="position:absolute;left:8760;top:2871;width:372;height:73" type="#_x0000_t75" stroked="false">
              <v:imagedata r:id="rId21" o:title=""/>
            </v:shape>
            <v:shape style="position:absolute;left:9142;top:2869;width:646;height:1243" coordorigin="9143,2869" coordsize="646,1243" path="m9156,2931l9156,2929,9155,2928,9154,2927,9152,2926,9147,2926,9145,2927,9143,2929,9143,2932,9143,2938,9143,2940,9145,2943,9147,2943,9152,2943,9154,2943,9156,2940,9156,2938,9156,2935,9156,2931xm9180,2931l9180,2929,9179,2928,9178,2927,9176,2926,9171,2926,9169,2927,9167,2929,9167,2932,9167,2938,9167,2940,9169,2943,9171,2943,9176,2943,9178,2943,9180,2940,9180,2938,9180,2935,9180,2931xm9204,2931l9204,2929,9203,2928,9202,2927,9200,2926,9195,2926,9193,2927,9191,2929,9191,2932,9191,2938,9191,2940,9193,2943,9195,2943,9200,2943,9202,2943,9204,2940,9204,2938,9204,2935,9204,2931xm9228,2931l9228,2929,9227,2928,9226,2927,9224,2926,9219,2926,9217,2927,9215,2929,9215,2932,9215,2938,9215,2940,9217,2943,9219,2943,9224,2943,9226,2943,9228,2940,9228,2938,9228,2935,9228,2931xm9252,2931l9252,2929,9251,2928,9250,2927,9248,2926,9243,2926,9241,2927,9239,2929,9239,2932,9239,2938,9239,2940,9241,2943,9243,2943,9248,2943,9250,2943,9252,2940,9252,2938,9252,2935,9252,2931xm9276,2931l9276,2929,9275,2928,9274,2927,9272,2926,9267,2926,9265,2927,9263,2929,9263,2932,9263,2938,9263,2940,9265,2943,9267,2943,9272,2943,9274,2943,9276,2940,9276,2938,9276,2935,9276,2931xm9295,2934l9295,2932,9294,2931,9293,2929,9291,2929,9286,2929,9284,2929,9282,2932,9282,2934,9282,2941,9282,2943,9284,2945,9286,2946,9291,2946,9293,2945,9295,2943,9295,2940,9295,2937,9295,2934xm9319,2934l9319,2932,9318,2931,9317,2929,9315,2929,9310,2929,9308,2929,9306,2932,9306,2934,9306,2941,9306,2943,9308,2945,9310,2946,9315,2946,9317,2945,9319,2943,9319,2940,9319,2937,9319,2934xm9343,2934l9343,2932,9342,2931,9341,2929,9339,2929,9334,2929,9332,2929,9330,2932,9330,2934,9330,2941,9330,2943,9332,2945,9334,2946,9339,2946,9341,2945,9343,2943,9343,2941,9343,2934xm9395,2914l9395,2910,9393,2904,9392,2903,9392,2901,9390,2899,9388,2896,9386,2895,9383,2894,9383,2894,9383,2923,9383,2924,9382,2928,9382,2929,9380,2932,9379,2933,9378,2934,9376,2935,9375,2935,9371,2935,9370,2935,9368,2934,9367,2933,9366,2932,9365,2931,9364,2927,9364,2925,9363,2922,9363,2914,9364,2910,9365,2908,9366,2905,9368,2904,9369,2904,9370,2903,9372,2903,9375,2903,9377,2903,9378,2904,9379,2905,9380,2906,9381,2907,9382,2910,9383,2912,9383,2914,9383,2923,9383,2894,9381,2892,9377,2892,9370,2892,9367,2892,9361,2895,9359,2897,9357,2899,9355,2902,9354,2905,9353,2908,9352,2912,9351,2914,9351,2924,9352,2927,9353,2934,9355,2937,9357,2939,9358,2941,9361,2943,9363,2944,9366,2945,9369,2946,9376,2946,9380,2945,9383,2944,9385,2943,9388,2941,9390,2938,9391,2936,9392,2935,9393,2933,9394,2929,9395,2926,9395,2924,9395,2914xm9413,4049l9413,4044,9411,4035,9409,4031,9404,4024,9401,4022,9393,4018,9388,4017,9377,4017,9373,4018,9368,4021,9363,4023,9358,4027,9353,4033,9353,4020,9352,4019,9352,4019,9351,4019,9350,4018,9349,4018,9349,4018,9343,4018,9342,4018,9341,4018,9340,4019,9339,4020,9339,4110,9339,4110,9340,4111,9344,4112,9350,4112,9354,4111,9354,4110,9355,4109,9355,4048,9359,4042,9363,4038,9371,4032,9375,4031,9382,4031,9385,4031,9390,4034,9391,4035,9394,4040,9396,4042,9396,4045,9397,4048,9397,4053,9397,4109,9398,4110,9399,4111,9400,4111,9403,4112,9408,4112,9412,4111,9413,4110,9413,4109,9413,4049xm9429,2873l9428,2872,9428,2871,9428,2871,9427,2871,9427,2870,9426,2870,9425,2870,9424,2870,9423,2869,9418,2869,9416,2870,9413,2871,9411,2873,9409,2876,9408,2878,9407,2883,9406,2893,9401,2893,9401,2893,9400,2893,9400,2895,9400,2902,9400,2903,9400,2904,9401,2904,9406,2904,9407,2944,9407,2944,9408,2945,9409,2945,9409,2945,9410,2945,9411,2945,9413,2945,9414,2945,9415,2945,9416,2945,9416,2945,9417,2944,9418,2944,9418,2944,9418,2904,9426,2904,9426,2904,9427,2903,9427,2902,9427,2895,9427,2895,9427,2894,9426,2893,9426,2893,9426,2893,9426,2893,9418,2893,9418,2886,9418,2884,9419,2883,9419,2882,9419,2881,9421,2881,9422,2880,9424,2880,9425,2880,9425,2881,9425,2881,9426,2881,9427,2881,9427,2881,9428,2881,9428,2881,9429,2880,9429,2873xm9477,2934l9477,2932,9476,2931,9475,2930,9473,2929,9468,2929,9466,2930,9465,2932,9464,2934,9464,2941,9465,2943,9465,2944,9466,2945,9468,2945,9473,2945,9475,2945,9476,2944,9477,2943,9477,2941,9477,2934xm9498,2934l9498,2932,9497,2931,9496,2930,9494,2929,9489,2929,9488,2930,9486,2932,9485,2934,9485,2941,9486,2943,9487,2944,9488,2945,9489,2945,9494,2945,9496,2945,9497,2944,9498,2943,9498,2941,9498,2934xm9519,2934l9519,2932,9517,2930,9515,2929,9511,2929,9509,2930,9508,2931,9507,2932,9507,2934,9507,2941,9507,2943,9508,2944,9509,2945,9511,2945,9515,2945,9517,2945,9519,2943,9519,2941,9519,2934xm9544,2934l9544,2932,9543,2931,9542,2930,9540,2929,9535,2929,9534,2930,9532,2932,9531,2934,9531,2941,9532,2943,9533,2944,9534,2945,9535,2945,9540,2945,9542,2945,9543,2944,9544,2943,9544,2941,9544,2934xm9565,2934l9565,2932,9564,2931,9563,2930,9561,2929,9557,2929,9555,2930,9553,2932,9552,2934,9552,2941,9553,2943,9554,2944,9555,2945,9557,2945,9561,2945,9563,2945,9564,2944,9565,2943,9565,2941,9565,2934xm9587,2934l9586,2932,9584,2930,9583,2929,9578,2929,9576,2930,9575,2931,9574,2932,9574,2934,9574,2941,9574,2943,9575,2944,9576,2945,9578,2945,9583,2945,9584,2945,9586,2943,9587,2941,9587,2934xm9611,2934l9611,2932,9610,2931,9609,2930,9607,2929,9603,2929,9601,2930,9599,2932,9598,2934,9598,2941,9599,2943,9600,2944,9601,2945,9602,2945,9607,2945,9609,2945,9610,2944,9611,2943,9611,2941,9611,2934xm9633,2934l9632,2932,9631,2931,9630,2930,9629,2929,9624,2929,9622,2930,9620,2932,9620,2934,9620,2941,9620,2943,9621,2944,9622,2945,9624,2945,9629,2945,9630,2945,9631,2944,9632,2943,9633,2941,9633,2934xm9654,2934l9653,2932,9652,2930,9650,2929,9645,2929,9643,2930,9642,2931,9641,2932,9641,2934,9641,2941,9641,2943,9642,2944,9643,2945,9645,2945,9650,2945,9652,2945,9653,2943,9654,2941,9654,2934xm9679,2934l9678,2932,9677,2931,9676,2930,9675,2929,9670,2929,9668,2930,9666,2932,9666,2934,9666,2941,9666,2943,9667,2944,9668,2945,9670,2945,9675,2945,9676,2945,9677,2944,9678,2943,9679,2941,9679,2934xm9700,2934l9699,2932,9698,2931,9697,2930,9696,2929,9691,2929,9689,2930,9687,2932,9687,2934,9687,2941,9687,2943,9688,2944,9689,2945,9691,2945,9696,2945,9697,2945,9698,2944,9699,2943,9700,2941,9700,2934xm9721,2934l9721,2932,9719,2930,9717,2929,9712,2929,9711,2930,9710,2931,9709,2932,9708,2934,9708,2941,9709,2943,9710,2944,9710,2945,9712,2945,9717,2945,9719,2945,9721,2943,9721,2941,9721,2934xm9746,2934l9745,2932,9744,2931,9743,2930,9742,2929,9737,2929,9735,2930,9733,2932,9733,2934,9733,2941,9733,2943,9734,2944,9735,2945,9737,2945,9742,2945,9743,2945,9744,2944,9745,2943,9746,2941,9746,2934xm9767,2934l9767,2932,9766,2931,9765,2930,9763,2929,9758,2929,9756,2930,9755,2932,9754,2934,9754,2941,9755,2943,9755,2944,9756,2945,9758,2945,9763,2945,9765,2945,9766,2944,9767,2943,9767,2941,9767,2934xm9788,2934l9788,2932,9786,2930,9784,2929,9779,2929,9778,2930,9777,2931,9776,2932,9775,2934,9775,2941,9776,2943,9777,2944,9778,2945,9779,2945,9784,2945,9786,2945,9788,2943,9788,2941,9788,2934xe" filled="true" fillcolor="#000000" stroked="false">
              <v:path arrowok="t"/>
              <v:fill type="solid"/>
            </v:shape>
            <v:shape style="position:absolute;left:9049;top:3240;width:673;height:139" type="#_x0000_t75" stroked="false">
              <v:imagedata r:id="rId22" o:title=""/>
            </v:shape>
            <v:shape style="position:absolute;left:4693;top:3100;width:32;height:55" coordorigin="4693,3101" coordsize="32,55" path="m4711,3101l4707,3101,4705,3101,4703,3102,4701,3102,4699,3104,4698,3105,4696,3106,4695,3108,4694,3110,4694,3112,4693,3114,4693,3118,4707,3133,4709,3134,4711,3135,4712,3136,4713,3137,4713,3138,4713,3140,4707,3145,4705,3145,4703,3145,4702,3144,4699,3143,4697,3142,4696,3141,4695,3141,4694,3141,4693,3141,4693,3142,4693,3142,4693,3148,4694,3151,4695,3152,4697,3153,4701,3154,4702,3154,4703,3155,4709,3155,4711,3154,4723,3145,4724,3143,4724,3141,4724,3138,4724,3136,4714,3123,4712,3122,4710,3122,4708,3121,4707,3120,4706,3120,4705,3119,4704,3117,4704,3116,4704,3115,4705,3113,4705,3112,4705,3112,4707,3111,4709,3110,4712,3110,4713,3110,4716,3112,4719,3113,4720,3114,4721,3114,4721,3113,4722,3113,4722,3112,4722,3112,4722,3106,4722,3106,4722,3105,4721,3105,4721,3105,4721,3104,4720,3103,4718,3102,4717,3102,4716,3101,4711,3101xe" filled="true" fillcolor="#000000" stroked="false">
              <v:path arrowok="t"/>
              <v:fill type="solid"/>
            </v:shape>
            <v:shape style="position:absolute;left:6807;top:3243;width:717;height:152" type="#_x0000_t75" stroked="false">
              <v:imagedata r:id="rId23" o:title=""/>
            </v:shape>
            <v:shape style="position:absolute;left:9108;top:4482;width:431;height:119" type="#_x0000_t75" stroked="false">
              <v:imagedata r:id="rId24" o:title=""/>
            </v:shape>
            <v:shape style="position:absolute;left:3909;top:3075;width:410;height:204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8"/>
        <w:rPr>
          <w:rFonts w:ascii="Calibri"/>
          <w:sz w:val="18"/>
        </w:rPr>
      </w:pPr>
    </w:p>
    <w:p>
      <w:pPr>
        <w:spacing w:before="1"/>
        <w:ind w:left="1278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1.5</w:t>
      </w:r>
    </w:p>
    <w:p>
      <w:pPr>
        <w:spacing w:before="1"/>
        <w:ind w:left="1278" w:right="0" w:firstLine="0"/>
        <w:jc w:val="left"/>
        <w:rPr>
          <w:rFonts w:ascii="Calibri"/>
          <w:sz w:val="16"/>
        </w:rPr>
      </w:pPr>
      <w:r>
        <w:rPr>
          <w:rFonts w:ascii="Calibri"/>
          <w:w w:val="100"/>
          <w:sz w:val="16"/>
        </w:rPr>
        <w:t>M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spacing w:before="0"/>
        <w:ind w:left="71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0.21m</w:t>
      </w:r>
    </w:p>
    <w:p>
      <w:pPr>
        <w:spacing w:line="276" w:lineRule="auto" w:before="66"/>
        <w:ind w:left="2627" w:right="0" w:firstLine="0"/>
        <w:jc w:val="both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Intercalation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siltstone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claystone.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claystone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colour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ranges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brownish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white to milky white while the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siltstone is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whitish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35"/>
        <w:ind w:left="2531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Medium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grain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sandstone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4"/>
        <w:rPr>
          <w:rFonts w:ascii="Calibri"/>
          <w:sz w:val="23"/>
        </w:rPr>
      </w:pPr>
    </w:p>
    <w:p>
      <w:pPr>
        <w:pStyle w:val="BodyText"/>
        <w:spacing w:before="1"/>
        <w:ind w:left="700"/>
      </w:pPr>
      <w:r>
        <w:rPr/>
        <w:t>Figure</w:t>
      </w:r>
      <w:r>
        <w:rPr>
          <w:spacing w:val="-10"/>
        </w:rPr>
        <w:t> </w:t>
      </w:r>
      <w:r>
        <w:rPr/>
        <w:t>4.1:</w:t>
      </w:r>
      <w:r>
        <w:rPr>
          <w:spacing w:val="-4"/>
        </w:rPr>
        <w:t> </w:t>
      </w:r>
      <w:r>
        <w:rPr/>
        <w:t>Lithological</w:t>
      </w:r>
      <w:r>
        <w:rPr>
          <w:spacing w:val="-5"/>
        </w:rPr>
        <w:t> </w:t>
      </w:r>
      <w:r>
        <w:rPr/>
        <w:t>Section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KTG1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3037" w:right="2068"/>
        <w:jc w:val="center"/>
      </w:pPr>
      <w:r>
        <w:rPr/>
        <w:t>40</w:t>
      </w:r>
    </w:p>
    <w:p>
      <w:pPr>
        <w:spacing w:before="56"/>
        <w:ind w:left="440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and</w:t>
      </w: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before="0"/>
        <w:ind w:left="43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Claystone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line="451" w:lineRule="auto" w:before="0"/>
        <w:ind w:left="548" w:right="1615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stone</w:t>
      </w:r>
    </w:p>
    <w:p>
      <w:pPr>
        <w:spacing w:after="0" w:line="451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360" w:bottom="1200" w:left="1540" w:right="740"/>
          <w:cols w:num="3" w:equalWidth="0">
            <w:col w:w="1482" w:space="40"/>
            <w:col w:w="5385" w:space="39"/>
            <w:col w:w="2684"/>
          </w:cols>
        </w:sectPr>
      </w:pPr>
    </w:p>
    <w:p>
      <w:pPr>
        <w:pStyle w:val="BodyText"/>
        <w:spacing w:line="480" w:lineRule="auto" w:before="81" w:after="15"/>
        <w:ind w:left="445" w:right="669"/>
        <w:jc w:val="both"/>
      </w:pPr>
      <w:r>
        <w:rPr/>
        <w:t>The second clay Location KTG2 occurred on a hill of about 1km from the first location</w:t>
      </w:r>
      <w:r>
        <w:rPr>
          <w:spacing w:val="1"/>
        </w:rPr>
        <w:t> </w:t>
      </w:r>
      <w:r>
        <w:rPr/>
        <w:t>KTG1, the clay occurs as irregular lenticular structures (Plate</w:t>
      </w:r>
      <w:r>
        <w:rPr>
          <w:rFonts w:ascii="Symbol" w:hAnsi="Symbol"/>
        </w:rPr>
        <w:t></w:t>
      </w:r>
      <w:r>
        <w:rPr/>
        <w:t>) within the sandstones,</w:t>
      </w:r>
      <w:r>
        <w:rPr>
          <w:spacing w:val="1"/>
        </w:rPr>
        <w:t> </w:t>
      </w:r>
      <w:r>
        <w:rPr/>
        <w:t>siltstones and ironstones. The clay is</w:t>
      </w:r>
      <w:r>
        <w:rPr>
          <w:spacing w:val="60"/>
        </w:rPr>
        <w:t> </w:t>
      </w:r>
      <w:r>
        <w:rPr/>
        <w:t>generally milky white to pure white in colour</w:t>
      </w:r>
      <w:r>
        <w:rPr>
          <w:spacing w:val="1"/>
        </w:rPr>
        <w:t> </w:t>
      </w:r>
      <w:r>
        <w:rPr/>
        <w:t>(Plate </w:t>
      </w:r>
      <w:r>
        <w:rPr>
          <w:rFonts w:ascii="Symbol" w:hAnsi="Symbol"/>
        </w:rPr>
        <w:t></w:t>
      </w:r>
      <w:r>
        <w:rPr/>
        <w:t>V), fine grained in texture and feels very smooth to gritty when rubbed between</w:t>
      </w:r>
      <w:r>
        <w:rPr>
          <w:spacing w:val="1"/>
        </w:rPr>
        <w:t> </w:t>
      </w:r>
      <w:r>
        <w:rPr/>
        <w:t>the fingers. The smoothness and the grittiness can be attributed to the presence of quartz</w:t>
      </w:r>
      <w:r>
        <w:rPr>
          <w:spacing w:val="-57"/>
        </w:rPr>
        <w:t> </w:t>
      </w:r>
      <w:r>
        <w:rPr/>
        <w:t>residuals in the deposit (Omang </w:t>
      </w:r>
      <w:r>
        <w:rPr>
          <w:i/>
        </w:rPr>
        <w:t>et al</w:t>
      </w:r>
      <w:r>
        <w:rPr/>
        <w:t>., 2019). The evidences as observed on the field</w:t>
      </w:r>
      <w:r>
        <w:rPr>
          <w:spacing w:val="1"/>
        </w:rPr>
        <w:t> </w:t>
      </w:r>
      <w:r>
        <w:rPr/>
        <w:t>revealed the lithostratigraphic position of the study clay to be a bed within the Enagi</w:t>
      </w:r>
      <w:r>
        <w:rPr>
          <w:spacing w:val="1"/>
        </w:rPr>
        <w:t> </w:t>
      </w:r>
      <w:r>
        <w:rPr/>
        <w:t>Formation.</w:t>
      </w:r>
    </w:p>
    <w:p>
      <w:pPr>
        <w:pStyle w:val="BodyText"/>
        <w:ind w:left="565"/>
        <w:rPr>
          <w:sz w:val="20"/>
        </w:rPr>
      </w:pPr>
      <w:r>
        <w:rPr>
          <w:sz w:val="20"/>
        </w:rPr>
        <w:pict>
          <v:group style="width:398.5pt;height:294.5pt;mso-position-horizontal-relative:char;mso-position-vertical-relative:line" coordorigin="0,0" coordsize="7970,5890">
            <v:shape style="position:absolute;left:3905;top:0;width:4065;height:5888" type="#_x0000_t75" stroked="false">
              <v:imagedata r:id="rId26" o:title=""/>
            </v:shape>
            <v:shape style="position:absolute;left:0;top:9;width:3844;height:5880" type="#_x0000_t75" stroked="false">
              <v:imagedata r:id="rId27" o:title=""/>
            </v:shape>
            <v:shape style="position:absolute;left:360;top:3325;width:3223;height:1286" coordorigin="360,3325" coordsize="3223,1286" path="m360,3647l1166,3647,1166,4611,2777,4611,2777,3647,3582,3647,1971,3325,360,3647xe" filled="false" stroked="true" strokeweight=".75pt" strokecolor="#000000">
              <v:path arrowok="t"/>
              <v:stroke dashstyle="solid"/>
            </v:shape>
            <v:shape style="position:absolute;left:1243;top:3541;width:1003;height:81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Irregular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Lenticular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294" w:top="1580" w:bottom="480" w:left="1540" w:right="740"/>
        </w:sectPr>
      </w:pPr>
    </w:p>
    <w:p>
      <w:pPr>
        <w:pStyle w:val="BodyText"/>
        <w:spacing w:line="252" w:lineRule="auto" w:before="101"/>
        <w:ind w:left="445" w:right="31"/>
      </w:pPr>
      <w:r>
        <w:rPr/>
        <w:t>Plate</w:t>
      </w:r>
      <w:r>
        <w:rPr>
          <w:spacing w:val="-2"/>
        </w:rPr>
        <w:t> </w:t>
      </w:r>
      <w:r>
        <w:rPr>
          <w:rFonts w:ascii="Symbol" w:hAnsi="Symbol"/>
        </w:rPr>
        <w:t></w:t>
      </w:r>
      <w:r>
        <w:rPr/>
        <w:t>:</w:t>
      </w:r>
      <w:r>
        <w:rPr>
          <w:spacing w:val="40"/>
        </w:rPr>
        <w:t> </w:t>
      </w:r>
      <w:r>
        <w:rPr/>
        <w:t>Clay</w:t>
      </w:r>
      <w:r>
        <w:rPr>
          <w:spacing w:val="-10"/>
        </w:rPr>
        <w:t> </w:t>
      </w:r>
      <w:r>
        <w:rPr/>
        <w:t>occurring as</w:t>
      </w:r>
      <w:r>
        <w:rPr>
          <w:spacing w:val="-2"/>
        </w:rPr>
        <w:t> </w:t>
      </w:r>
      <w:r>
        <w:rPr/>
        <w:t>irregular</w:t>
      </w:r>
      <w:r>
        <w:rPr>
          <w:spacing w:val="-57"/>
        </w:rPr>
        <w:t> </w:t>
      </w:r>
      <w:r>
        <w:rPr/>
        <w:t>Lenticular</w:t>
      </w:r>
      <w:r>
        <w:rPr>
          <w:spacing w:val="-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KTG2,</w:t>
      </w:r>
    </w:p>
    <w:p>
      <w:pPr>
        <w:pStyle w:val="BodyText"/>
        <w:spacing w:before="4"/>
        <w:ind w:left="445"/>
      </w:pPr>
      <w:r>
        <w:rPr/>
        <w:t>9</w:t>
      </w:r>
      <w:r>
        <w:rPr>
          <w:rFonts w:ascii="Symbol" w:hAnsi="Symbol"/>
        </w:rPr>
        <w:t></w:t>
      </w:r>
      <w:r>
        <w:rPr>
          <w:spacing w:val="-1"/>
        </w:rPr>
        <w:t> </w:t>
      </w:r>
      <w:r>
        <w:rPr/>
        <w:t>9</w:t>
      </w:r>
      <w:r>
        <w:rPr>
          <w:rFonts w:ascii="Symbol" w:hAnsi="Symbol"/>
        </w:rPr>
        <w:t></w:t>
      </w:r>
      <w:r>
        <w:rPr>
          <w:spacing w:val="-2"/>
        </w:rPr>
        <w:t> </w:t>
      </w:r>
      <w:r>
        <w:rPr/>
        <w:t>49</w:t>
      </w:r>
      <w:r>
        <w:rPr>
          <w:rFonts w:ascii="Symbol" w:hAnsi="Symbol"/>
        </w:rPr>
        <w:t></w:t>
      </w:r>
      <w:r>
        <w:rPr/>
        <w:t>N,</w:t>
      </w:r>
      <w:r>
        <w:rPr>
          <w:spacing w:val="-1"/>
        </w:rPr>
        <w:t> </w:t>
      </w:r>
      <w:r>
        <w:rPr/>
        <w:t>6</w:t>
      </w:r>
      <w:r>
        <w:rPr>
          <w:rFonts w:ascii="Symbol" w:hAnsi="Symbol"/>
        </w:rPr>
        <w:t></w:t>
      </w:r>
      <w:r>
        <w:rPr>
          <w:spacing w:val="-1"/>
        </w:rPr>
        <w:t> </w:t>
      </w:r>
      <w:r>
        <w:rPr/>
        <w:t>1</w:t>
      </w:r>
      <w:r>
        <w:rPr>
          <w:rFonts w:ascii="Symbol" w:hAnsi="Symbol"/>
        </w:rPr>
        <w:t></w:t>
      </w:r>
      <w:r>
        <w:rPr>
          <w:spacing w:val="1"/>
        </w:rPr>
        <w:t> </w:t>
      </w:r>
      <w:r>
        <w:rPr/>
        <w:t>24</w:t>
      </w:r>
      <w:r>
        <w:rPr>
          <w:rFonts w:ascii="Symbol" w:hAnsi="Symbol"/>
        </w:rPr>
        <w:t></w:t>
      </w:r>
      <w:r>
        <w:rPr/>
        <w:t>E</w:t>
      </w:r>
    </w:p>
    <w:p>
      <w:pPr>
        <w:pStyle w:val="BodyText"/>
        <w:spacing w:before="101"/>
        <w:ind w:left="877" w:right="1098" w:hanging="425"/>
      </w:pPr>
      <w:r>
        <w:rPr/>
        <w:br w:type="column"/>
      </w:r>
      <w:r>
        <w:rPr/>
        <w:t>Plate </w:t>
      </w:r>
      <w:r>
        <w:rPr>
          <w:rFonts w:ascii="Symbol" w:hAnsi="Symbol"/>
        </w:rPr>
        <w:t></w:t>
      </w:r>
      <w:r>
        <w:rPr/>
        <w:t>V: clay with milky white colour at</w:t>
      </w:r>
      <w:r>
        <w:rPr>
          <w:spacing w:val="-57"/>
        </w:rPr>
        <w:t> </w:t>
      </w:r>
      <w:r>
        <w:rPr/>
        <w:t>KTG2,</w:t>
      </w:r>
      <w:r>
        <w:rPr>
          <w:spacing w:val="-1"/>
        </w:rPr>
        <w:t> </w:t>
      </w:r>
      <w:r>
        <w:rPr/>
        <w:t>9</w:t>
      </w:r>
      <w:r>
        <w:rPr>
          <w:rFonts w:ascii="Symbol" w:hAnsi="Symbol"/>
        </w:rPr>
        <w:t></w:t>
      </w:r>
      <w:r>
        <w:rPr/>
        <w:t> 9</w:t>
      </w:r>
      <w:r>
        <w:rPr>
          <w:rFonts w:ascii="Symbol" w:hAnsi="Symbol"/>
        </w:rPr>
        <w:t></w:t>
      </w:r>
      <w:r>
        <w:rPr>
          <w:spacing w:val="-1"/>
        </w:rPr>
        <w:t> </w:t>
      </w:r>
      <w:r>
        <w:rPr/>
        <w:t>49</w:t>
      </w:r>
      <w:r>
        <w:rPr>
          <w:rFonts w:ascii="Symbol" w:hAnsi="Symbol"/>
        </w:rPr>
        <w:t></w:t>
      </w:r>
      <w:r>
        <w:rPr/>
        <w:t>N, 6</w:t>
      </w:r>
      <w:r>
        <w:rPr>
          <w:rFonts w:ascii="Symbol" w:hAnsi="Symbol"/>
        </w:rPr>
        <w:t></w:t>
      </w:r>
      <w:r>
        <w:rPr/>
        <w:t> 1</w:t>
      </w:r>
      <w:r>
        <w:rPr>
          <w:rFonts w:ascii="Symbol" w:hAnsi="Symbol"/>
        </w:rPr>
        <w:t></w:t>
      </w:r>
      <w:r>
        <w:rPr>
          <w:spacing w:val="1"/>
        </w:rPr>
        <w:t> </w:t>
      </w:r>
      <w:r>
        <w:rPr/>
        <w:t>25</w:t>
      </w:r>
      <w:r>
        <w:rPr>
          <w:rFonts w:ascii="Symbol" w:hAnsi="Symbol"/>
        </w:rPr>
        <w:t></w:t>
      </w:r>
      <w:r>
        <w:rPr/>
        <w:t>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445"/>
      </w:pPr>
      <w:r>
        <w:rPr/>
        <w:t>41</w:t>
      </w:r>
    </w:p>
    <w:p>
      <w:pPr>
        <w:spacing w:after="0"/>
        <w:sectPr>
          <w:type w:val="continuous"/>
          <w:pgSz w:w="11910" w:h="16840"/>
          <w:pgMar w:top="1360" w:bottom="1200" w:left="1540" w:right="740"/>
          <w:cols w:num="2" w:equalWidth="0">
            <w:col w:w="4008" w:space="126"/>
            <w:col w:w="5496"/>
          </w:cols>
        </w:sectPr>
      </w:pPr>
    </w:p>
    <w:p>
      <w:pPr>
        <w:pStyle w:val="BodyText"/>
        <w:spacing w:line="480" w:lineRule="auto" w:before="64"/>
        <w:ind w:left="445" w:right="672"/>
        <w:jc w:val="both"/>
      </w:pPr>
      <w:r>
        <w:rPr/>
        <w:t>The stratigraphy of KTG2 (Figure 4.2) show medium grain sandstone of about 3m</w:t>
      </w:r>
      <w:r>
        <w:rPr>
          <w:spacing w:val="1"/>
        </w:rPr>
        <w:t> </w:t>
      </w:r>
      <w:r>
        <w:rPr/>
        <w:t>overlain by admixture of siltstone and claystone with an average height of about 4.5m,</w:t>
      </w:r>
      <w:r>
        <w:rPr>
          <w:spacing w:val="1"/>
        </w:rPr>
        <w:t> </w:t>
      </w:r>
      <w:r>
        <w:rPr/>
        <w:t>and directly overlain by massive claystone of about 3.2m. The claystone is capped by</w:t>
      </w:r>
      <w:r>
        <w:rPr>
          <w:spacing w:val="1"/>
        </w:rPr>
        <w:t> </w:t>
      </w:r>
      <w:r>
        <w:rPr/>
        <w:t>ironstone</w:t>
      </w:r>
      <w:r>
        <w:rPr>
          <w:spacing w:val="-1"/>
        </w:rPr>
        <w:t> </w:t>
      </w:r>
      <w:r>
        <w:rPr/>
        <w:t>overburden of</w:t>
      </w:r>
      <w:r>
        <w:rPr>
          <w:spacing w:val="1"/>
        </w:rPr>
        <w:t> </w:t>
      </w:r>
      <w:r>
        <w:rPr/>
        <w:t>about 1.6m.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49" w:right="275"/>
        <w:jc w:val="center"/>
      </w:pPr>
      <w:r>
        <w:rPr/>
        <w:t>42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294" w:top="1580" w:bottom="480" w:left="1540" w:right="740"/>
        </w:sectPr>
      </w:pPr>
    </w:p>
    <w:p>
      <w:pPr>
        <w:tabs>
          <w:tab w:pos="2432" w:val="left" w:leader="none"/>
        </w:tabs>
        <w:spacing w:before="76"/>
        <w:ind w:left="81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1cm =1m</w:t>
        <w:tab/>
        <w:t>KUTIG2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104" w:right="1618" w:firstLine="0"/>
        <w:jc w:val="center"/>
        <w:rPr>
          <w:rFonts w:ascii="Calibri"/>
          <w:sz w:val="16"/>
        </w:rPr>
      </w:pPr>
      <w:r>
        <w:rPr/>
        <w:pict>
          <v:shape style="position:absolute;margin-left:90.040001pt;margin-top:20.922876pt;width:20pt;height:45.3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Batati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1.6M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"/>
        <w:rPr>
          <w:rFonts w:ascii="Calibri"/>
          <w:sz w:val="23"/>
        </w:rPr>
      </w:pPr>
    </w:p>
    <w:p>
      <w:pPr>
        <w:spacing w:before="0"/>
        <w:ind w:left="1104" w:right="1618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0.3M</w:t>
      </w:r>
    </w:p>
    <w:p>
      <w:pPr>
        <w:pStyle w:val="BodyText"/>
        <w:rPr>
          <w:rFonts w:ascii="Calibri"/>
          <w:sz w:val="22"/>
        </w:rPr>
      </w:pPr>
    </w:p>
    <w:p>
      <w:pPr>
        <w:spacing w:before="0"/>
        <w:ind w:left="1104" w:right="1618" w:firstLine="0"/>
        <w:jc w:val="center"/>
        <w:rPr>
          <w:rFonts w:ascii="Calibri"/>
          <w:sz w:val="16"/>
        </w:rPr>
      </w:pPr>
      <w:r>
        <w:rPr>
          <w:rFonts w:ascii="Calibri"/>
          <w:sz w:val="16"/>
        </w:rPr>
        <w:t>3.2M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spacing w:before="0"/>
        <w:ind w:left="1125" w:right="1596" w:firstLine="0"/>
        <w:jc w:val="center"/>
        <w:rPr>
          <w:rFonts w:ascii="Calibri"/>
          <w:sz w:val="16"/>
        </w:rPr>
      </w:pPr>
      <w:r>
        <w:rPr/>
        <w:pict>
          <v:shape style="position:absolute;margin-left:89.68pt;margin-top:-76.647667pt;width:20pt;height:78.1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Formation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4.5M</w:t>
      </w:r>
    </w:p>
    <w:p>
      <w:pPr>
        <w:spacing w:line="259" w:lineRule="auto" w:before="68"/>
        <w:ind w:left="930" w:right="2224" w:firstLine="4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  <w:t>Enagi and Batati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Kutigi</w:t>
      </w:r>
    </w:p>
    <w:p>
      <w:pPr>
        <w:pStyle w:val="BodyText"/>
        <w:spacing w:before="10"/>
        <w:rPr>
          <w:rFonts w:ascii="Calibri"/>
          <w:sz w:val="15"/>
        </w:rPr>
      </w:pPr>
    </w:p>
    <w:p>
      <w:pPr>
        <w:spacing w:before="0"/>
        <w:ind w:left="93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Oolitic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ironstone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05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ferruginized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clay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stone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line="276" w:lineRule="auto" w:before="0"/>
        <w:ind w:left="812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Massive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milky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grain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lenticular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nodular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structure.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structure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diagenetic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feature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probably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due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weathering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3"/>
        </w:rPr>
      </w:pPr>
    </w:p>
    <w:p>
      <w:pPr>
        <w:spacing w:before="0"/>
        <w:ind w:left="32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Ironstone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1"/>
        </w:rPr>
      </w:pPr>
    </w:p>
    <w:p>
      <w:pPr>
        <w:spacing w:line="620" w:lineRule="atLeast" w:before="1"/>
        <w:ind w:left="234" w:right="467" w:firstLine="48"/>
        <w:jc w:val="left"/>
        <w:rPr>
          <w:rFonts w:ascii="Calibri"/>
          <w:sz w:val="22"/>
        </w:rPr>
      </w:pPr>
      <w:r>
        <w:rPr>
          <w:rFonts w:ascii="Calibri"/>
          <w:sz w:val="22"/>
        </w:rPr>
        <w:t>claystone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Claystone</w:t>
      </w:r>
    </w:p>
    <w:p>
      <w:pPr>
        <w:spacing w:before="123"/>
        <w:ind w:left="421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KEY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spacing w:line="319" w:lineRule="auto" w:before="0"/>
        <w:ind w:left="519" w:right="301" w:firstLine="57"/>
        <w:jc w:val="both"/>
        <w:rPr>
          <w:rFonts w:ascii="Calibri"/>
          <w:sz w:val="16"/>
        </w:rPr>
      </w:pPr>
      <w:r>
        <w:rPr>
          <w:rFonts w:ascii="Calibri"/>
          <w:sz w:val="16"/>
        </w:rPr>
        <w:t>Ironstone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Clay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sz w:val="16"/>
        </w:rPr>
        <w:t>stone</w:t>
      </w:r>
      <w:r>
        <w:rPr>
          <w:rFonts w:ascii="Calibri"/>
          <w:spacing w:val="1"/>
          <w:sz w:val="16"/>
        </w:rPr>
        <w:t> </w:t>
      </w:r>
      <w:r>
        <w:rPr>
          <w:rFonts w:ascii="Calibri"/>
          <w:position w:val="1"/>
          <w:sz w:val="16"/>
        </w:rPr>
        <w:t>F/clay</w:t>
      </w:r>
      <w:r>
        <w:rPr>
          <w:rFonts w:ascii="Calibri"/>
          <w:spacing w:val="-9"/>
          <w:position w:val="1"/>
          <w:sz w:val="16"/>
        </w:rPr>
        <w:t> </w:t>
      </w:r>
      <w:r>
        <w:rPr>
          <w:rFonts w:ascii="Calibri"/>
          <w:position w:val="1"/>
          <w:sz w:val="16"/>
        </w:rPr>
        <w:t>ston</w:t>
      </w:r>
      <w:r>
        <w:rPr>
          <w:rFonts w:ascii="Calibri"/>
          <w:sz w:val="16"/>
        </w:rPr>
        <w:t>e</w:t>
      </w:r>
    </w:p>
    <w:p>
      <w:pPr>
        <w:spacing w:before="142"/>
        <w:ind w:left="519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Siltstone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1"/>
        <w:ind w:left="577" w:right="419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Sandston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z w:val="16"/>
        </w:rPr>
        <w:t>e</w:t>
      </w:r>
    </w:p>
    <w:p>
      <w:pPr>
        <w:spacing w:line="273" w:lineRule="auto" w:before="96"/>
        <w:ind w:left="596" w:right="415" w:hanging="15"/>
        <w:jc w:val="left"/>
        <w:rPr>
          <w:rFonts w:ascii="Calibri"/>
          <w:sz w:val="16"/>
        </w:rPr>
      </w:pPr>
      <w:r>
        <w:rPr>
          <w:rFonts w:ascii="Calibri"/>
          <w:spacing w:val="-1"/>
          <w:sz w:val="16"/>
        </w:rPr>
        <w:t>lenticular</w:t>
      </w:r>
      <w:r>
        <w:rPr>
          <w:rFonts w:ascii="Calibri"/>
          <w:spacing w:val="-34"/>
          <w:sz w:val="16"/>
        </w:rPr>
        <w:t> </w:t>
      </w:r>
      <w:r>
        <w:rPr>
          <w:rFonts w:ascii="Calibri"/>
          <w:spacing w:val="-1"/>
          <w:sz w:val="16"/>
        </w:rPr>
        <w:t>structure</w:t>
      </w:r>
    </w:p>
    <w:p>
      <w:pPr>
        <w:spacing w:after="0" w:line="273" w:lineRule="auto"/>
        <w:jc w:val="left"/>
        <w:rPr>
          <w:rFonts w:ascii="Calibri"/>
          <w:sz w:val="16"/>
        </w:rPr>
        <w:sectPr>
          <w:type w:val="continuous"/>
          <w:pgSz w:w="11910" w:h="16840"/>
          <w:pgMar w:top="1360" w:bottom="1200" w:left="1540" w:right="740"/>
          <w:cols w:num="3" w:equalWidth="0">
            <w:col w:w="3145" w:space="595"/>
            <w:col w:w="4231" w:space="40"/>
            <w:col w:w="1619"/>
          </w:cols>
        </w:sectPr>
      </w:pPr>
    </w:p>
    <w:p>
      <w:pPr>
        <w:pStyle w:val="BodyText"/>
        <w:spacing w:before="11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1910" w:h="16840"/>
          <w:pgMar w:top="1360" w:bottom="1200" w:left="1540" w:right="740"/>
        </w:sectPr>
      </w:pPr>
    </w:p>
    <w:p>
      <w:pPr>
        <w:spacing w:line="273" w:lineRule="auto" w:before="56"/>
        <w:ind w:left="4660" w:right="0" w:hanging="3"/>
        <w:jc w:val="both"/>
        <w:rPr>
          <w:rFonts w:ascii="Calibri"/>
          <w:sz w:val="22"/>
        </w:rPr>
      </w:pPr>
      <w:r>
        <w:rPr/>
        <w:pict>
          <v:shape style="position:absolute;margin-left:89.68pt;margin-top:11.262786pt;width:20pt;height:41.55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387" w:lineRule="exact" w:before="0"/>
                    <w:ind w:left="20" w:right="0" w:firstLine="0"/>
                    <w:jc w:val="left"/>
                    <w:rPr>
                      <w:rFonts w:ascii="Calibri"/>
                      <w:sz w:val="36"/>
                    </w:rPr>
                  </w:pPr>
                  <w:r>
                    <w:rPr>
                      <w:rFonts w:ascii="Calibri"/>
                      <w:sz w:val="36"/>
                    </w:rPr>
                    <w:t>Enagi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Intercalation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siltstone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claystone.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claystone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colour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ranges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brownish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to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milky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while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siltstone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whitish</w:t>
      </w:r>
    </w:p>
    <w:p>
      <w:pPr>
        <w:pStyle w:val="BodyText"/>
        <w:spacing w:before="11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line="453" w:lineRule="auto" w:before="0"/>
        <w:ind w:left="448" w:right="393" w:hanging="5"/>
        <w:jc w:val="left"/>
        <w:rPr>
          <w:rFonts w:ascii="Calibri"/>
          <w:sz w:val="22"/>
        </w:rPr>
      </w:pPr>
      <w:r>
        <w:rPr>
          <w:rFonts w:ascii="Calibri"/>
          <w:sz w:val="22"/>
        </w:rPr>
        <w:t>Siltstone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Claystone</w:t>
      </w:r>
    </w:p>
    <w:p>
      <w:pPr>
        <w:spacing w:after="0" w:line="453" w:lineRule="auto"/>
        <w:jc w:val="left"/>
        <w:rPr>
          <w:rFonts w:ascii="Calibri"/>
          <w:sz w:val="22"/>
        </w:rPr>
        <w:sectPr>
          <w:type w:val="continuous"/>
          <w:pgSz w:w="11910" w:h="16840"/>
          <w:pgMar w:top="1360" w:bottom="1200" w:left="1540" w:right="740"/>
          <w:cols w:num="2" w:equalWidth="0">
            <w:col w:w="7855" w:space="40"/>
            <w:col w:w="173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1910" w:h="16840"/>
          <w:pgMar w:top="1360" w:bottom="1200" w:left="1540" w:right="740"/>
        </w:sect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0"/>
        <w:ind w:left="1201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3M</w:t>
      </w: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0"/>
        <w:ind w:left="0" w:right="3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Medium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grain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sandstone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before="9"/>
        <w:rPr>
          <w:rFonts w:ascii="Calibri"/>
          <w:sz w:val="25"/>
        </w:rPr>
      </w:pPr>
    </w:p>
    <w:p>
      <w:pPr>
        <w:spacing w:before="0"/>
        <w:ind w:left="120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Sandstone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360" w:bottom="1200" w:left="1540" w:right="740"/>
          <w:cols w:num="2" w:equalWidth="0">
            <w:col w:w="6824" w:space="219"/>
            <w:col w:w="2587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141.599976pt;width:545pt;height:572.550pt;mso-position-horizontal-relative:page;mso-position-vertical-relative:page;z-index:-18467328" coordorigin="0,2832" coordsize="10900,11451">
            <v:line style="position:absolute" from="4258,3477" to="4258,14216" stroked="true" strokeweight=".87094pt" strokecolor="#000000">
              <v:stroke dashstyle="shortdot"/>
            </v:line>
            <v:line style="position:absolute" from="5187,3323" to="5187,14216" stroked="true" strokeweight="1.52094pt" strokecolor="#000000">
              <v:stroke dashstyle="shortdot"/>
            </v:line>
            <v:line style="position:absolute" from="5010,3323" to="5010,14216" stroked="true" strokeweight=".98094pt" strokecolor="#000000">
              <v:stroke dashstyle="shortdot"/>
            </v:line>
            <v:line style="position:absolute" from="5352,3154" to="5345,14230" stroked="true" strokeweight=".650940pt" strokecolor="#000000">
              <v:stroke dashstyle="solid"/>
            </v:line>
            <v:shape style="position:absolute;left:4897;top:3336;width:403;height:370" type="#_x0000_t75" stroked="false">
              <v:imagedata r:id="rId28" o:title=""/>
            </v:shape>
            <v:shape style="position:absolute;left:5423;top:3391;width:206;height:308" type="#_x0000_t75" stroked="false">
              <v:imagedata r:id="rId29" o:title=""/>
            </v:shape>
            <v:line style="position:absolute" from="1752,3156" to="10803,3157" stroked="true" strokeweight=".650940pt" strokecolor="#000000">
              <v:stroke dashstyle="solid"/>
            </v:line>
            <v:line style="position:absolute" from="4701,3323" to="4701,14216" stroked="true" strokeweight="1.08094pt" strokecolor="#000000">
              <v:stroke dashstyle="shortdot"/>
            </v:line>
            <v:line style="position:absolute" from="3811,3323" to="3811,14216" stroked="true" strokeweight="1.08094pt" strokecolor="#000000">
              <v:stroke dashstyle="shortdot"/>
            </v:line>
            <v:shape style="position:absolute;left:2781;top:3518;width:226;height:172" coordorigin="2781,3519" coordsize="226,172" path="m2797,3570l2797,3568,2794,3566,2793,3565,2787,3565,2785,3566,2783,3568,2783,3570,2783,3576,2783,3578,2785,3580,2787,3580,2793,3580,2795,3580,2797,3578,2797,3576,2797,3570xm2856,3668l2856,3661,2856,3660,2855,3659,2855,3659,2855,3659,2854,3659,2798,3659,2798,3642,2797,3641,2797,3641,2797,3641,2795,3641,2795,3641,2794,3640,2790,3640,2789,3641,2789,3641,2788,3641,2788,3641,2787,3641,2787,3642,2786,3689,2787,3689,2787,3690,2787,3690,2788,3690,2788,3690,2789,3690,2789,3690,2790,3691,2794,3691,2795,3690,2795,3690,2797,3690,2797,3690,2798,3689,2798,3672,2854,3672,2855,3672,2855,3672,2855,3672,2856,3671,2856,3670,2856,3668xm2856,3600l2856,3593,2856,3593,2856,3592,2855,3592,2855,3591,2855,3591,2821,3591,2818,3592,2816,3592,2813,3593,2811,3594,2809,3595,2807,3596,2806,3598,2805,3600,2804,3602,2803,3604,2803,3610,2804,3613,2805,3615,2806,3617,2808,3619,2810,3622,2783,3622,2783,3622,2782,3622,2782,3622,2782,3622,2782,3623,2781,3623,2781,3631,2781,3633,2782,3633,2782,3634,2782,3634,2782,3634,2783,3634,2855,3634,2855,3634,2855,3634,2856,3634,2856,3633,2856,3633,2856,3630,2856,3623,2856,3623,2856,3622,2855,3622,2855,3622,2855,3622,2822,3622,2820,3620,2818,3618,2817,3616,2815,3615,2815,3613,2815,3609,2816,3607,2817,3606,2819,3605,2821,3604,2823,3604,2824,3604,2855,3604,2855,3604,2855,3604,2856,3603,2856,3603,2856,3602,2856,3600xm2856,3575l2856,3568,2856,3568,2856,3567,2855,3567,2855,3567,2855,3566,2806,3566,2806,3567,2805,3567,2805,3567,2805,3568,2804,3568,2804,3570,2804,3576,2804,3577,2804,3577,2805,3578,2805,3578,2805,3579,2805,3579,2806,3579,2855,3579,2855,3579,2855,3579,2856,3578,2856,3578,2856,3577,2856,3575xm2857,3538l2857,3530,2857,3529,2856,3526,2855,3524,2855,3523,2853,3520,2852,3520,2851,3519,2851,3519,2851,3519,2850,3519,2849,3519,2849,3519,2844,3519,2844,3519,2842,3519,2842,3519,2841,3519,2841,3519,2841,3520,2840,3521,2841,3521,2841,3522,2842,3522,2843,3524,2844,3526,2845,3528,2846,3529,2846,3535,2845,3537,2844,3538,2843,3539,2842,3540,2841,3541,2839,3541,2837,3542,2835,3542,2833,3542,2825,3542,2821,3542,2818,3540,2815,3538,2814,3536,2814,3530,2815,3528,2815,3527,2816,3526,2816,3525,2817,3524,2818,3523,2818,3522,2819,3521,2819,3520,2818,3520,2818,3519,2817,3519,2815,3519,2811,3519,2810,3519,2809,3519,2809,3519,2809,3519,2808,3519,2808,3520,2806,3521,2806,3522,2805,3523,2805,3524,2805,3524,2804,3528,2803,3530,2803,3537,2804,3539,2805,3542,2806,3545,2808,3547,2810,3549,2812,3551,2815,3553,2819,3554,2822,3555,2826,3556,2835,3556,2839,3555,2842,3554,2845,3553,2848,3552,2853,3548,2854,3546,2855,3543,2856,3542,2857,3541,2857,3538xm3007,3532l3006,3530,3006,3529,3005,3529,2997,3533,2989,3535,2982,3536,2974,3538,2967,3538,2951,3538,2943,3538,2928,3535,2921,3533,2914,3530,2914,3530,2913,3529,2913,3530,2913,3530,2912,3530,2912,3531,2911,3534,2911,3537,2911,3538,2911,3539,2912,3540,2912,3540,2912,3541,2920,3544,2931,3548,2935,3549,2939,3550,2951,3551,2955,3551,2963,3551,2967,3551,2971,3551,2979,3550,2987,3548,2994,3545,3002,3542,3006,3540,3006,3540,3006,3539,3007,3539,3007,3537,3007,3532xe" filled="true" fillcolor="#000000" stroked="false">
              <v:path arrowok="t"/>
              <v:fill type="solid"/>
            </v:shape>
            <v:shape style="position:absolute;left:2495;top:3534;width:76;height:153" type="#_x0000_t75" stroked="false">
              <v:imagedata r:id="rId30" o:title=""/>
            </v:shape>
            <v:shape style="position:absolute;left:1745;top:3760;width:9064;height:2" coordorigin="1746,3761" coordsize="9064,0" path="m1746,3761l6061,3761m9535,3761l10809,3761e" filled="false" stroked="true" strokeweight=".72094pt" strokecolor="#000000">
              <v:path arrowok="t"/>
              <v:stroke dashstyle="solid"/>
            </v:shape>
            <v:shape style="position:absolute;left:2097;top:3145;width:7668;height:11088" coordorigin="2097,3145" coordsize="7668,11088" path="m9765,3147l9763,14231m5690,3149l5688,14233m3066,3145l3065,14229m2706,3145l2705,14229m2415,3145l2414,14229m2099,3145l2097,14229e" filled="false" stroked="true" strokeweight=".650940pt" strokecolor="#000000">
              <v:path arrowok="t"/>
              <v:stroke dashstyle="solid"/>
            </v:shape>
            <v:shape style="position:absolute;left:1863;top:3561;width:417;height:167" coordorigin="1863,3561" coordsize="417,167" path="m1935,3718l1934,3716,1934,3715,1934,3714,1933,3714,1906,3714,1906,3693,1906,3693,1906,3693,1904,3692,1903,3692,1903,3692,1899,3692,1898,3692,1897,3692,1897,3692,1896,3693,1895,3693,1895,3693,1895,3714,1876,3714,1876,3692,1876,3691,1875,3691,1875,3691,1874,3691,1872,3691,1872,3690,1869,3690,1868,3691,1867,3691,1866,3691,1865,3691,1865,3691,1865,3692,1865,3725,1865,3725,1866,3726,1866,3727,1868,3727,1933,3727,1934,3727,1934,3726,1934,3726,1934,3725,1934,3724,1935,3723,1935,3718xm1935,3601l1934,3598,1934,3598,1934,3597,1934,3597,1933,3596,1906,3596,1906,3591,1906,3590,1907,3588,1907,3587,1908,3586,1910,3585,1911,3584,1912,3583,1913,3583,1915,3582,1917,3581,1925,3578,1928,3577,1932,3575,1933,3575,1934,3575,1934,3574,1934,3573,1935,3572,1934,3563,1934,3562,1934,3562,1934,3561,1933,3561,1932,3561,1930,3561,1929,3562,1928,3562,1914,3568,1913,3568,1911,3569,1909,3570,1907,3571,1906,3572,1905,3573,1903,3575,1902,3576,1902,3577,1901,3575,1900,3573,1899,3572,1898,3570,1897,3569,1895,3568,1895,3568,1895,3596,1875,3596,1876,3587,1876,3586,1876,3584,1877,3582,1878,3581,1881,3579,1883,3578,1887,3578,1888,3578,1889,3579,1891,3579,1892,3580,1893,3582,1894,3583,1895,3586,1895,3586,1895,3596,1895,3568,1894,3567,1892,3566,1888,3565,1886,3564,1881,3564,1879,3565,1874,3566,1872,3567,1871,3569,1869,3570,1868,3572,1867,3575,1866,3576,1865,3579,1865,3581,1865,3583,1865,3607,1865,3608,1866,3609,1866,3609,1868,3610,1933,3610,1934,3609,1934,3609,1934,3608,1934,3608,1934,3607,1935,3605,1935,3601xm1936,3657l1935,3645,1935,3642,1933,3638,1931,3634,1931,3634,1929,3631,1926,3628,1924,3627,1924,3655,1923,3657,1921,3662,1919,3664,1915,3666,1913,3667,1910,3668,1906,3668,1903,3668,1896,3668,1890,3668,1887,3667,1884,3666,1882,3665,1880,3663,1878,3662,1876,3657,1876,3657,1875,3655,1875,3648,1876,3645,1878,3641,1880,3639,1882,3638,1884,3637,1886,3636,1889,3635,1892,3635,1896,3634,1903,3634,1909,3635,1912,3636,1915,3637,1919,3639,1921,3641,1923,3645,1924,3648,1924,3655,1924,3627,1923,3626,1919,3624,1914,3622,1910,3621,1905,3620,1893,3620,1887,3621,1883,3622,1879,3624,1875,3625,1869,3631,1867,3634,1864,3641,1863,3645,1863,3656,1864,3660,1868,3668,1870,3672,1873,3674,1876,3677,1880,3679,1885,3680,1889,3682,1894,3682,1906,3682,1911,3682,1916,3680,1920,3679,1924,3677,1927,3675,1930,3672,1932,3669,1932,3668,1935,3661,1936,3657xm2280,3570l2280,3570,2280,3569,2279,3569,2278,3569,2278,3569,2277,3569,2276,3568,2273,3568,2272,3569,2271,3569,2271,3569,2270,3569,2269,3569,2269,3570,2269,3570,2269,3594,2249,3594,2249,3573,2249,3573,2248,3573,2248,3573,2247,3572,2246,3572,2246,3572,2242,3572,2241,3572,2241,3572,2240,3573,2240,3573,2239,3573,2239,3573,2238,3574,2238,3594,2221,3594,2221,3570,2221,3569,2220,3569,2220,3569,2219,3569,2218,3569,2218,3569,2214,3569,2213,3569,2212,3569,2212,3569,2211,3569,2211,3570,2210,3570,2210,3570,2210,3604,2211,3605,2211,3606,2212,3607,2213,3607,2277,3607,2278,3607,2279,3606,2280,3605,2280,3604,2280,3594,2280,3570xm2280,3631l2280,3625,2280,3624,2280,3623,2280,3623,2279,3623,2279,3622,2279,3622,2278,3622,2215,3622,2214,3622,2214,3622,2213,3623,2212,3623,2212,3623,2211,3624,2211,3624,2210,3626,2210,3638,2211,3640,2211,3641,2211,3641,2212,3642,2213,3643,2214,3643,2215,3644,2216,3644,2217,3645,2218,3645,2260,3660,2260,3660,2218,3674,2217,3675,2216,3675,2214,3676,2213,3676,2213,3677,2211,3679,2211,3680,2211,3681,2210,3682,2210,3695,2211,3696,2212,3697,2213,3698,2214,3698,2279,3698,2279,3698,2279,3698,2280,3697,2280,3697,2280,3696,2280,3695,2280,3689,2280,3688,2280,3688,2280,3687,2280,3687,2279,3686,2279,3686,2279,3686,2278,3686,2221,3686,2278,3667,2279,3667,2279,3666,2280,3666,2280,3665,2280,3664,2280,3664,2280,3657,2280,3656,2280,3655,2279,3655,2279,3654,2279,3654,2278,3654,2278,3654,2221,3635,2221,3635,2279,3635,2279,3634,2279,3634,2280,3633,2280,3633,2280,3632,2280,3631xe" filled="true" fillcolor="#000000" stroked="false">
              <v:path arrowok="t"/>
              <v:fill type="solid"/>
            </v:shape>
            <v:shape style="position:absolute;left:2602;top:3153;width:901;height:11056" coordorigin="2603,3154" coordsize="901,11056" path="m3497,3154l3503,14210m2809,11866l2629,11866m2796,12222l2616,12222m2809,10800l2629,10800m2796,11158l2616,11158m2804,11500l2624,11500m2809,9726l2629,9726m2796,10084l2616,10084m2804,10428l2624,10428m2794,8654l2614,8654m2783,9010l2603,9010m2789,9353l2611,9353m2809,7579l2629,7579m2796,7935l2616,7935m2804,8279l2624,8279m2809,6505l2629,6505m2796,6863l2616,6863m2804,7207l2624,7207m2809,5433l2629,5433m2796,5789l2616,5789m2804,6132l2624,6132m2809,4358l2629,4358m2796,4714l2616,4714m2804,5058l2624,5058m2796,4025l2616,4025m2813,13934l2633,13934m2813,12887l2633,12887m2802,13243l2622,13243m2809,13586l2629,13586m2802,12554l2622,12554e" filled="false" stroked="true" strokeweight=".650940pt" strokecolor="#000000">
              <v:path arrowok="t"/>
              <v:stroke dashstyle="solid"/>
            </v:shape>
            <v:line style="position:absolute" from="1734,4977" to="3033,4980" stroked="true" strokeweight="1.49890pt" strokecolor="#000000">
              <v:stroke dashstyle="solid"/>
            </v:line>
            <v:line style="position:absolute" from="4503,4977" to="10892,4980" stroked="true" strokeweight=".74945pt" strokecolor="#000000">
              <v:stroke dashstyle="solid"/>
            </v:line>
            <v:shape style="position:absolute;left:0;top:6324;width:10049;height:1889" type="#_x0000_t75" stroked="false">
              <v:imagedata r:id="rId31" o:title=""/>
            </v:shape>
            <v:shape style="position:absolute;left:3269;top:5660;width:262;height:400" type="#_x0000_t75" stroked="false">
              <v:imagedata r:id="rId32" o:title=""/>
            </v:shape>
            <v:shape style="position:absolute;left:3097;top:6236;width:572;height:385" type="#_x0000_t75" stroked="false">
              <v:imagedata r:id="rId33" o:title=""/>
            </v:shape>
            <v:shape style="position:absolute;left:9726;top:8218;width:299;height:290" type="#_x0000_t75" stroked="false">
              <v:imagedata r:id="rId34" o:title=""/>
            </v:shape>
            <v:shape style="position:absolute;left:3237;top:6881;width:432;height:1013" type="#_x0000_t75" stroked="false">
              <v:imagedata r:id="rId35" o:title=""/>
            </v:shape>
            <v:line style="position:absolute" from="4249,3327" to="4267,3327" stroked="true" strokeweight=".3115pt" strokecolor="#000000">
              <v:stroke dashstyle="shortdot"/>
            </v:line>
            <v:shape style="position:absolute;left:3260;top:2987;width:561;height:79" type="#_x0000_t75" stroked="false">
              <v:imagedata r:id="rId36" o:title=""/>
            </v:shape>
            <v:shape style="position:absolute;left:1859;top:2968;width:341;height:79" type="#_x0000_t75" stroked="false">
              <v:imagedata r:id="rId37" o:title=""/>
            </v:shape>
            <v:shape style="position:absolute;left:0;top:2832;width:10889;height:11451" type="#_x0000_t75" stroked="false">
              <v:imagedata r:id="rId38" o:title=""/>
            </v:shape>
            <v:shape style="position:absolute;left:5407;top:2954;width:746;height:189" type="#_x0000_t75" stroked="false">
              <v:imagedata r:id="rId39" o:title=""/>
            </v:shape>
            <v:shape style="position:absolute;left:9574;top:3082;width:1193;height:71" type="#_x0000_t75" stroked="false">
              <v:imagedata r:id="rId40" o:title=""/>
            </v:shape>
            <v:shape style="position:absolute;left:1868;top:3260;width:211;height:251" coordorigin="1868,3260" coordsize="211,251" path="m1939,3461l1939,3454,1939,3453,1939,3452,1939,3452,1938,3452,1937,3451,1923,3447,1923,3444,1923,3426,1923,3422,1937,3418,1938,3418,1938,3418,1939,3417,1939,3417,1939,3416,1939,3416,1939,3415,1939,3405,1939,3405,1938,3404,1938,3404,1937,3404,1936,3404,1935,3404,1934,3405,1912,3412,1912,3426,1912,3444,1883,3435,1912,3426,1912,3412,1872,3425,1871,3425,1871,3425,1870,3426,1870,3426,1870,3427,1869,3428,1869,3440,1869,3441,1870,3441,1870,3442,1871,3443,1871,3443,1935,3464,1936,3464,1937,3464,1938,3464,1938,3464,1939,3464,1939,3464,1939,3463,1939,3461xm1939,3375l1939,3373,1939,3372,1939,3372,1939,3371,1938,3371,1881,3371,1881,3354,1881,3353,1880,3353,1879,3353,1879,3353,1878,3353,1877,3352,1873,3352,1873,3353,1872,3353,1871,3353,1870,3353,1870,3353,1870,3354,1870,3401,1870,3401,1870,3402,1870,3402,1871,3402,1871,3402,1872,3402,1873,3402,1873,3403,1877,3403,1878,3402,1879,3402,1879,3402,1880,3402,1880,3402,1881,3402,1881,3401,1881,3401,1881,3384,1938,3384,1939,3384,1939,3383,1939,3383,1939,3382,1939,3381,1939,3375xm1939,3337l1939,3335,1939,3334,1939,3333,1939,3333,1938,3332,1871,3332,1870,3333,1870,3334,1869,3335,1869,3337,1869,3341,1869,3343,1870,3345,1870,3345,1871,3346,1938,3346,1939,3345,1939,3345,1939,3344,1939,3344,1939,3343,1939,3341,1939,3337xm1940,3511l1939,3508,1939,3507,1939,3507,1939,3506,1938,3506,1938,3505,1938,3505,1937,3505,1881,3486,1881,3486,1938,3486,1939,3485,1939,3485,1939,3485,1939,3483,1939,3482,1939,3476,1939,3475,1939,3475,1939,3475,1939,3474,1939,3474,1938,3473,1874,3473,1872,3474,1871,3474,1870,3475,1870,3475,1870,3476,1870,3477,1870,3490,1870,3492,1871,3493,1871,3493,1872,3494,1873,3495,1874,3495,1875,3496,1876,3496,1878,3497,1919,3511,1940,3511xm1940,3297l1940,3285,1940,3282,1938,3278,1936,3274,1936,3274,1934,3271,1931,3268,1929,3267,1929,3295,1928,3297,1926,3302,1924,3304,1920,3306,1917,3307,1914,3308,1911,3308,1908,3308,1901,3308,1895,3308,1892,3307,1889,3306,1887,3305,1885,3303,1883,3302,1881,3297,1880,3297,1880,3295,1880,3288,1880,3285,1883,3281,1884,3279,1887,3278,1889,3277,1891,3276,1894,3275,1897,3275,1901,3274,1908,3274,1914,3275,1917,3276,1919,3277,1924,3279,1926,3281,1928,3285,1929,3288,1929,3295,1929,3267,1927,3266,1924,3264,1919,3262,1914,3261,1909,3260,1897,3260,1892,3261,1888,3262,1883,3264,1880,3265,1874,3271,1872,3274,1869,3281,1868,3285,1868,3296,1869,3300,1872,3308,1875,3312,1878,3314,1881,3317,1885,3319,1890,3320,1894,3322,1899,3322,1911,3322,1916,3322,1921,3320,1925,3319,1929,3317,1932,3315,1935,3312,1937,3309,1937,3308,1940,3301,1940,3297xm2079,3500l2078,3499,2078,3498,2078,3498,2077,3497,2077,3497,2076,3496,2075,3496,2074,3496,2010,3496,2010,3496,2009,3496,2009,3497,2009,3498,2009,3499,2008,3504,2009,3504,2009,3506,2009,3506,2009,3507,2009,3507,2010,3507,2010,3507,2010,3508,2051,3508,2054,3507,2057,3507,2059,3507,2059,3507,2058,3508,2056,3509,2053,3510,2052,3511,2050,3511,2077,3511,2077,3511,2078,3509,2078,3508,2079,3507,2079,3500xe" filled="true" fillcolor="#000000" stroked="false">
              <v:path arrowok="t"/>
              <v:fill type="solid"/>
            </v:shape>
            <v:shape style="position:absolute;left:2356;top:3309;width:71;height:203" type="#_x0000_t75" stroked="false">
              <v:imagedata r:id="rId41" o:title=""/>
            </v:shape>
            <v:shape style="position:absolute;left:2649;top:3261;width:2265;height:250" coordorigin="2649,3261" coordsize="2265,250" path="m2719,3447l2719,3446,2719,3445,2718,3445,2718,3444,2718,3444,2717,3443,2716,3443,2715,3443,2651,3443,2651,3443,2650,3443,2650,3444,2649,3452,2650,3453,2650,3453,2650,3454,2650,3454,2651,3454,2651,3455,2651,3455,2692,3455,2695,3455,2697,3455,2700,3454,2700,3455,2699,3455,2697,3456,2694,3457,2693,3458,2691,3458,2690,3459,2688,3460,2687,3460,2685,3461,2684,3462,2657,3475,2655,3476,2654,3477,2652,3478,2651,3479,2651,3479,2650,3480,2650,3481,2650,3482,2650,3483,2650,3494,2650,3495,2651,3495,2652,3496,2653,3497,2718,3497,2718,3497,2718,3496,2719,3496,2719,3496,2719,3495,2719,3493,2719,3487,2719,3486,2719,3486,2718,3485,2718,3485,2718,3485,2718,3485,2675,3485,2673,3485,2670,3485,2668,3485,2665,3485,2667,3484,2669,3483,2672,3483,2676,3481,2678,3480,2710,3463,2712,3462,2714,3462,2715,3461,2716,3460,2717,3460,2718,3459,2718,3458,2719,3457,2719,3455,2719,3454,2719,3447xm2720,3414l2720,3404,2720,3402,2718,3398,2717,3395,2715,3393,2713,3391,2710,3389,2710,3388,2710,3411,2709,3413,2708,3414,2708,3416,2706,3417,2705,3418,2703,3418,2702,3419,2698,3420,2696,3420,2691,3420,2688,3420,2686,3419,2684,3419,2683,3418,2681,3417,2680,3416,2679,3415,2678,3414,2677,3412,2677,3411,2677,3407,2677,3405,2679,3402,2680,3401,2682,3400,2683,3399,2685,3399,2689,3398,2691,3398,2696,3398,2698,3398,2700,3398,2702,3399,2704,3400,2705,3401,2707,3401,2708,3403,2708,3404,2709,3405,2710,3407,2710,3411,2710,3388,2707,3387,2701,3385,2697,3385,2689,3385,2685,3385,2681,3386,2678,3387,2675,3389,2671,3392,2669,3395,2667,3401,2667,3401,2667,3402,2666,3414,2667,3416,2667,3416,2669,3420,2670,3422,2671,3425,2676,3429,2679,3431,2686,3433,2690,3433,2698,3433,2702,3433,2705,3432,2708,3431,2711,3429,2713,3427,2716,3425,2717,3423,2719,3420,2720,3417,2720,3414xm3843,3504l3843,3500,3842,3497,3841,3496,3840,3496,3776,3476,3775,3475,3773,3475,3773,3475,3772,3476,3771,3477,3771,3486,3772,3487,3772,3487,3773,3488,3774,3488,3807,3498,3807,3498,3775,3508,3774,3509,3773,3509,3773,3509,3772,3509,3772,3510,3771,3511,3771,3511,3806,3511,3821,3506,3821,3506,3822,3505,3822,3505,3823,3505,3823,3504,3823,3504,3839,3510,3840,3510,3841,3510,3842,3510,3842,3509,3842,3508,3843,3507,3843,3504xm4914,3294l4914,3292,4913,3290,4913,3289,4912,3288,4911,3287,4910,3286,4908,3285,4907,3284,4906,3283,4901,3281,4899,3281,4897,3280,4896,3280,4895,3279,4894,3279,4893,3278,4892,3277,4891,3277,4891,3276,4891,3273,4892,3273,4892,3272,4892,3272,4893,3271,4893,3271,4895,3270,4896,3270,4900,3270,4903,3270,4907,3272,4909,3273,4910,3273,4911,3273,4911,3273,4911,3273,4911,3273,4911,3272,4912,3272,4912,3272,4912,3271,4912,3267,4912,3266,4912,3266,4911,3265,4911,3265,4911,3264,4911,3264,4910,3264,4908,3263,4906,3262,4899,3261,4895,3261,4892,3262,4890,3262,4887,3263,4885,3264,4884,3265,4882,3266,4881,3268,4880,3270,4879,3271,4879,3273,4879,3278,4879,3279,4880,3282,4881,3283,4883,3286,4884,3286,4887,3288,4890,3289,4891,3290,4893,3290,4894,3291,4896,3291,4897,3292,4898,3292,4899,3293,4900,3293,4900,3294,4901,3295,4901,3296,4901,3297,4901,3299,4901,3299,4900,3300,4899,3300,4898,3301,4895,3302,4892,3302,4890,3302,4889,3301,4887,3301,4885,3300,4881,3298,4880,3298,4879,3298,4879,3298,4879,3298,4879,3298,4879,3299,4878,3299,4878,3301,4878,3301,4878,3304,4879,3306,4879,3307,4880,3307,4880,3308,4881,3308,4883,3309,4887,3310,4892,3311,4897,3311,4900,3310,4905,3309,4907,3308,4909,3307,4911,3306,4912,3304,4914,3300,4914,3298,4914,3296,4914,3294xe" filled="true" fillcolor="#000000" stroked="false">
              <v:path arrowok="t"/>
              <v:fill type="solid"/>
            </v:shape>
            <v:shape style="position:absolute;left:2930;top:3276;width:544;height:387" type="#_x0000_t75" stroked="false">
              <v:imagedata r:id="rId42" o:title=""/>
            </v:shape>
            <v:shape style="position:absolute;left:9910;top:3394;width:784;height:119" type="#_x0000_t75" stroked="false">
              <v:imagedata r:id="rId43" o:title=""/>
            </v:shape>
            <v:shape style="position:absolute;left:3947;top:3240;width:892;height:448" type="#_x0000_t75" stroked="false">
              <v:imagedata r:id="rId44" o:title=""/>
            </v:shape>
            <v:shape style="position:absolute;left:3596;top:3552;width:228;height:121" coordorigin="3596,3552" coordsize="228,121" path="m3668,3641l3668,3639,3667,3635,3667,3633,3665,3629,3663,3626,3662,3625,3661,3625,3661,3625,3661,3625,3660,3625,3660,3624,3657,3624,3653,3624,3652,3625,3651,3625,3651,3625,3651,3625,3651,3626,3651,3626,3652,3628,3652,3629,3653,3630,3653,3631,3654,3632,3656,3637,3656,3639,3656,3644,3656,3646,3655,3648,3654,3651,3652,3652,3649,3655,3646,3656,3640,3658,3637,3658,3629,3658,3625,3658,3622,3657,3619,3657,3617,3655,3613,3653,3611,3651,3610,3649,3609,3647,3608,3644,3608,3639,3609,3637,3610,3633,3612,3630,3614,3628,3614,3627,3614,3626,3614,3625,3612,3625,3605,3625,3605,3625,3604,3625,3604,3625,3603,3625,3602,3626,3601,3627,3600,3629,3598,3632,3596,3639,3596,3647,3597,3651,3600,3658,3603,3662,3606,3664,3609,3667,3613,3669,3617,3671,3622,3672,3627,3673,3639,3673,3644,3672,3653,3669,3657,3667,3660,3665,3662,3662,3665,3659,3666,3656,3668,3652,3668,3648,3668,3641xm3804,3663l3804,3662,3804,3661,3804,3660,3804,3659,3804,3658,3803,3658,3802,3658,3731,3658,3730,3658,3729,3660,3729,3661,3729,3662,3729,3666,3729,3667,3729,3668,3730,3670,3731,3670,3803,3670,3803,3670,3804,3669,3804,3668,3804,3667,3804,3666,3804,3665,3804,3663xm3805,3634l3805,3626,3805,3625,3802,3620,3801,3618,3799,3616,3803,3616,3804,3615,3804,3614,3804,3607,3804,3607,3804,3606,3803,3606,3795,3606,3795,3630,3795,3631,3794,3633,3793,3634,3791,3634,3788,3634,3787,3634,3786,3634,3784,3633,3784,3632,3783,3631,3782,3629,3782,3627,3782,3618,3790,3618,3792,3620,3793,3621,3794,3623,3795,3624,3795,3625,3795,3630,3795,3606,3767,3606,3764,3606,3759,3607,3757,3609,3756,3610,3754,3612,3753,3614,3752,3616,3751,3619,3751,3620,3751,3629,3751,3630,3752,3631,3752,3633,3752,3635,3753,3636,3753,3638,3754,3639,3755,3642,3756,3643,3757,3644,3758,3644,3760,3644,3762,3644,3762,3644,3763,3644,3764,3644,3764,3644,3765,3644,3766,3643,3766,3643,3766,3643,3766,3641,3765,3640,3765,3639,3764,3638,3763,3636,3763,3634,3762,3632,3762,3631,3761,3629,3761,3624,3762,3623,3762,3621,3763,3621,3764,3619,3765,3619,3766,3618,3767,3618,3769,3618,3773,3618,3773,3627,3774,3629,3774,3631,3775,3636,3776,3639,3779,3643,3780,3644,3782,3645,3784,3646,3787,3647,3792,3647,3794,3646,3798,3645,3800,3644,3803,3641,3804,3639,3804,3637,3805,3635,3805,3634xm3824,3579l3823,3577,3823,3574,3822,3573,3821,3573,3757,3552,3756,3552,3754,3552,3753,3552,3753,3553,3752,3554,3752,3555,3752,3556,3752,3562,3752,3562,3752,3563,3753,3564,3753,3564,3754,3564,3755,3565,3788,3574,3788,3575,3755,3585,3754,3585,3754,3586,3753,3586,3753,3586,3753,3587,3752,3587,3752,3588,3752,3595,3752,3596,3752,3597,3753,3598,3753,3599,3754,3599,3755,3599,3756,3599,3757,3598,3802,3583,3802,3583,3803,3582,3803,3582,3803,3582,3804,3581,3804,3581,3820,3587,3821,3587,3822,3587,3823,3586,3823,3586,3823,3585,3824,3584,3824,3581,3824,3579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7"/>
        <w:ind w:left="78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Note: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f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=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ferruginized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BodyText"/>
        <w:spacing w:line="588" w:lineRule="auto" w:before="1"/>
        <w:ind w:left="4579" w:right="2985" w:hanging="1914"/>
      </w:pPr>
      <w:r>
        <w:rPr/>
        <w:t>Figure 4.2: Lithological section of KTG2</w:t>
      </w:r>
      <w:r>
        <w:rPr>
          <w:spacing w:val="-57"/>
        </w:rPr>
        <w:t> </w:t>
      </w:r>
      <w:r>
        <w:rPr/>
        <w:t>43</w:t>
      </w:r>
    </w:p>
    <w:p>
      <w:pPr>
        <w:spacing w:after="0" w:line="588" w:lineRule="auto"/>
        <w:sectPr>
          <w:type w:val="continuous"/>
          <w:pgSz w:w="11910" w:h="16840"/>
          <w:pgMar w:top="1360" w:bottom="1200" w:left="1540" w:right="740"/>
        </w:sectPr>
      </w:pPr>
    </w:p>
    <w:p>
      <w:pPr>
        <w:pStyle w:val="Heading1"/>
        <w:numPr>
          <w:ilvl w:val="1"/>
          <w:numId w:val="13"/>
        </w:numPr>
        <w:tabs>
          <w:tab w:pos="1166" w:val="left" w:leader="none"/>
        </w:tabs>
        <w:spacing w:line="240" w:lineRule="auto" w:before="74" w:after="0"/>
        <w:ind w:left="1165" w:right="0" w:hanging="721"/>
        <w:jc w:val="both"/>
      </w:pPr>
      <w:bookmarkStart w:name="_TOC_250007" w:id="38"/>
      <w:r>
        <w:rPr/>
        <w:t>Laboratory</w:t>
      </w:r>
      <w:r>
        <w:rPr>
          <w:spacing w:val="-5"/>
        </w:rPr>
        <w:t> </w:t>
      </w:r>
      <w:bookmarkEnd w:id="38"/>
      <w:r>
        <w:rPr/>
        <w:t>Result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480" w:lineRule="auto"/>
        <w:ind w:left="445" w:right="678"/>
        <w:jc w:val="both"/>
      </w:pPr>
      <w:r>
        <w:rPr/>
        <w:t>Results of all the physical and chemical analyses are presented in (Tables 4.1 to 4.3).</w:t>
      </w:r>
      <w:r>
        <w:rPr>
          <w:spacing w:val="1"/>
        </w:rPr>
        <w:t> </w:t>
      </w:r>
      <w:r>
        <w:rPr/>
        <w:t>The Atterberg‟s limit test and Shrinkage test are presented in percentage. The results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mineralogical</w:t>
      </w:r>
      <w:r>
        <w:rPr>
          <w:spacing w:val="-1"/>
        </w:rPr>
        <w:t> </w:t>
      </w:r>
      <w:r>
        <w:rPr/>
        <w:t>analysis and</w:t>
      </w:r>
      <w:r>
        <w:rPr>
          <w:spacing w:val="1"/>
        </w:rPr>
        <w:t> </w:t>
      </w:r>
      <w:r>
        <w:rPr/>
        <w:t>geochemical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equally</w:t>
      </w:r>
      <w:r>
        <w:rPr>
          <w:spacing w:val="-9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percentages.</w:t>
      </w:r>
    </w:p>
    <w:p>
      <w:pPr>
        <w:pStyle w:val="Heading1"/>
        <w:numPr>
          <w:ilvl w:val="2"/>
          <w:numId w:val="13"/>
        </w:numPr>
        <w:tabs>
          <w:tab w:pos="1166" w:val="left" w:leader="none"/>
        </w:tabs>
        <w:spacing w:line="240" w:lineRule="auto" w:before="12" w:after="0"/>
        <w:ind w:left="1165" w:right="0" w:hanging="721"/>
        <w:jc w:val="both"/>
      </w:pPr>
      <w:bookmarkStart w:name="_TOC_250006" w:id="39"/>
      <w:r>
        <w:rPr/>
        <w:t>Atterberg’s</w:t>
      </w:r>
      <w:r>
        <w:rPr>
          <w:spacing w:val="-3"/>
        </w:rPr>
        <w:t> </w:t>
      </w:r>
      <w:r>
        <w:rPr/>
        <w:t>limit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shrinkage</w:t>
      </w:r>
      <w:r>
        <w:rPr>
          <w:spacing w:val="-5"/>
        </w:rPr>
        <w:t> </w:t>
      </w:r>
      <w:bookmarkEnd w:id="39"/>
      <w:r>
        <w:rPr/>
        <w:t>test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445" w:right="670"/>
        <w:jc w:val="both"/>
      </w:pPr>
      <w:r>
        <w:rPr/>
        <w:t>The results</w:t>
      </w:r>
      <w:r>
        <w:rPr>
          <w:spacing w:val="1"/>
        </w:rPr>
        <w:t> </w:t>
      </w:r>
      <w:r>
        <w:rPr/>
        <w:t>of the moisture contents,</w:t>
      </w:r>
      <w:r>
        <w:rPr>
          <w:spacing w:val="1"/>
        </w:rPr>
        <w:t> </w:t>
      </w:r>
      <w:r>
        <w:rPr/>
        <w:t>Atterberg‟s limits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geotechnical analysis of Kutigi clay deposits are presented in (Table 4.1). The average</w:t>
      </w:r>
      <w:r>
        <w:rPr>
          <w:spacing w:val="1"/>
        </w:rPr>
        <w:t> </w:t>
      </w:r>
      <w:r>
        <w:rPr/>
        <w:t>moisture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9"/>
        </w:rPr>
        <w:t> </w:t>
      </w:r>
      <w:r>
        <w:rPr/>
        <w:t>clay</w:t>
      </w:r>
      <w:r>
        <w:rPr>
          <w:spacing w:val="-9"/>
        </w:rPr>
        <w:t> </w:t>
      </w:r>
      <w:r>
        <w:rPr/>
        <w:t>show very</w:t>
      </w:r>
      <w:r>
        <w:rPr>
          <w:spacing w:val="-9"/>
        </w:rPr>
        <w:t> </w:t>
      </w:r>
      <w:r>
        <w:rPr/>
        <w:t>low</w:t>
      </w:r>
      <w:r>
        <w:rPr>
          <w:spacing w:val="3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0.88%.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Atterberg‟s</w:t>
      </w:r>
      <w:r>
        <w:rPr>
          <w:spacing w:val="-58"/>
        </w:rPr>
        <w:t> </w:t>
      </w:r>
      <w:r>
        <w:rPr/>
        <w:t>limit (which comprises liquid limit (LL), plastic limit (PL), plasticity index (PI), and</w:t>
      </w:r>
      <w:r>
        <w:rPr>
          <w:spacing w:val="1"/>
        </w:rPr>
        <w:t> </w:t>
      </w:r>
      <w:r>
        <w:rPr/>
        <w:t>shrinkage limits (SL)) are as follow; an average liquid limit of about 23.65%, plastic</w:t>
      </w:r>
      <w:r>
        <w:rPr>
          <w:spacing w:val="1"/>
        </w:rPr>
        <w:t> </w:t>
      </w:r>
      <w:r>
        <w:rPr/>
        <w:t>limit of about 17.01%, plasticity index of about 6.63%, and a linear shrinkage limit of</w:t>
      </w:r>
      <w:r>
        <w:rPr>
          <w:spacing w:val="1"/>
        </w:rPr>
        <w:t> </w:t>
      </w:r>
      <w:r>
        <w:rPr/>
        <w:t>about 5.03%.</w:t>
      </w:r>
    </w:p>
    <w:p>
      <w:pPr>
        <w:pStyle w:val="Heading1"/>
        <w:spacing w:before="13"/>
        <w:ind w:left="1885" w:firstLine="0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54"/>
        </w:rPr>
        <w:t> </w:t>
      </w:r>
      <w:r>
        <w:rPr/>
        <w:t>Geotechnical</w:t>
      </w:r>
      <w:r>
        <w:rPr>
          <w:spacing w:val="-1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Kutigi</w:t>
      </w:r>
      <w:r>
        <w:rPr>
          <w:spacing w:val="-2"/>
        </w:rPr>
        <w:t> </w:t>
      </w:r>
      <w:r>
        <w:rPr/>
        <w:t>clay</w:t>
      </w:r>
      <w:r>
        <w:rPr>
          <w:spacing w:val="-2"/>
        </w:rPr>
        <w:t> </w:t>
      </w:r>
      <w:r>
        <w:rPr/>
        <w:t>deposit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1"/>
        <w:gridCol w:w="641"/>
        <w:gridCol w:w="709"/>
        <w:gridCol w:w="709"/>
        <w:gridCol w:w="709"/>
        <w:gridCol w:w="708"/>
        <w:gridCol w:w="707"/>
        <w:gridCol w:w="707"/>
        <w:gridCol w:w="655"/>
        <w:gridCol w:w="1210"/>
        <w:gridCol w:w="1152"/>
      </w:tblGrid>
      <w:tr>
        <w:trPr>
          <w:trHeight w:val="785" w:hRule="atLeast"/>
        </w:trPr>
        <w:tc>
          <w:tcPr>
            <w:tcW w:w="11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SAMPLE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168" w:hanging="99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1A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36" w:hanging="99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1C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49" w:hanging="11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1F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31" w:hanging="94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1G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35" w:hanging="99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2A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43" w:right="127" w:hanging="106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2B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34" w:right="126" w:hanging="96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2D</w:t>
            </w:r>
          </w:p>
        </w:tc>
        <w:tc>
          <w:tcPr>
            <w:tcW w:w="6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7" w:lineRule="auto"/>
              <w:ind w:left="250" w:right="73" w:hanging="11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KTG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2F</w:t>
            </w:r>
          </w:p>
        </w:tc>
        <w:tc>
          <w:tcPr>
            <w:tcW w:w="12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2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Range</w:t>
            </w:r>
          </w:p>
        </w:tc>
        <w:tc>
          <w:tcPr>
            <w:tcW w:w="115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8" w:lineRule="exact"/>
              <w:ind w:left="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Average</w:t>
            </w:r>
          </w:p>
        </w:tc>
      </w:tr>
      <w:tr>
        <w:trPr>
          <w:trHeight w:val="863" w:hRule="atLeast"/>
        </w:trPr>
        <w:tc>
          <w:tcPr>
            <w:tcW w:w="11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Moisture</w:t>
            </w:r>
          </w:p>
          <w:p>
            <w:pPr>
              <w:pStyle w:val="TableParagraph"/>
              <w:spacing w:before="5"/>
              <w:ind w:left="384" w:right="57" w:hanging="152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content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0.56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0.69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0.98</w:t>
            </w:r>
          </w:p>
        </w:tc>
        <w:tc>
          <w:tcPr>
            <w:tcW w:w="70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10" w:right="107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10" w:right="105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10" w:right="105"/>
              <w:rPr>
                <w:sz w:val="20"/>
              </w:rPr>
            </w:pPr>
            <w:r>
              <w:rPr>
                <w:sz w:val="20"/>
              </w:rPr>
              <w:t>1.28</w:t>
            </w:r>
          </w:p>
        </w:tc>
        <w:tc>
          <w:tcPr>
            <w:tcW w:w="6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111" w:right="52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121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6" w:lineRule="exact"/>
              <w:ind w:left="85"/>
              <w:jc w:val="left"/>
              <w:rPr>
                <w:sz w:val="20"/>
              </w:rPr>
            </w:pPr>
            <w:r>
              <w:rPr>
                <w:sz w:val="20"/>
              </w:rPr>
              <w:t>0.35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1.28</w:t>
            </w:r>
          </w:p>
        </w:tc>
        <w:tc>
          <w:tcPr>
            <w:tcW w:w="115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0.88</w:t>
            </w:r>
          </w:p>
        </w:tc>
      </w:tr>
      <w:tr>
        <w:trPr>
          <w:trHeight w:val="1042" w:hRule="atLeast"/>
        </w:trPr>
        <w:tc>
          <w:tcPr>
            <w:tcW w:w="1161" w:type="dxa"/>
          </w:tcPr>
          <w:p>
            <w:pPr>
              <w:pStyle w:val="TableParagraph"/>
              <w:spacing w:before="181"/>
              <w:ind w:left="362" w:right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Liquid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limit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641" w:type="dxa"/>
          </w:tcPr>
          <w:p>
            <w:pPr>
              <w:pStyle w:val="TableParagraph"/>
              <w:spacing w:before="172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18.31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22.41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20.09</w:t>
            </w:r>
          </w:p>
        </w:tc>
        <w:tc>
          <w:tcPr>
            <w:tcW w:w="709" w:type="dxa"/>
          </w:tcPr>
          <w:p>
            <w:pPr>
              <w:pStyle w:val="TableParagraph"/>
              <w:spacing w:before="172"/>
              <w:ind w:left="133"/>
              <w:jc w:val="left"/>
              <w:rPr>
                <w:sz w:val="20"/>
              </w:rPr>
            </w:pPr>
            <w:r>
              <w:rPr>
                <w:sz w:val="20"/>
              </w:rPr>
              <w:t>32.25</w:t>
            </w:r>
          </w:p>
        </w:tc>
        <w:tc>
          <w:tcPr>
            <w:tcW w:w="708" w:type="dxa"/>
          </w:tcPr>
          <w:p>
            <w:pPr>
              <w:pStyle w:val="TableParagraph"/>
              <w:spacing w:before="172"/>
              <w:ind w:left="111" w:right="107"/>
              <w:rPr>
                <w:sz w:val="20"/>
              </w:rPr>
            </w:pPr>
            <w:r>
              <w:rPr>
                <w:sz w:val="20"/>
              </w:rPr>
              <w:t>16.20</w:t>
            </w:r>
          </w:p>
        </w:tc>
        <w:tc>
          <w:tcPr>
            <w:tcW w:w="707" w:type="dxa"/>
          </w:tcPr>
          <w:p>
            <w:pPr>
              <w:pStyle w:val="TableParagraph"/>
              <w:spacing w:before="172"/>
              <w:ind w:left="110" w:right="105"/>
              <w:rPr>
                <w:sz w:val="20"/>
              </w:rPr>
            </w:pPr>
            <w:r>
              <w:rPr>
                <w:sz w:val="20"/>
              </w:rPr>
              <w:t>30.01</w:t>
            </w:r>
          </w:p>
        </w:tc>
        <w:tc>
          <w:tcPr>
            <w:tcW w:w="707" w:type="dxa"/>
          </w:tcPr>
          <w:p>
            <w:pPr>
              <w:pStyle w:val="TableParagraph"/>
              <w:spacing w:before="172"/>
              <w:ind w:left="111" w:right="104"/>
              <w:rPr>
                <w:sz w:val="20"/>
              </w:rPr>
            </w:pPr>
            <w:r>
              <w:rPr>
                <w:sz w:val="20"/>
              </w:rPr>
              <w:t>31.78</w:t>
            </w:r>
          </w:p>
        </w:tc>
        <w:tc>
          <w:tcPr>
            <w:tcW w:w="655" w:type="dxa"/>
          </w:tcPr>
          <w:p>
            <w:pPr>
              <w:pStyle w:val="TableParagraph"/>
              <w:spacing w:before="172"/>
              <w:ind w:left="113" w:right="52"/>
              <w:rPr>
                <w:sz w:val="20"/>
              </w:rPr>
            </w:pPr>
            <w:r>
              <w:rPr>
                <w:sz w:val="20"/>
              </w:rPr>
              <w:t>18.20</w:t>
            </w:r>
          </w:p>
        </w:tc>
        <w:tc>
          <w:tcPr>
            <w:tcW w:w="1210" w:type="dxa"/>
          </w:tcPr>
          <w:p>
            <w:pPr>
              <w:pStyle w:val="TableParagraph"/>
              <w:spacing w:before="172"/>
              <w:ind w:left="94"/>
              <w:jc w:val="left"/>
              <w:rPr>
                <w:sz w:val="20"/>
              </w:rPr>
            </w:pPr>
            <w:r>
              <w:rPr>
                <w:sz w:val="20"/>
              </w:rPr>
              <w:t>16.20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32.25</w:t>
            </w:r>
          </w:p>
        </w:tc>
        <w:tc>
          <w:tcPr>
            <w:tcW w:w="1152" w:type="dxa"/>
          </w:tcPr>
          <w:p>
            <w:pPr>
              <w:pStyle w:val="TableParagraph"/>
              <w:spacing w:before="172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23.65</w:t>
            </w:r>
          </w:p>
        </w:tc>
      </w:tr>
      <w:tr>
        <w:trPr>
          <w:trHeight w:val="977" w:hRule="atLeast"/>
        </w:trPr>
        <w:tc>
          <w:tcPr>
            <w:tcW w:w="1161" w:type="dxa"/>
          </w:tcPr>
          <w:p>
            <w:pPr>
              <w:pStyle w:val="TableParagraph"/>
              <w:spacing w:before="173"/>
              <w:ind w:left="361" w:right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Plastic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limit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641" w:type="dxa"/>
          </w:tcPr>
          <w:p>
            <w:pPr>
              <w:pStyle w:val="TableParagraph"/>
              <w:spacing w:before="163"/>
              <w:ind w:left="65"/>
              <w:jc w:val="left"/>
              <w:rPr>
                <w:sz w:val="20"/>
              </w:rPr>
            </w:pPr>
            <w:r>
              <w:rPr>
                <w:sz w:val="20"/>
              </w:rPr>
              <w:t>13.01</w:t>
            </w:r>
          </w:p>
        </w:tc>
        <w:tc>
          <w:tcPr>
            <w:tcW w:w="709" w:type="dxa"/>
          </w:tcPr>
          <w:p>
            <w:pPr>
              <w:pStyle w:val="TableParagraph"/>
              <w:spacing w:before="163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16.19</w:t>
            </w:r>
          </w:p>
        </w:tc>
        <w:tc>
          <w:tcPr>
            <w:tcW w:w="709" w:type="dxa"/>
          </w:tcPr>
          <w:p>
            <w:pPr>
              <w:pStyle w:val="TableParagraph"/>
              <w:spacing w:before="163"/>
              <w:ind w:left="134"/>
              <w:jc w:val="left"/>
              <w:rPr>
                <w:sz w:val="20"/>
              </w:rPr>
            </w:pPr>
            <w:r>
              <w:rPr>
                <w:sz w:val="20"/>
              </w:rPr>
              <w:t>17.81</w:t>
            </w:r>
          </w:p>
        </w:tc>
        <w:tc>
          <w:tcPr>
            <w:tcW w:w="709" w:type="dxa"/>
          </w:tcPr>
          <w:p>
            <w:pPr>
              <w:pStyle w:val="TableParagraph"/>
              <w:spacing w:before="163"/>
              <w:ind w:left="133"/>
              <w:jc w:val="left"/>
              <w:rPr>
                <w:sz w:val="20"/>
              </w:rPr>
            </w:pPr>
            <w:r>
              <w:rPr>
                <w:sz w:val="20"/>
              </w:rPr>
              <w:t>22.10</w:t>
            </w:r>
          </w:p>
        </w:tc>
        <w:tc>
          <w:tcPr>
            <w:tcW w:w="708" w:type="dxa"/>
          </w:tcPr>
          <w:p>
            <w:pPr>
              <w:pStyle w:val="TableParagraph"/>
              <w:spacing w:before="163"/>
              <w:ind w:left="111" w:right="105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707" w:type="dxa"/>
          </w:tcPr>
          <w:p>
            <w:pPr>
              <w:pStyle w:val="TableParagraph"/>
              <w:spacing w:before="163"/>
              <w:ind w:left="110" w:right="105"/>
              <w:rPr>
                <w:sz w:val="20"/>
              </w:rPr>
            </w:pPr>
            <w:r>
              <w:rPr>
                <w:sz w:val="20"/>
              </w:rPr>
              <w:t>27.00</w:t>
            </w:r>
          </w:p>
        </w:tc>
        <w:tc>
          <w:tcPr>
            <w:tcW w:w="707" w:type="dxa"/>
          </w:tcPr>
          <w:p>
            <w:pPr>
              <w:pStyle w:val="TableParagraph"/>
              <w:spacing w:before="163"/>
              <w:ind w:left="111" w:right="104"/>
              <w:rPr>
                <w:sz w:val="20"/>
              </w:rPr>
            </w:pPr>
            <w:r>
              <w:rPr>
                <w:sz w:val="20"/>
              </w:rPr>
              <w:t>21.22</w:t>
            </w:r>
          </w:p>
        </w:tc>
        <w:tc>
          <w:tcPr>
            <w:tcW w:w="655" w:type="dxa"/>
          </w:tcPr>
          <w:p>
            <w:pPr>
              <w:pStyle w:val="TableParagraph"/>
              <w:spacing w:before="163"/>
              <w:ind w:left="113" w:right="50"/>
              <w:rPr>
                <w:sz w:val="20"/>
              </w:rPr>
            </w:pPr>
            <w:r>
              <w:rPr>
                <w:sz w:val="20"/>
              </w:rPr>
              <w:t>9.76</w:t>
            </w:r>
          </w:p>
        </w:tc>
        <w:tc>
          <w:tcPr>
            <w:tcW w:w="1210" w:type="dxa"/>
          </w:tcPr>
          <w:p>
            <w:pPr>
              <w:pStyle w:val="TableParagraph"/>
              <w:spacing w:before="16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9.00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27.00</w:t>
            </w:r>
          </w:p>
        </w:tc>
        <w:tc>
          <w:tcPr>
            <w:tcW w:w="1152" w:type="dxa"/>
          </w:tcPr>
          <w:p>
            <w:pPr>
              <w:pStyle w:val="TableParagraph"/>
              <w:spacing w:before="163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17.01</w:t>
            </w:r>
          </w:p>
        </w:tc>
      </w:tr>
      <w:tr>
        <w:trPr>
          <w:trHeight w:val="870" w:hRule="atLeast"/>
        </w:trPr>
        <w:tc>
          <w:tcPr>
            <w:tcW w:w="1161" w:type="dxa"/>
          </w:tcPr>
          <w:p>
            <w:pPr>
              <w:pStyle w:val="TableParagraph"/>
              <w:spacing w:line="244" w:lineRule="auto" w:before="106"/>
              <w:ind w:left="237" w:right="57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Plasticity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Index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(%)</w:t>
            </w:r>
          </w:p>
        </w:tc>
        <w:tc>
          <w:tcPr>
            <w:tcW w:w="641" w:type="dxa"/>
          </w:tcPr>
          <w:p>
            <w:pPr>
              <w:pStyle w:val="TableParagraph"/>
              <w:spacing w:before="106"/>
              <w:ind w:left="166"/>
              <w:jc w:val="left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709" w:type="dxa"/>
          </w:tcPr>
          <w:p>
            <w:pPr>
              <w:pStyle w:val="TableParagraph"/>
              <w:spacing w:before="106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6.22</w:t>
            </w:r>
          </w:p>
        </w:tc>
        <w:tc>
          <w:tcPr>
            <w:tcW w:w="709" w:type="dxa"/>
          </w:tcPr>
          <w:p>
            <w:pPr>
              <w:pStyle w:val="TableParagraph"/>
              <w:spacing w:before="106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2.28</w:t>
            </w:r>
          </w:p>
        </w:tc>
        <w:tc>
          <w:tcPr>
            <w:tcW w:w="709" w:type="dxa"/>
          </w:tcPr>
          <w:p>
            <w:pPr>
              <w:pStyle w:val="TableParagraph"/>
              <w:spacing w:before="106"/>
              <w:ind w:left="133"/>
              <w:jc w:val="left"/>
              <w:rPr>
                <w:sz w:val="20"/>
              </w:rPr>
            </w:pPr>
            <w:r>
              <w:rPr>
                <w:sz w:val="20"/>
              </w:rPr>
              <w:t>10.15</w:t>
            </w:r>
          </w:p>
        </w:tc>
        <w:tc>
          <w:tcPr>
            <w:tcW w:w="708" w:type="dxa"/>
          </w:tcPr>
          <w:p>
            <w:pPr>
              <w:pStyle w:val="TableParagraph"/>
              <w:spacing w:before="106"/>
              <w:ind w:left="111" w:right="105"/>
              <w:rPr>
                <w:sz w:val="20"/>
              </w:rPr>
            </w:pPr>
            <w:r>
              <w:rPr>
                <w:sz w:val="20"/>
              </w:rPr>
              <w:t>7.20</w:t>
            </w:r>
          </w:p>
        </w:tc>
        <w:tc>
          <w:tcPr>
            <w:tcW w:w="707" w:type="dxa"/>
          </w:tcPr>
          <w:p>
            <w:pPr>
              <w:pStyle w:val="TableParagraph"/>
              <w:spacing w:before="106"/>
              <w:ind w:left="111" w:right="104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707" w:type="dxa"/>
          </w:tcPr>
          <w:p>
            <w:pPr>
              <w:pStyle w:val="TableParagraph"/>
              <w:spacing w:before="106"/>
              <w:ind w:left="111" w:right="104"/>
              <w:rPr>
                <w:sz w:val="20"/>
              </w:rPr>
            </w:pPr>
            <w:r>
              <w:rPr>
                <w:sz w:val="20"/>
              </w:rPr>
              <w:t>10.56</w:t>
            </w:r>
          </w:p>
        </w:tc>
        <w:tc>
          <w:tcPr>
            <w:tcW w:w="655" w:type="dxa"/>
          </w:tcPr>
          <w:p>
            <w:pPr>
              <w:pStyle w:val="TableParagraph"/>
              <w:spacing w:before="106"/>
              <w:ind w:left="113" w:right="50"/>
              <w:rPr>
                <w:sz w:val="20"/>
              </w:rPr>
            </w:pPr>
            <w:r>
              <w:rPr>
                <w:sz w:val="20"/>
              </w:rPr>
              <w:t>8.24</w:t>
            </w:r>
          </w:p>
        </w:tc>
        <w:tc>
          <w:tcPr>
            <w:tcW w:w="1210" w:type="dxa"/>
          </w:tcPr>
          <w:p>
            <w:pPr>
              <w:pStyle w:val="TableParagraph"/>
              <w:spacing w:before="106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2.28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10.56</w:t>
            </w:r>
          </w:p>
        </w:tc>
        <w:tc>
          <w:tcPr>
            <w:tcW w:w="1152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32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6.63</w:t>
            </w:r>
          </w:p>
        </w:tc>
      </w:tr>
      <w:tr>
        <w:trPr>
          <w:trHeight w:val="711" w:hRule="atLeast"/>
        </w:trPr>
        <w:tc>
          <w:tcPr>
            <w:tcW w:w="1161" w:type="dxa"/>
          </w:tcPr>
          <w:p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/>
              <w:ind w:left="213" w:hanging="46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Shrinkage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limit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641" w:type="dxa"/>
          </w:tcPr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15"/>
              <w:jc w:val="left"/>
              <w:rPr>
                <w:sz w:val="20"/>
              </w:rPr>
            </w:pPr>
            <w:r>
              <w:rPr>
                <w:sz w:val="20"/>
              </w:rPr>
              <w:t>3.76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177"/>
              <w:jc w:val="right"/>
              <w:rPr>
                <w:sz w:val="20"/>
              </w:rPr>
            </w:pPr>
            <w:r>
              <w:rPr>
                <w:sz w:val="20"/>
              </w:rPr>
              <w:t>3.99</w:t>
            </w: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4.78</w:t>
            </w:r>
          </w:p>
        </w:tc>
        <w:tc>
          <w:tcPr>
            <w:tcW w:w="709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5.05</w:t>
            </w:r>
          </w:p>
        </w:tc>
        <w:tc>
          <w:tcPr>
            <w:tcW w:w="708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11" w:right="105"/>
              <w:rPr>
                <w:sz w:val="20"/>
              </w:rPr>
            </w:pPr>
            <w:r>
              <w:rPr>
                <w:sz w:val="20"/>
              </w:rPr>
              <w:t>4.28</w:t>
            </w:r>
          </w:p>
        </w:tc>
        <w:tc>
          <w:tcPr>
            <w:tcW w:w="707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11" w:right="104"/>
              <w:rPr>
                <w:sz w:val="20"/>
              </w:rPr>
            </w:pPr>
            <w:r>
              <w:rPr>
                <w:sz w:val="20"/>
              </w:rPr>
              <w:t>5.79</w:t>
            </w:r>
          </w:p>
        </w:tc>
        <w:tc>
          <w:tcPr>
            <w:tcW w:w="707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11" w:right="100"/>
              <w:rPr>
                <w:sz w:val="20"/>
              </w:rPr>
            </w:pPr>
            <w:r>
              <w:rPr>
                <w:sz w:val="20"/>
              </w:rPr>
              <w:t>6.6</w:t>
            </w:r>
          </w:p>
        </w:tc>
        <w:tc>
          <w:tcPr>
            <w:tcW w:w="655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1210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3.76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6.6</w:t>
            </w:r>
          </w:p>
        </w:tc>
        <w:tc>
          <w:tcPr>
            <w:tcW w:w="1152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5.03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84.349998pt;margin-top:10.056543pt;width:454.4pt;height:.1pt;mso-position-horizontal-relative:page;mso-position-vertical-relative:paragraph;z-index:-15716352;mso-wrap-distance-left:0;mso-wrap-distance-right:0" coordorigin="1687,201" coordsize="9088,0" path="m1687,201l2788,201m2788,201l2808,201m2808,201l3497,201m3497,201l3516,201m3516,201l4205,201m4205,201l4224,201m4224,201l4915,201m4915,201l4935,201m4935,201l5624,201m5624,201l5643,201m5643,201l6332,201m6332,201l6351,201m6351,201l7040,201m7040,201l7059,201m7059,201l7751,201m7751,201l7770,201m7770,201l8459,201m8459,201l8478,201m8478,201l9594,201m9594,201l9613,201m9613,201l10775,201e" filled="false" stroked="true" strokeweight=".9498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0"/>
        <w:ind w:left="49" w:right="275"/>
        <w:jc w:val="center"/>
      </w:pPr>
      <w:r>
        <w:rPr/>
        <w:t>44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480" w:lineRule="auto" w:before="64"/>
        <w:ind w:left="445" w:right="669"/>
        <w:jc w:val="both"/>
      </w:pPr>
      <w:r>
        <w:rPr/>
        <w:t>The liquid limit range from 16.20 to 32.25 %, plastic limit from 9.00 to 27.00 % and the</w:t>
      </w:r>
      <w:r>
        <w:rPr>
          <w:spacing w:val="-57"/>
        </w:rPr>
        <w:t> </w:t>
      </w:r>
      <w:r>
        <w:rPr/>
        <w:t>plasticity index</w:t>
      </w:r>
      <w:r>
        <w:rPr>
          <w:spacing w:val="1"/>
        </w:rPr>
        <w:t> </w:t>
      </w:r>
      <w:r>
        <w:rPr/>
        <w:t>values of the clays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2.28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10.56</w:t>
      </w:r>
      <w:r>
        <w:rPr>
          <w:spacing w:val="60"/>
        </w:rPr>
        <w:t> </w:t>
      </w:r>
      <w:r>
        <w:rPr/>
        <w:t>% respectively suggesting that</w:t>
      </w:r>
      <w:r>
        <w:rPr>
          <w:spacing w:val="-57"/>
        </w:rPr>
        <w:t> </w:t>
      </w:r>
      <w:r>
        <w:rPr/>
        <w:t>the clays are generally of low to medium compressibility, low swelling and low to</w:t>
      </w:r>
      <w:r>
        <w:rPr>
          <w:spacing w:val="1"/>
        </w:rPr>
        <w:t> </w:t>
      </w:r>
      <w:r>
        <w:rPr/>
        <w:t>medium plasticity. Plasticity of clays is one of the most important parameters affecting</w:t>
      </w:r>
      <w:r>
        <w:rPr>
          <w:spacing w:val="1"/>
        </w:rPr>
        <w:t> </w:t>
      </w:r>
      <w:r>
        <w:rPr/>
        <w:t>the determination of clay material production and production processes (Murray 2007),</w:t>
      </w:r>
      <w:r>
        <w:rPr>
          <w:spacing w:val="1"/>
        </w:rPr>
        <w:t> </w:t>
      </w:r>
      <w:r>
        <w:rPr/>
        <w:t>its gives their suitability for commercial exploitation in the ceramic industries. The low</w:t>
      </w:r>
      <w:r>
        <w:rPr>
          <w:spacing w:val="1"/>
        </w:rPr>
        <w:t> </w:t>
      </w:r>
      <w:r>
        <w:rPr/>
        <w:t>plasticity index (</w:t>
      </w:r>
      <w:r>
        <w:rPr>
          <w:rFonts w:ascii="Symbol" w:hAnsi="Symbol"/>
        </w:rPr>
        <w:t></w:t>
      </w:r>
      <w:r>
        <w:rPr/>
        <w:t>10%) of clay indicate non-plastic clay (Siddiqui </w:t>
      </w:r>
      <w:r>
        <w:rPr>
          <w:i/>
        </w:rPr>
        <w:t>et al</w:t>
      </w:r>
      <w:r>
        <w:rPr/>
        <w:t>., 2005). This is</w:t>
      </w:r>
      <w:r>
        <w:rPr>
          <w:spacing w:val="1"/>
        </w:rPr>
        <w:t> </w:t>
      </w:r>
      <w:r>
        <w:rPr/>
        <w:t>probably as a result of high quartz and non-clay minerals content as observed in the</w:t>
      </w:r>
      <w:r>
        <w:rPr>
          <w:spacing w:val="1"/>
        </w:rPr>
        <w:t> </w:t>
      </w:r>
      <w:r>
        <w:rPr/>
        <w:t>mineralogy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clay.</w:t>
      </w:r>
      <w:r>
        <w:rPr>
          <w:spacing w:val="1"/>
        </w:rPr>
        <w:t> </w:t>
      </w:r>
      <w:r>
        <w:rPr/>
        <w:t>Plasticity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non-clay</w:t>
      </w:r>
      <w:r>
        <w:rPr>
          <w:spacing w:val="1"/>
        </w:rPr>
        <w:t> </w:t>
      </w:r>
      <w:r>
        <w:rPr/>
        <w:t>components.</w:t>
      </w:r>
    </w:p>
    <w:p>
      <w:pPr>
        <w:pStyle w:val="BodyText"/>
        <w:spacing w:line="480" w:lineRule="auto" w:before="2"/>
        <w:ind w:left="445" w:right="673"/>
        <w:jc w:val="both"/>
      </w:pPr>
      <w:r>
        <w:rPr/>
        <w:t>Punmia </w:t>
      </w:r>
      <w:r>
        <w:rPr>
          <w:i/>
        </w:rPr>
        <w:t>et al. </w:t>
      </w:r>
      <w:r>
        <w:rPr/>
        <w:t>(2005) gave classification of degree of clay expansion on the basis of</w:t>
      </w:r>
      <w:r>
        <w:rPr>
          <w:spacing w:val="1"/>
        </w:rPr>
        <w:t> </w:t>
      </w:r>
      <w:r>
        <w:rPr/>
        <w:t>percentage linear shrinkage of clay into expansive (5–8%) and non -critical expansive</w:t>
      </w:r>
      <w:r>
        <w:rPr>
          <w:spacing w:val="1"/>
        </w:rPr>
        <w:t> </w:t>
      </w:r>
      <w:r>
        <w:rPr/>
        <w:t>(</w:t>
      </w:r>
      <w:r>
        <w:rPr>
          <w:rFonts w:ascii="Symbol" w:hAnsi="Symbol"/>
        </w:rPr>
        <w:t></w:t>
      </w:r>
      <w:r>
        <w:rPr/>
        <w:t>5%). The result of firing and shrinkage tests indicate that fresh pellets measuring 4, 5,</w:t>
      </w:r>
      <w:r>
        <w:rPr>
          <w:spacing w:val="1"/>
        </w:rPr>
        <w:t> </w:t>
      </w:r>
      <w:r>
        <w:rPr/>
        <w:t>6,</w:t>
      </w:r>
      <w:r>
        <w:rPr>
          <w:spacing w:val="27"/>
        </w:rPr>
        <w:t> </w:t>
      </w:r>
      <w:r>
        <w:rPr/>
        <w:t>7,</w:t>
      </w:r>
      <w:r>
        <w:rPr>
          <w:spacing w:val="28"/>
        </w:rPr>
        <w:t> </w:t>
      </w:r>
      <w:r>
        <w:rPr/>
        <w:t>8,</w:t>
      </w:r>
      <w:r>
        <w:rPr>
          <w:spacing w:val="28"/>
        </w:rPr>
        <w:t> </w:t>
      </w:r>
      <w:r>
        <w:rPr/>
        <w:t>9,</w:t>
      </w:r>
      <w:r>
        <w:rPr>
          <w:spacing w:val="28"/>
        </w:rPr>
        <w:t> </w:t>
      </w:r>
      <w:r>
        <w:rPr/>
        <w:t>10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11cm</w:t>
      </w:r>
      <w:r>
        <w:rPr>
          <w:spacing w:val="29"/>
        </w:rPr>
        <w:t> </w:t>
      </w:r>
      <w:r>
        <w:rPr/>
        <w:t>respectively</w:t>
      </w:r>
      <w:r>
        <w:rPr>
          <w:spacing w:val="21"/>
        </w:rPr>
        <w:t> </w:t>
      </w:r>
      <w:r>
        <w:rPr/>
        <w:t>show</w:t>
      </w:r>
      <w:r>
        <w:rPr>
          <w:spacing w:val="31"/>
        </w:rPr>
        <w:t> </w:t>
      </w:r>
      <w:r>
        <w:rPr/>
        <w:t>appreciable</w:t>
      </w:r>
      <w:r>
        <w:rPr>
          <w:spacing w:val="26"/>
        </w:rPr>
        <w:t> </w:t>
      </w:r>
      <w:r>
        <w:rPr/>
        <w:t>shrinkage</w:t>
      </w:r>
      <w:r>
        <w:rPr>
          <w:spacing w:val="28"/>
        </w:rPr>
        <w:t> </w:t>
      </w:r>
      <w:r>
        <w:rPr/>
        <w:t>after</w:t>
      </w:r>
      <w:r>
        <w:rPr>
          <w:spacing w:val="28"/>
        </w:rPr>
        <w:t> </w:t>
      </w:r>
      <w:r>
        <w:rPr/>
        <w:t>firing</w:t>
      </w:r>
      <w:r>
        <w:rPr>
          <w:spacing w:val="26"/>
        </w:rPr>
        <w:t> </w:t>
      </w:r>
      <w:r>
        <w:rPr/>
        <w:t>at</w:t>
      </w:r>
      <w:r>
        <w:rPr>
          <w:spacing w:val="29"/>
        </w:rPr>
        <w:t> </w:t>
      </w:r>
      <w:r>
        <w:rPr/>
        <w:t>950</w:t>
      </w:r>
      <w:r>
        <w:rPr>
          <w:spacing w:val="30"/>
        </w:rPr>
        <w:t> </w:t>
      </w:r>
      <w:r>
        <w:rPr/>
        <w:t>–</w:t>
      </w:r>
    </w:p>
    <w:p>
      <w:pPr>
        <w:pStyle w:val="BodyText"/>
        <w:spacing w:line="480" w:lineRule="auto"/>
        <w:ind w:left="445" w:right="670"/>
        <w:jc w:val="both"/>
      </w:pPr>
      <w:r>
        <w:rPr/>
        <w:t>1100</w:t>
      </w:r>
      <w:r>
        <w:rPr>
          <w:vertAlign w:val="superscript"/>
        </w:rPr>
        <w:t>o</w:t>
      </w:r>
      <w:r>
        <w:rPr>
          <w:vertAlign w:val="baseline"/>
        </w:rPr>
        <w:t> C with the shrinkage values of</w:t>
      </w:r>
      <w:r>
        <w:rPr>
          <w:spacing w:val="1"/>
          <w:vertAlign w:val="baseline"/>
        </w:rPr>
        <w:t> </w:t>
      </w:r>
      <w:r>
        <w:rPr>
          <w:vertAlign w:val="baseline"/>
        </w:rPr>
        <w:t>3.76 %, 3.99 %, 4.78 %, 5.05 %, 4.28 %, 5.79 %,</w:t>
      </w:r>
      <w:r>
        <w:rPr>
          <w:spacing w:val="1"/>
          <w:vertAlign w:val="baseline"/>
        </w:rPr>
        <w:t> </w:t>
      </w:r>
      <w:r>
        <w:rPr>
          <w:vertAlign w:val="baseline"/>
        </w:rPr>
        <w:t>6.6%, and 6 %, respectively. The range from 3.76 to 6.6% of the study clay fall between</w:t>
      </w:r>
      <w:r>
        <w:rPr>
          <w:spacing w:val="-57"/>
          <w:vertAlign w:val="baseline"/>
        </w:rPr>
        <w:t> </w:t>
      </w:r>
      <w:r>
        <w:rPr>
          <w:vertAlign w:val="baseline"/>
        </w:rPr>
        <w:t>non-expansive clay categories. This can be explain by absent of expansive clay minerals</w:t>
      </w:r>
      <w:r>
        <w:rPr>
          <w:spacing w:val="-57"/>
          <w:vertAlign w:val="baseline"/>
        </w:rPr>
        <w:t> </w:t>
      </w:r>
      <w:r>
        <w:rPr>
          <w:vertAlign w:val="baseline"/>
        </w:rPr>
        <w:t>like</w:t>
      </w:r>
      <w:r>
        <w:rPr>
          <w:spacing w:val="-2"/>
          <w:vertAlign w:val="baseline"/>
        </w:rPr>
        <w:t> </w:t>
      </w:r>
      <w:r>
        <w:rPr>
          <w:vertAlign w:val="baseline"/>
        </w:rPr>
        <w:t>montmorillonite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study clay.</w:t>
      </w:r>
    </w:p>
    <w:p>
      <w:pPr>
        <w:pStyle w:val="Heading1"/>
        <w:numPr>
          <w:ilvl w:val="2"/>
          <w:numId w:val="13"/>
        </w:numPr>
        <w:tabs>
          <w:tab w:pos="1166" w:val="left" w:leader="none"/>
        </w:tabs>
        <w:spacing w:line="240" w:lineRule="auto" w:before="10" w:after="0"/>
        <w:ind w:left="1165" w:right="0" w:hanging="721"/>
        <w:jc w:val="both"/>
      </w:pPr>
      <w:r>
        <w:rPr/>
        <w:t>X-ray</w:t>
      </w:r>
      <w:r>
        <w:rPr>
          <w:spacing w:val="-4"/>
        </w:rPr>
        <w:t> </w:t>
      </w:r>
      <w:r>
        <w:rPr/>
        <w:t>diffraction</w:t>
      </w:r>
      <w:r>
        <w:rPr>
          <w:spacing w:val="-3"/>
        </w:rPr>
        <w:t> </w:t>
      </w:r>
      <w:r>
        <w:rPr/>
        <w:t>result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 w:before="1"/>
        <w:ind w:left="445" w:right="676"/>
        <w:jc w:val="both"/>
      </w:pPr>
      <w:r>
        <w:rPr/>
        <w:t>The XRD results revealed that the KTG1A sample consist mainly of Kaolinite, Biottite</w:t>
      </w:r>
      <w:r>
        <w:rPr>
          <w:spacing w:val="1"/>
        </w:rPr>
        <w:t> </w:t>
      </w:r>
      <w:r>
        <w:rPr/>
        <w:t>and Quartz (Figure 4.3). Sample from KTG1G consists of Quartz and Kaolinite (Figure</w:t>
      </w:r>
      <w:r>
        <w:rPr>
          <w:spacing w:val="1"/>
        </w:rPr>
        <w:t> </w:t>
      </w:r>
      <w:r>
        <w:rPr/>
        <w:t>4.4). Sample KTG2B consist of Kaolinite, Muscovite and Quartz (Figure 4.5). The</w:t>
      </w:r>
      <w:r>
        <w:rPr>
          <w:spacing w:val="1"/>
        </w:rPr>
        <w:t> </w:t>
      </w:r>
      <w:r>
        <w:rPr/>
        <w:t>KTG2F</w:t>
      </w:r>
      <w:r>
        <w:rPr>
          <w:spacing w:val="-3"/>
        </w:rPr>
        <w:t> </w:t>
      </w:r>
      <w:r>
        <w:rPr/>
        <w:t>sample consists</w:t>
      </w:r>
      <w:r>
        <w:rPr>
          <w:spacing w:val="1"/>
        </w:rPr>
        <w:t> </w:t>
      </w:r>
      <w:r>
        <w:rPr/>
        <w:t>Kaolinite,</w:t>
      </w:r>
      <w:r>
        <w:rPr>
          <w:spacing w:val="2"/>
        </w:rPr>
        <w:t> </w:t>
      </w:r>
      <w:r>
        <w:rPr/>
        <w:t>Muscovite,</w:t>
      </w:r>
      <w:r>
        <w:rPr>
          <w:spacing w:val="-1"/>
        </w:rPr>
        <w:t> </w:t>
      </w:r>
      <w:r>
        <w:rPr/>
        <w:t>Dickite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Quartz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4.6).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49" w:right="275"/>
        <w:jc w:val="center"/>
      </w:pPr>
      <w:r>
        <w:rPr/>
        <w:t>45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ind w:left="445"/>
        <w:rPr>
          <w:sz w:val="20"/>
        </w:rPr>
      </w:pPr>
      <w:r>
        <w:rPr>
          <w:sz w:val="20"/>
        </w:rPr>
        <w:drawing>
          <wp:inline distT="0" distB="0" distL="0" distR="0">
            <wp:extent cx="5396502" cy="6858000"/>
            <wp:effectExtent l="0" t="0" r="0" b="0"/>
            <wp:docPr id="1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50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0"/>
        <w:ind w:left="215" w:right="275"/>
        <w:jc w:val="center"/>
      </w:pPr>
      <w:r>
        <w:rPr/>
        <w:t>Figure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X-</w:t>
      </w:r>
      <w:r>
        <w:rPr>
          <w:spacing w:val="-1"/>
        </w:rPr>
        <w:t> </w:t>
      </w:r>
      <w:r>
        <w:rPr/>
        <w:t>ray</w:t>
      </w:r>
      <w:r>
        <w:rPr>
          <w:spacing w:val="-9"/>
        </w:rPr>
        <w:t> </w:t>
      </w:r>
      <w:r>
        <w:rPr/>
        <w:t>diffractograph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Sample KTG 1A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49" w:right="275"/>
        <w:jc w:val="center"/>
      </w:pPr>
      <w:r>
        <w:rPr/>
        <w:t>46</w:t>
      </w:r>
    </w:p>
    <w:p>
      <w:pPr>
        <w:spacing w:after="0"/>
        <w:jc w:val="center"/>
        <w:sectPr>
          <w:pgSz w:w="11910" w:h="16840"/>
          <w:pgMar w:header="0" w:footer="294" w:top="1400" w:bottom="480" w:left="1540" w:right="740"/>
        </w:sectPr>
      </w:pPr>
    </w:p>
    <w:p>
      <w:pPr>
        <w:pStyle w:val="BodyText"/>
        <w:ind w:left="445"/>
        <w:rPr>
          <w:sz w:val="20"/>
        </w:rPr>
      </w:pPr>
      <w:r>
        <w:rPr>
          <w:sz w:val="20"/>
        </w:rPr>
        <w:drawing>
          <wp:inline distT="0" distB="0" distL="0" distR="0">
            <wp:extent cx="5395642" cy="5638800"/>
            <wp:effectExtent l="0" t="0" r="0" b="0"/>
            <wp:docPr id="1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42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327" w:right="150"/>
        <w:jc w:val="center"/>
      </w:pPr>
      <w:r>
        <w:rPr/>
        <w:t>Figure</w:t>
      </w:r>
      <w:r>
        <w:rPr>
          <w:spacing w:val="-2"/>
        </w:rPr>
        <w:t> </w:t>
      </w:r>
      <w:r>
        <w:rPr/>
        <w:t>4.4:</w:t>
      </w:r>
      <w:r>
        <w:rPr>
          <w:spacing w:val="-1"/>
        </w:rPr>
        <w:t> </w:t>
      </w:r>
      <w:r>
        <w:rPr/>
        <w:t>X-</w:t>
      </w:r>
      <w:r>
        <w:rPr>
          <w:spacing w:val="-2"/>
        </w:rPr>
        <w:t> </w:t>
      </w:r>
      <w:r>
        <w:rPr/>
        <w:t>ray</w:t>
      </w:r>
      <w:r>
        <w:rPr>
          <w:spacing w:val="-8"/>
        </w:rPr>
        <w:t> </w:t>
      </w:r>
      <w:r>
        <w:rPr/>
        <w:t>diffractograph</w:t>
      </w:r>
      <w:r>
        <w:rPr>
          <w:spacing w:val="1"/>
        </w:rPr>
        <w:t> </w:t>
      </w:r>
      <w:r>
        <w:rPr/>
        <w:t>for Sample KTG</w:t>
      </w:r>
      <w:r>
        <w:rPr>
          <w:spacing w:val="2"/>
        </w:rPr>
        <w:t> </w:t>
      </w:r>
      <w:r>
        <w:rPr/>
        <w:t>1G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49" w:right="275"/>
        <w:jc w:val="center"/>
      </w:pPr>
      <w:r>
        <w:rPr/>
        <w:t>47</w:t>
      </w:r>
    </w:p>
    <w:p>
      <w:pPr>
        <w:spacing w:after="0"/>
        <w:jc w:val="center"/>
        <w:sectPr>
          <w:pgSz w:w="11910" w:h="16840"/>
          <w:pgMar w:header="0" w:footer="294" w:top="1400" w:bottom="480" w:left="1540" w:right="740"/>
        </w:sectPr>
      </w:pPr>
    </w:p>
    <w:p>
      <w:pPr>
        <w:pStyle w:val="BodyText"/>
        <w:ind w:left="445"/>
        <w:rPr>
          <w:sz w:val="20"/>
        </w:rPr>
      </w:pPr>
      <w:r>
        <w:rPr>
          <w:sz w:val="20"/>
        </w:rPr>
        <w:drawing>
          <wp:inline distT="0" distB="0" distL="0" distR="0">
            <wp:extent cx="5342390" cy="7315200"/>
            <wp:effectExtent l="0" t="0" r="0" b="0"/>
            <wp:docPr id="1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9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327" w:right="642"/>
        <w:jc w:val="center"/>
      </w:pPr>
      <w:r>
        <w:rPr/>
        <w:t>Figure</w:t>
      </w:r>
      <w:r>
        <w:rPr>
          <w:spacing w:val="-2"/>
        </w:rPr>
        <w:t> </w:t>
      </w:r>
      <w:r>
        <w:rPr/>
        <w:t>4.5: X-</w:t>
      </w:r>
      <w:r>
        <w:rPr>
          <w:spacing w:val="-1"/>
        </w:rPr>
        <w:t> </w:t>
      </w:r>
      <w:r>
        <w:rPr/>
        <w:t>ray</w:t>
      </w:r>
      <w:r>
        <w:rPr>
          <w:spacing w:val="-9"/>
        </w:rPr>
        <w:t> </w:t>
      </w:r>
      <w:r>
        <w:rPr/>
        <w:t>diffractograph</w:t>
      </w:r>
      <w:r>
        <w:rPr>
          <w:spacing w:val="2"/>
        </w:rPr>
        <w:t> </w:t>
      </w:r>
      <w:r>
        <w:rPr/>
        <w:t>for Sample</w:t>
      </w:r>
      <w:r>
        <w:rPr>
          <w:spacing w:val="-2"/>
        </w:rPr>
        <w:t> </w:t>
      </w:r>
      <w:r>
        <w:rPr/>
        <w:t>KTG</w:t>
      </w:r>
      <w:r>
        <w:rPr>
          <w:spacing w:val="1"/>
        </w:rPr>
        <w:t> </w:t>
      </w:r>
      <w:r>
        <w:rPr/>
        <w:t>2B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49" w:right="275"/>
        <w:jc w:val="center"/>
      </w:pPr>
      <w:r>
        <w:rPr/>
        <w:t>48</w:t>
      </w:r>
    </w:p>
    <w:p>
      <w:pPr>
        <w:spacing w:after="0"/>
        <w:jc w:val="center"/>
        <w:sectPr>
          <w:pgSz w:w="11910" w:h="16840"/>
          <w:pgMar w:header="0" w:footer="294" w:top="1400" w:bottom="480" w:left="1540" w:right="740"/>
        </w:sectPr>
      </w:pPr>
    </w:p>
    <w:p>
      <w:pPr>
        <w:pStyle w:val="BodyText"/>
        <w:ind w:left="445"/>
        <w:rPr>
          <w:sz w:val="20"/>
        </w:rPr>
      </w:pPr>
      <w:r>
        <w:rPr>
          <w:sz w:val="20"/>
        </w:rPr>
        <w:drawing>
          <wp:inline distT="0" distB="0" distL="0" distR="0">
            <wp:extent cx="5565068" cy="6076950"/>
            <wp:effectExtent l="0" t="0" r="0" b="0"/>
            <wp:docPr id="1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68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2605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2"/>
        </w:rPr>
        <w:t> </w:t>
      </w:r>
      <w:r>
        <w:rPr/>
        <w:t>X-</w:t>
      </w:r>
      <w:r>
        <w:rPr>
          <w:spacing w:val="-2"/>
        </w:rPr>
        <w:t> </w:t>
      </w:r>
      <w:r>
        <w:rPr/>
        <w:t>ray</w:t>
      </w:r>
      <w:r>
        <w:rPr>
          <w:spacing w:val="-9"/>
        </w:rPr>
        <w:t> </w:t>
      </w:r>
      <w:r>
        <w:rPr/>
        <w:t>diffractograph for</w:t>
      </w:r>
      <w:r>
        <w:rPr>
          <w:spacing w:val="-1"/>
        </w:rPr>
        <w:t> </w:t>
      </w:r>
      <w:r>
        <w:rPr/>
        <w:t>Sample</w:t>
      </w:r>
      <w:r>
        <w:rPr>
          <w:spacing w:val="1"/>
        </w:rPr>
        <w:t> </w:t>
      </w:r>
      <w:r>
        <w:rPr/>
        <w:t>KTG</w:t>
      </w:r>
      <w:r>
        <w:rPr>
          <w:spacing w:val="-1"/>
        </w:rPr>
        <w:t> </w:t>
      </w:r>
      <w:r>
        <w:rPr/>
        <w:t>2F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49" w:right="275"/>
        <w:jc w:val="center"/>
      </w:pPr>
      <w:r>
        <w:rPr/>
        <w:t>49</w:t>
      </w:r>
    </w:p>
    <w:p>
      <w:pPr>
        <w:spacing w:after="0"/>
        <w:jc w:val="center"/>
        <w:sectPr>
          <w:pgSz w:w="11910" w:h="16840"/>
          <w:pgMar w:header="0" w:footer="294" w:top="1400" w:bottom="480" w:left="1540" w:right="740"/>
        </w:sectPr>
      </w:pPr>
    </w:p>
    <w:p>
      <w:pPr>
        <w:pStyle w:val="BodyText"/>
        <w:spacing w:line="480" w:lineRule="auto" w:before="64"/>
        <w:ind w:left="445" w:right="673"/>
        <w:jc w:val="both"/>
      </w:pPr>
      <w:r>
        <w:rPr/>
        <w:t>The mineralogical percentage composition are resented in (Table 4.2). The clay consist</w:t>
      </w:r>
      <w:r>
        <w:rPr>
          <w:spacing w:val="1"/>
        </w:rPr>
        <w:t> </w:t>
      </w:r>
      <w:r>
        <w:rPr/>
        <w:t>mainly of Kaolinite as the major clay mineral with average of 32.52% and quartz as the</w:t>
      </w:r>
      <w:r>
        <w:rPr>
          <w:spacing w:val="1"/>
        </w:rPr>
        <w:t> </w:t>
      </w:r>
      <w:r>
        <w:rPr/>
        <w:t>dominate non-clay</w:t>
      </w:r>
      <w:r>
        <w:rPr>
          <w:spacing w:val="-10"/>
        </w:rPr>
        <w:t> </w:t>
      </w:r>
      <w:r>
        <w:rPr/>
        <w:t>mineral with average</w:t>
      </w:r>
      <w:r>
        <w:rPr>
          <w:spacing w:val="-1"/>
        </w:rPr>
        <w:t> </w:t>
      </w:r>
      <w:r>
        <w:rPr/>
        <w:t>of 49.98%.</w:t>
      </w:r>
    </w:p>
    <w:p>
      <w:pPr>
        <w:pStyle w:val="Heading1"/>
        <w:spacing w:before="11"/>
        <w:ind w:left="1885" w:firstLine="0"/>
      </w:pPr>
      <w:r>
        <w:rPr/>
        <w:t>Table</w:t>
      </w:r>
      <w:r>
        <w:rPr>
          <w:spacing w:val="-4"/>
        </w:rPr>
        <w:t> </w:t>
      </w:r>
      <w:r>
        <w:rPr/>
        <w:t>4.2:</w:t>
      </w:r>
      <w:r>
        <w:rPr>
          <w:spacing w:val="-6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minerals composition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2"/>
        </w:rPr>
        <w:t> </w:t>
      </w:r>
      <w:r>
        <w:rPr/>
        <w:t>clays</w:t>
      </w:r>
    </w:p>
    <w:p>
      <w:pPr>
        <w:pStyle w:val="BodyText"/>
        <w:spacing w:before="2"/>
        <w:rPr>
          <w:b/>
          <w:sz w:val="25"/>
        </w:rPr>
      </w:pPr>
    </w:p>
    <w:tbl>
      <w:tblPr>
        <w:tblW w:w="0" w:type="auto"/>
        <w:jc w:val="left"/>
        <w:tblInd w:w="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1327"/>
        <w:gridCol w:w="1358"/>
        <w:gridCol w:w="1348"/>
        <w:gridCol w:w="1329"/>
        <w:gridCol w:w="1280"/>
      </w:tblGrid>
      <w:tr>
        <w:trPr>
          <w:trHeight w:val="997" w:hRule="atLeast"/>
        </w:trPr>
        <w:tc>
          <w:tcPr>
            <w:tcW w:w="14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403" w:right="310" w:hanging="87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Mineral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</w:p>
        </w:tc>
        <w:tc>
          <w:tcPr>
            <w:tcW w:w="132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ind w:left="197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KTG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1A</w:t>
            </w:r>
          </w:p>
          <w:p>
            <w:pPr>
              <w:pStyle w:val="TableParagraph"/>
              <w:ind w:right="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3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ind w:left="209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KTG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1G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3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ind w:left="214"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KTG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2B</w:t>
            </w:r>
          </w:p>
          <w:p>
            <w:pPr>
              <w:pStyle w:val="TableParagraph"/>
              <w:ind w:right="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32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ind w:left="224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KTG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2F</w:t>
            </w:r>
          </w:p>
          <w:p>
            <w:pPr>
              <w:pStyle w:val="TableParagraph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9" w:lineRule="exact"/>
              <w:ind w:left="204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</w:tr>
      <w:tr>
        <w:trPr>
          <w:trHeight w:val="836" w:hRule="atLeast"/>
        </w:trPr>
        <w:tc>
          <w:tcPr>
            <w:tcW w:w="14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81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Quartz</w:t>
            </w:r>
          </w:p>
        </w:tc>
        <w:tc>
          <w:tcPr>
            <w:tcW w:w="132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95" w:right="205"/>
              <w:rPr>
                <w:sz w:val="24"/>
              </w:rPr>
            </w:pPr>
            <w:r>
              <w:rPr>
                <w:sz w:val="24"/>
              </w:rPr>
              <w:t>54.64</w:t>
            </w:r>
          </w:p>
        </w:tc>
        <w:tc>
          <w:tcPr>
            <w:tcW w:w="13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09" w:right="210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3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14" w:right="219"/>
              <w:rPr>
                <w:sz w:val="24"/>
              </w:rPr>
            </w:pPr>
            <w:r>
              <w:rPr>
                <w:sz w:val="24"/>
              </w:rPr>
              <w:t>46.24</w:t>
            </w:r>
          </w:p>
        </w:tc>
        <w:tc>
          <w:tcPr>
            <w:tcW w:w="13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19" w:right="205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12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204" w:right="182"/>
              <w:rPr>
                <w:sz w:val="24"/>
              </w:rPr>
            </w:pPr>
            <w:r>
              <w:rPr>
                <w:sz w:val="24"/>
              </w:rPr>
              <w:t>49.98</w:t>
            </w:r>
          </w:p>
        </w:tc>
      </w:tr>
      <w:tr>
        <w:trPr>
          <w:trHeight w:val="720" w:hRule="atLeast"/>
        </w:trPr>
        <w:tc>
          <w:tcPr>
            <w:tcW w:w="1466" w:type="dxa"/>
          </w:tcPr>
          <w:p>
            <w:pPr>
              <w:pStyle w:val="TableParagraph"/>
              <w:spacing w:before="221"/>
              <w:ind w:left="181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Kaolinite</w:t>
            </w:r>
          </w:p>
        </w:tc>
        <w:tc>
          <w:tcPr>
            <w:tcW w:w="1327" w:type="dxa"/>
          </w:tcPr>
          <w:p>
            <w:pPr>
              <w:pStyle w:val="TableParagraph"/>
              <w:spacing w:before="212"/>
              <w:ind w:left="195" w:right="205"/>
              <w:rPr>
                <w:sz w:val="24"/>
              </w:rPr>
            </w:pPr>
            <w:r>
              <w:rPr>
                <w:sz w:val="24"/>
              </w:rPr>
              <w:t>37.11</w:t>
            </w:r>
          </w:p>
        </w:tc>
        <w:tc>
          <w:tcPr>
            <w:tcW w:w="1358" w:type="dxa"/>
          </w:tcPr>
          <w:p>
            <w:pPr>
              <w:pStyle w:val="TableParagraph"/>
              <w:spacing w:before="212"/>
              <w:ind w:left="209" w:right="210"/>
              <w:rPr>
                <w:sz w:val="24"/>
              </w:rPr>
            </w:pPr>
            <w:r>
              <w:rPr>
                <w:sz w:val="24"/>
              </w:rPr>
              <w:t>31.25</w:t>
            </w:r>
          </w:p>
        </w:tc>
        <w:tc>
          <w:tcPr>
            <w:tcW w:w="1348" w:type="dxa"/>
          </w:tcPr>
          <w:p>
            <w:pPr>
              <w:pStyle w:val="TableParagraph"/>
              <w:spacing w:before="212"/>
              <w:ind w:left="214" w:right="219"/>
              <w:rPr>
                <w:sz w:val="24"/>
              </w:rPr>
            </w:pPr>
            <w:r>
              <w:rPr>
                <w:sz w:val="24"/>
              </w:rPr>
              <w:t>32.25</w:t>
            </w:r>
          </w:p>
        </w:tc>
        <w:tc>
          <w:tcPr>
            <w:tcW w:w="1329" w:type="dxa"/>
          </w:tcPr>
          <w:p>
            <w:pPr>
              <w:pStyle w:val="TableParagraph"/>
              <w:spacing w:before="212"/>
              <w:ind w:left="219" w:right="205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1280" w:type="dxa"/>
          </w:tcPr>
          <w:p>
            <w:pPr>
              <w:pStyle w:val="TableParagraph"/>
              <w:spacing w:before="212"/>
              <w:ind w:left="204" w:right="182"/>
              <w:rPr>
                <w:sz w:val="24"/>
              </w:rPr>
            </w:pPr>
            <w:r>
              <w:rPr>
                <w:sz w:val="24"/>
              </w:rPr>
              <w:t>32.52</w:t>
            </w:r>
          </w:p>
        </w:tc>
      </w:tr>
      <w:tr>
        <w:trPr>
          <w:trHeight w:val="712" w:hRule="atLeast"/>
        </w:trPr>
        <w:tc>
          <w:tcPr>
            <w:tcW w:w="1466" w:type="dxa"/>
          </w:tcPr>
          <w:p>
            <w:pPr>
              <w:pStyle w:val="TableParagraph"/>
              <w:spacing w:before="212"/>
              <w:ind w:left="181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Biotite</w:t>
            </w:r>
          </w:p>
        </w:tc>
        <w:tc>
          <w:tcPr>
            <w:tcW w:w="1327" w:type="dxa"/>
          </w:tcPr>
          <w:p>
            <w:pPr>
              <w:pStyle w:val="TableParagraph"/>
              <w:spacing w:before="212"/>
              <w:ind w:left="195" w:right="205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358" w:type="dxa"/>
          </w:tcPr>
          <w:p>
            <w:pPr>
              <w:pStyle w:val="TableParagraph"/>
              <w:spacing w:before="212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2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80" w:type="dxa"/>
          </w:tcPr>
          <w:p>
            <w:pPr>
              <w:pStyle w:val="TableParagraph"/>
              <w:spacing w:before="212"/>
              <w:ind w:left="204" w:right="177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</w:tr>
      <w:tr>
        <w:trPr>
          <w:trHeight w:val="715" w:hRule="atLeast"/>
        </w:trPr>
        <w:tc>
          <w:tcPr>
            <w:tcW w:w="1466" w:type="dxa"/>
          </w:tcPr>
          <w:p>
            <w:pPr>
              <w:pStyle w:val="TableParagraph"/>
              <w:spacing w:before="214"/>
              <w:ind w:left="181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Muscovite</w:t>
            </w:r>
          </w:p>
        </w:tc>
        <w:tc>
          <w:tcPr>
            <w:tcW w:w="1327" w:type="dxa"/>
          </w:tcPr>
          <w:p>
            <w:pPr>
              <w:pStyle w:val="TableParagraph"/>
              <w:spacing w:before="214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8" w:type="dxa"/>
          </w:tcPr>
          <w:p>
            <w:pPr>
              <w:pStyle w:val="TableParagraph"/>
              <w:spacing w:before="2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214"/>
              <w:ind w:left="214" w:right="219"/>
              <w:rPr>
                <w:sz w:val="24"/>
              </w:rPr>
            </w:pPr>
            <w:r>
              <w:rPr>
                <w:sz w:val="24"/>
              </w:rPr>
              <w:t>21.51</w:t>
            </w:r>
          </w:p>
        </w:tc>
        <w:tc>
          <w:tcPr>
            <w:tcW w:w="1329" w:type="dxa"/>
          </w:tcPr>
          <w:p>
            <w:pPr>
              <w:pStyle w:val="TableParagraph"/>
              <w:spacing w:before="214"/>
              <w:ind w:left="219" w:right="205"/>
              <w:rPr>
                <w:sz w:val="24"/>
              </w:rPr>
            </w:pPr>
            <w:r>
              <w:rPr>
                <w:sz w:val="24"/>
              </w:rPr>
              <w:t>17.2</w:t>
            </w:r>
          </w:p>
        </w:tc>
        <w:tc>
          <w:tcPr>
            <w:tcW w:w="1280" w:type="dxa"/>
          </w:tcPr>
          <w:p>
            <w:pPr>
              <w:pStyle w:val="TableParagraph"/>
              <w:spacing w:before="214"/>
              <w:ind w:left="204" w:right="182"/>
              <w:rPr>
                <w:sz w:val="24"/>
              </w:rPr>
            </w:pPr>
            <w:r>
              <w:rPr>
                <w:sz w:val="24"/>
              </w:rPr>
              <w:t>19.35</w:t>
            </w:r>
          </w:p>
        </w:tc>
      </w:tr>
      <w:tr>
        <w:trPr>
          <w:trHeight w:val="717" w:hRule="atLeast"/>
        </w:trPr>
        <w:tc>
          <w:tcPr>
            <w:tcW w:w="1466" w:type="dxa"/>
          </w:tcPr>
          <w:p>
            <w:pPr>
              <w:pStyle w:val="TableParagraph"/>
              <w:spacing w:before="214"/>
              <w:ind w:left="181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Dickite</w:t>
            </w:r>
          </w:p>
        </w:tc>
        <w:tc>
          <w:tcPr>
            <w:tcW w:w="1327" w:type="dxa"/>
          </w:tcPr>
          <w:p>
            <w:pPr>
              <w:pStyle w:val="TableParagraph"/>
              <w:spacing w:before="214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8" w:type="dxa"/>
          </w:tcPr>
          <w:p>
            <w:pPr>
              <w:pStyle w:val="TableParagraph"/>
              <w:spacing w:before="2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8" w:type="dxa"/>
          </w:tcPr>
          <w:p>
            <w:pPr>
              <w:pStyle w:val="TableParagraph"/>
              <w:spacing w:before="219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29" w:type="dxa"/>
          </w:tcPr>
          <w:p>
            <w:pPr>
              <w:pStyle w:val="TableParagraph"/>
              <w:spacing w:before="219"/>
              <w:ind w:left="219" w:right="205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280" w:type="dxa"/>
          </w:tcPr>
          <w:p>
            <w:pPr>
              <w:pStyle w:val="TableParagraph"/>
              <w:spacing w:before="219"/>
              <w:ind w:left="204" w:right="182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</w:tr>
      <w:tr>
        <w:trPr>
          <w:trHeight w:val="517" w:hRule="atLeast"/>
        </w:trPr>
        <w:tc>
          <w:tcPr>
            <w:tcW w:w="14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2"/>
              <w:ind w:left="181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2"/>
              <w:ind w:left="197" w:right="19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222"/>
              <w:ind w:left="209" w:right="2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222"/>
              <w:ind w:left="214" w:right="2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222"/>
              <w:ind w:left="222" w:right="2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5" w:lineRule="exact" w:before="222"/>
              <w:ind w:left="203" w:right="18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9"/>
        <w:ind w:left="445" w:right="676"/>
        <w:jc w:val="both"/>
      </w:pPr>
      <w:r>
        <w:rPr/>
        <w:t>KTG1A and KTG2F clay sample contain the highest amount of Kaolinite with 37.11%</w:t>
      </w:r>
      <w:r>
        <w:rPr>
          <w:spacing w:val="1"/>
        </w:rPr>
        <w:t> </w:t>
      </w:r>
      <w:r>
        <w:rPr/>
        <w:t>and 29.5% respectively; Kaolinite and Dickite constitute the clay minerals. Quartz 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diffractograms,</w:t>
      </w:r>
      <w:r>
        <w:rPr>
          <w:spacing w:val="1"/>
        </w:rPr>
        <w:t> </w:t>
      </w:r>
      <w:r>
        <w:rPr/>
        <w:t>Biottie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KTG1A,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Muscovite</w:t>
      </w:r>
      <w:r>
        <w:rPr>
          <w:spacing w:val="-2"/>
        </w:rPr>
        <w:t> </w:t>
      </w:r>
      <w:r>
        <w:rPr/>
        <w:t>in sample</w:t>
      </w:r>
      <w:r>
        <w:rPr>
          <w:spacing w:val="-1"/>
        </w:rPr>
        <w:t> </w:t>
      </w:r>
      <w:r>
        <w:rPr/>
        <w:t>KTG2B and KTG2</w:t>
      </w:r>
      <w:r>
        <w:rPr>
          <w:spacing w:val="-1"/>
        </w:rPr>
        <w:t> </w:t>
      </w:r>
      <w:r>
        <w:rPr/>
        <w:t>(Figure 4.7)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49" w:right="275"/>
        <w:jc w:val="center"/>
      </w:pPr>
      <w:r>
        <w:rPr/>
        <w:t>50</w:t>
      </w:r>
    </w:p>
    <w:p>
      <w:pPr>
        <w:spacing w:after="0"/>
        <w:jc w:val="center"/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ind w:left="467"/>
        <w:rPr>
          <w:sz w:val="20"/>
        </w:rPr>
      </w:pPr>
      <w:r>
        <w:rPr>
          <w:sz w:val="20"/>
        </w:rPr>
        <w:pict>
          <v:group style="width:360.7pt;height:231.75pt;mso-position-horizontal-relative:char;mso-position-vertical-relative:line" coordorigin="0,0" coordsize="7214,4635">
            <v:rect style="position:absolute;left:1964;top:777;width:200;height:3348" filled="true" fillcolor="#4f81bb" stroked="false">
              <v:fill type="solid"/>
            </v:rect>
            <v:rect style="position:absolute;left:2163;top:2604;width:197;height:1522" filled="true" fillcolor="#c0504d" stroked="false">
              <v:fill type="solid"/>
            </v:rect>
            <v:rect style="position:absolute;left:675;top:1464;width:200;height:2662" filled="true" fillcolor="#4f81bb" stroked="false">
              <v:fill type="solid"/>
            </v:rect>
            <v:rect style="position:absolute;left:874;top:2318;width:197;height:1808" filled="true" fillcolor="#c0504d" stroked="false">
              <v:fill type="solid"/>
            </v:rect>
            <v:rect style="position:absolute;left:1071;top:3725;width:200;height:401" filled="true" fillcolor="#9bb957" stroked="false">
              <v:fill type="solid"/>
            </v:rect>
            <v:rect style="position:absolute;left:3252;top:1874;width:197;height:2252" filled="true" fillcolor="#4f81bb" stroked="false">
              <v:fill type="solid"/>
            </v:rect>
            <v:rect style="position:absolute;left:3449;top:2556;width:200;height:1570" filled="true" fillcolor="#c0504d" stroked="false">
              <v:fill type="solid"/>
            </v:rect>
            <v:rect style="position:absolute;left:4541;top:2649;width:197;height:1476" filled="true" fillcolor="#4f81bb" stroked="false">
              <v:fill type="solid"/>
            </v:rect>
            <v:rect style="position:absolute;left:4738;top:2688;width:200;height:1438" filled="true" fillcolor="#c0504d" stroked="false">
              <v:fill type="solid"/>
            </v:rect>
            <v:shape style="position:absolute;left:3847;top:3079;width:1486;height:1047" coordorigin="3848,3079" coordsize="1486,1047" path="m4045,3079l3848,3079,3848,4126,4045,4126,4045,3079xm5333,3288l5137,3288,5137,4126,5333,4126,5333,3288xe" filled="true" fillcolor="#8062a0" stroked="false">
              <v:path arrowok="t"/>
              <v:fill type="solid"/>
            </v:shape>
            <v:rect style="position:absolute;left:5333;top:3009;width:200;height:1116" filled="true" fillcolor="#49acc5" stroked="false">
              <v:fill type="solid"/>
            </v:rect>
            <v:shape style="position:absolute;left:464;top:230;width:5217;height:3960" coordorigin="465,231" coordsize="5217,3960" path="m527,4126l527,231m465,4126l527,4126m465,3639l527,3639m465,3151l527,3151m465,2664l527,2664m465,2177l527,2177m465,1690l527,1690m465,1203l527,1203m465,715l527,715m465,231l527,231m527,4126l5681,4126m527,4126l527,4191m1816,4126l1816,4191m3104,4126l3104,4191m4393,4126l4393,4191m5681,4126l5681,4191e" filled="false" stroked="true" strokeweight=".72pt" strokecolor="#858585">
              <v:path arrowok="t"/>
              <v:stroke dashstyle="solid"/>
            </v:shape>
            <v:rect style="position:absolute;left:6000;top:1538;width:111;height:111" filled="true" fillcolor="#4f81bb" stroked="false">
              <v:fill type="solid"/>
            </v:rect>
            <v:rect style="position:absolute;left:6000;top:1901;width:111;height:111" filled="true" fillcolor="#c0504d" stroked="false">
              <v:fill type="solid"/>
            </v:rect>
            <v:rect style="position:absolute;left:6000;top:2263;width:111;height:108" filled="true" fillcolor="#9bb957" stroked="false">
              <v:fill type="solid"/>
            </v:rect>
            <v:rect style="position:absolute;left:6000;top:2623;width:111;height:111" filled="true" fillcolor="#8062a0" stroked="false">
              <v:fill type="solid"/>
            </v:rect>
            <v:rect style="position:absolute;left:6000;top:2985;width:111;height:111" filled="true" fillcolor="#49acc5" stroked="false">
              <v:fill type="solid"/>
            </v:rect>
            <v:shape style="position:absolute;left:7;top:7;width:7199;height:4620" coordorigin="8,8" coordsize="7199,4620" path="m8,4627l7207,4627,7207,8m8,8l8,4627e" filled="false" stroked="true" strokeweight=".75pt" strokecolor="#858585">
              <v:path arrowok="t"/>
              <v:stroke dashstyle="solid"/>
            </v:shape>
            <v:shape style="position:absolute;left:138;top:135;width:222;height:309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161;top:1499;width:862;height:162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Quartz</w:t>
                    </w:r>
                  </w:p>
                  <w:p>
                    <w:pPr>
                      <w:spacing w:line="355" w:lineRule="auto" w:before="9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Kaolinite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Biotite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Muscovite</w:t>
                    </w:r>
                  </w:p>
                  <w:p>
                    <w:pPr>
                      <w:spacing w:line="240" w:lineRule="exact" w:before="3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Dickite</w:t>
                    </w:r>
                  </w:p>
                </w:txbxContent>
              </v:textbox>
              <w10:wrap type="none"/>
            </v:shape>
            <v:shape style="position:absolute;left:138;top:3520;width:222;height:68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53;top:4269;width:60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KTG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1A</w:t>
                    </w:r>
                  </w:p>
                </w:txbxContent>
              </v:textbox>
              <w10:wrap type="none"/>
            </v:shape>
            <v:shape style="position:absolute;left:2138;top:4269;width:61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KTG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1G</w:t>
                    </w:r>
                  </w:p>
                </w:txbxContent>
              </v:textbox>
              <w10:wrap type="none"/>
            </v:shape>
            <v:shape style="position:absolute;left:3436;top:4269;width:59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KTG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2B</w:t>
                    </w:r>
                  </w:p>
                </w:txbxContent>
              </v:textbox>
              <w10:wrap type="none"/>
            </v:shape>
            <v:shape style="position:absolute;left:4733;top:4269;width:58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KTG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2F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31" w:lineRule="exact"/>
        <w:ind w:left="1525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Chart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mineralogical</w:t>
      </w:r>
    </w:p>
    <w:p>
      <w:pPr>
        <w:pStyle w:val="BodyText"/>
        <w:spacing w:before="38"/>
        <w:ind w:left="2605"/>
      </w:pPr>
      <w:r>
        <w:rPr/>
        <w:t>Composition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  <w:r>
        <w:rPr>
          <w:spacing w:val="-4"/>
        </w:rPr>
        <w:t> </w:t>
      </w:r>
      <w:r>
        <w:rPr/>
        <w:t>clay</w:t>
      </w:r>
    </w:p>
    <w:p>
      <w:pPr>
        <w:pStyle w:val="BodyText"/>
      </w:pPr>
    </w:p>
    <w:p>
      <w:pPr>
        <w:pStyle w:val="BodyText"/>
        <w:spacing w:line="480" w:lineRule="auto"/>
        <w:ind w:left="445" w:right="673"/>
        <w:jc w:val="both"/>
      </w:pPr>
      <w:r>
        <w:rPr/>
        <w:t>The study clay is dominated by kaolinite clay mineral; this confirms the study clay to be</w:t>
      </w:r>
      <w:r>
        <w:rPr>
          <w:spacing w:val="-57"/>
        </w:rPr>
        <w:t> </w:t>
      </w:r>
      <w:r>
        <w:rPr/>
        <w:t>kaolin. The high content of quartz explains the grittiness of the clay and resistance of</w:t>
      </w:r>
      <w:r>
        <w:rPr>
          <w:spacing w:val="1"/>
        </w:rPr>
        <w:t> </w:t>
      </w:r>
      <w:r>
        <w:rPr/>
        <w:t>quartz to weathering during formation of the study clay and also suggests the clay to be</w:t>
      </w:r>
      <w:r>
        <w:rPr>
          <w:spacing w:val="1"/>
        </w:rPr>
        <w:t> </w:t>
      </w:r>
      <w:r>
        <w:rPr/>
        <w:t>residual clay. The mineral assemblage of the study clay is similar except for KTG 1,</w:t>
      </w:r>
      <w:r>
        <w:rPr>
          <w:spacing w:val="1"/>
        </w:rPr>
        <w:t> </w:t>
      </w:r>
      <w:r>
        <w:rPr/>
        <w:t>suggesting same source rock. Absent of feldspar in the study sample indicate complete</w:t>
      </w:r>
      <w:r>
        <w:rPr>
          <w:spacing w:val="1"/>
        </w:rPr>
        <w:t> </w:t>
      </w:r>
      <w:r>
        <w:rPr/>
        <w:t>destruction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alteration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feldspar</w:t>
      </w:r>
      <w:r>
        <w:rPr>
          <w:spacing w:val="26"/>
        </w:rPr>
        <w:t> </w:t>
      </w:r>
      <w:r>
        <w:rPr/>
        <w:t>composition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basement</w:t>
      </w:r>
      <w:r>
        <w:rPr>
          <w:spacing w:val="25"/>
        </w:rPr>
        <w:t> </w:t>
      </w:r>
      <w:r>
        <w:rPr/>
        <w:t>rock</w:t>
      </w:r>
      <w:r>
        <w:rPr>
          <w:spacing w:val="25"/>
        </w:rPr>
        <w:t> </w:t>
      </w:r>
      <w:r>
        <w:rPr/>
        <w:t>adjacent</w:t>
      </w:r>
      <w:r>
        <w:rPr>
          <w:spacing w:val="24"/>
        </w:rPr>
        <w:t> </w:t>
      </w:r>
      <w:r>
        <w:rPr/>
        <w:t>to</w:t>
      </w:r>
      <w:r>
        <w:rPr>
          <w:spacing w:val="-58"/>
        </w:rPr>
        <w:t> </w:t>
      </w:r>
      <w:r>
        <w:rPr/>
        <w:t>the basin into kaolinite during deposition into the basin. Muscovite are associated with</w:t>
      </w:r>
      <w:r>
        <w:rPr>
          <w:spacing w:val="1"/>
        </w:rPr>
        <w:t> </w:t>
      </w:r>
      <w:r>
        <w:rPr/>
        <w:t>felsic granite rock, therefore</w:t>
      </w:r>
      <w:r>
        <w:rPr>
          <w:spacing w:val="1"/>
        </w:rPr>
        <w:t> </w:t>
      </w:r>
      <w:r>
        <w:rPr/>
        <w:t>the present of muscovite in sample KTG2B and KTG2F</w:t>
      </w:r>
      <w:r>
        <w:rPr>
          <w:spacing w:val="1"/>
        </w:rPr>
        <w:t> </w:t>
      </w:r>
      <w:r>
        <w:rPr/>
        <w:t>indicate source of material of the study clay to be from the felsic rocks of the basement</w:t>
      </w:r>
      <w:r>
        <w:rPr>
          <w:spacing w:val="1"/>
        </w:rPr>
        <w:t> </w:t>
      </w:r>
      <w:r>
        <w:rPr/>
        <w:t>complex,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muscovite may also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incomplete</w:t>
      </w:r>
      <w:r>
        <w:rPr>
          <w:spacing w:val="1"/>
        </w:rPr>
        <w:t> </w:t>
      </w:r>
      <w:r>
        <w:rPr/>
        <w:t>weathering within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basin.</w:t>
      </w:r>
    </w:p>
    <w:p>
      <w:pPr>
        <w:pStyle w:val="BodyText"/>
        <w:spacing w:line="480" w:lineRule="auto" w:before="2"/>
        <w:ind w:left="445" w:right="670"/>
        <w:jc w:val="both"/>
      </w:pPr>
      <w:r>
        <w:rPr/>
        <w:t>The average mineralogical composition of different clay deposits in Nigeria 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Kutigi</w:t>
      </w:r>
      <w:r>
        <w:rPr>
          <w:spacing w:val="1"/>
        </w:rPr>
        <w:t> </w:t>
      </w:r>
      <w:r>
        <w:rPr/>
        <w:t>clay (Table</w:t>
      </w:r>
      <w:r>
        <w:rPr>
          <w:spacing w:val="1"/>
        </w:rPr>
        <w:t> </w:t>
      </w:r>
      <w:r>
        <w:rPr/>
        <w:t>4.3)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kaolinite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favourably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Eruku/Lakiri, Obudu udesi and Ubulu-uku/Awo omama clay, with Eruku/Lakiri having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highest</w:t>
      </w:r>
      <w:r>
        <w:rPr>
          <w:spacing w:val="13"/>
        </w:rPr>
        <w:t> </w:t>
      </w:r>
      <w:r>
        <w:rPr/>
        <w:t>percentage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kaolinite.</w:t>
      </w:r>
      <w:r>
        <w:rPr>
          <w:spacing w:val="15"/>
        </w:rPr>
        <w:t> </w:t>
      </w:r>
      <w:r>
        <w:rPr/>
        <w:t>Quartz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highest</w:t>
      </w:r>
      <w:r>
        <w:rPr>
          <w:spacing w:val="13"/>
        </w:rPr>
        <w:t> </w:t>
      </w:r>
      <w:r>
        <w:rPr/>
        <w:t>non</w:t>
      </w:r>
      <w:r>
        <w:rPr>
          <w:spacing w:val="13"/>
        </w:rPr>
        <w:t> </w:t>
      </w:r>
      <w:r>
        <w:rPr/>
        <w:t>clay</w:t>
      </w:r>
      <w:r>
        <w:rPr>
          <w:spacing w:val="7"/>
        </w:rPr>
        <w:t> </w:t>
      </w:r>
      <w:r>
        <w:rPr/>
        <w:t>mineral</w:t>
      </w:r>
      <w:r>
        <w:rPr>
          <w:spacing w:val="18"/>
        </w:rPr>
        <w:t> </w:t>
      </w:r>
      <w:r>
        <w:rPr/>
        <w:t>with</w:t>
      </w:r>
      <w:r>
        <w:rPr>
          <w:spacing w:val="13"/>
        </w:rPr>
        <w:t> </w:t>
      </w:r>
      <w:r>
        <w:rPr/>
        <w:t>Ubulu-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49" w:right="275"/>
        <w:jc w:val="center"/>
      </w:pPr>
      <w:r>
        <w:rPr/>
        <w:t>51</w:t>
      </w:r>
    </w:p>
    <w:p>
      <w:pPr>
        <w:spacing w:after="0"/>
        <w:jc w:val="center"/>
        <w:sectPr>
          <w:pgSz w:w="11910" w:h="16840"/>
          <w:pgMar w:header="0" w:footer="294" w:top="1400" w:bottom="480" w:left="1540" w:right="740"/>
        </w:sectPr>
      </w:pPr>
    </w:p>
    <w:p>
      <w:pPr>
        <w:pStyle w:val="BodyText"/>
        <w:spacing w:line="480" w:lineRule="auto" w:before="64"/>
        <w:ind w:left="445" w:right="676"/>
        <w:jc w:val="both"/>
      </w:pPr>
      <w:r>
        <w:rPr/>
        <w:t>uku clay and Duku clays having the highest amount of Quartz. Muscovite is the minor</w:t>
      </w:r>
      <w:r>
        <w:rPr>
          <w:spacing w:val="1"/>
        </w:rPr>
        <w:t> </w:t>
      </w:r>
      <w:r>
        <w:rPr/>
        <w:t>mineral with the study clay, having the highest amount of muscovite. The variation in</w:t>
      </w:r>
      <w:r>
        <w:rPr>
          <w:spacing w:val="1"/>
        </w:rPr>
        <w:t> </w:t>
      </w:r>
      <w:r>
        <w:rPr/>
        <w:t>mineralogical percentage composition among the clay occurrence compared is due to</w:t>
      </w:r>
      <w:r>
        <w:rPr>
          <w:spacing w:val="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differences (kefas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spacing w:before="1"/>
        <w:ind w:left="445" w:right="700" w:firstLine="0"/>
      </w:pPr>
      <w:r>
        <w:rPr/>
        <w:t>Table 4.3: The samples mineral average compared to other know clay deposit 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1501"/>
        <w:gridCol w:w="1193"/>
        <w:gridCol w:w="1404"/>
        <w:gridCol w:w="1238"/>
        <w:gridCol w:w="1442"/>
      </w:tblGrid>
      <w:tr>
        <w:trPr>
          <w:trHeight w:val="1037" w:hRule="atLeast"/>
        </w:trPr>
        <w:tc>
          <w:tcPr>
            <w:tcW w:w="14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03" w:right="263" w:hanging="87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Mineral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</w:p>
        </w:tc>
        <w:tc>
          <w:tcPr>
            <w:tcW w:w="150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118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19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47" w:hanging="82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Duku</w:t>
            </w:r>
            <w:r>
              <w:rPr>
                <w:b/>
                <w:spacing w:val="-5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clay</w:t>
            </w:r>
          </w:p>
        </w:tc>
        <w:tc>
          <w:tcPr>
            <w:tcW w:w="14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455" w:hanging="94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Obudu</w:t>
            </w:r>
            <w:r>
              <w:rPr>
                <w:b/>
                <w:spacing w:val="-5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udesi</w:t>
            </w:r>
          </w:p>
        </w:tc>
        <w:tc>
          <w:tcPr>
            <w:tcW w:w="123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338" w:right="226" w:hanging="8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Eruku</w:t>
            </w:r>
            <w:r>
              <w:rPr>
                <w:b/>
                <w:spacing w:val="-54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Lakiri</w:t>
            </w:r>
          </w:p>
        </w:tc>
        <w:tc>
          <w:tcPr>
            <w:tcW w:w="144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3"/>
              <w:ind w:left="250" w:right="9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Ubulu uku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Awo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omama</w:t>
            </w:r>
          </w:p>
        </w:tc>
      </w:tr>
      <w:tr>
        <w:trPr>
          <w:trHeight w:val="790" w:hRule="atLeast"/>
        </w:trPr>
        <w:tc>
          <w:tcPr>
            <w:tcW w:w="14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80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Quartz</w:t>
            </w:r>
          </w:p>
        </w:tc>
        <w:tc>
          <w:tcPr>
            <w:tcW w:w="15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23" w:right="212"/>
              <w:rPr>
                <w:sz w:val="24"/>
              </w:rPr>
            </w:pPr>
            <w:r>
              <w:rPr>
                <w:sz w:val="24"/>
              </w:rPr>
              <w:t>49.98</w:t>
            </w:r>
          </w:p>
        </w:tc>
        <w:tc>
          <w:tcPr>
            <w:tcW w:w="11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18" w:right="405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12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648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720" w:hRule="atLeast"/>
        </w:trPr>
        <w:tc>
          <w:tcPr>
            <w:tcW w:w="1419" w:type="dxa"/>
          </w:tcPr>
          <w:p>
            <w:pPr>
              <w:pStyle w:val="TableParagraph"/>
              <w:spacing w:before="7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0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Kaolinite</w:t>
            </w:r>
          </w:p>
        </w:tc>
        <w:tc>
          <w:tcPr>
            <w:tcW w:w="1501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3" w:right="212"/>
              <w:rPr>
                <w:sz w:val="24"/>
              </w:rPr>
            </w:pPr>
            <w:r>
              <w:rPr>
                <w:sz w:val="24"/>
              </w:rPr>
              <w:t>32.52</w:t>
            </w:r>
          </w:p>
        </w:tc>
        <w:tc>
          <w:tcPr>
            <w:tcW w:w="1193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51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404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418" w:right="405"/>
              <w:rPr>
                <w:sz w:val="24"/>
              </w:rPr>
            </w:pPr>
            <w:r>
              <w:rPr>
                <w:sz w:val="24"/>
              </w:rPr>
              <w:t>62.50</w:t>
            </w:r>
          </w:p>
        </w:tc>
        <w:tc>
          <w:tcPr>
            <w:tcW w:w="1238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42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648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712" w:hRule="atLeast"/>
        </w:trPr>
        <w:tc>
          <w:tcPr>
            <w:tcW w:w="1419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80" w:right="140"/>
              <w:rPr>
                <w:b/>
                <w:sz w:val="24"/>
              </w:rPr>
            </w:pPr>
            <w:r>
              <w:rPr>
                <w:b/>
                <w:sz w:val="24"/>
              </w:rPr>
              <w:t>Biotite</w:t>
            </w:r>
          </w:p>
        </w:tc>
        <w:tc>
          <w:tcPr>
            <w:tcW w:w="1501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8" w:right="212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193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8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4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15" w:hRule="atLeast"/>
        </w:trPr>
        <w:tc>
          <w:tcPr>
            <w:tcW w:w="1419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80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Muscovite</w:t>
            </w:r>
          </w:p>
        </w:tc>
        <w:tc>
          <w:tcPr>
            <w:tcW w:w="1501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128" w:right="212"/>
              <w:rPr>
                <w:sz w:val="24"/>
              </w:rPr>
            </w:pPr>
            <w:r>
              <w:rPr>
                <w:sz w:val="24"/>
              </w:rPr>
              <w:t>19.35</w:t>
            </w:r>
          </w:p>
        </w:tc>
        <w:tc>
          <w:tcPr>
            <w:tcW w:w="1193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right="8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4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418" w:right="400"/>
              <w:rPr>
                <w:sz w:val="24"/>
              </w:rPr>
            </w:pPr>
            <w:r>
              <w:rPr>
                <w:sz w:val="24"/>
              </w:rPr>
              <w:t>7.53</w:t>
            </w: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2" w:type="dxa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15" w:hRule="atLeast"/>
        </w:trPr>
        <w:tc>
          <w:tcPr>
            <w:tcW w:w="1419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80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Dickite</w:t>
            </w:r>
          </w:p>
        </w:tc>
        <w:tc>
          <w:tcPr>
            <w:tcW w:w="1501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8" w:right="212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  <w:tc>
          <w:tcPr>
            <w:tcW w:w="119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0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23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716" w:hRule="atLeast"/>
        </w:trPr>
        <w:tc>
          <w:tcPr>
            <w:tcW w:w="1419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80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  <w:tc>
          <w:tcPr>
            <w:tcW w:w="1501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3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51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4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418" w:right="3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38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2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23" w:hRule="atLeast"/>
        </w:trPr>
        <w:tc>
          <w:tcPr>
            <w:tcW w:w="14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exact"/>
              <w:ind w:left="180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exact"/>
              <w:ind w:left="126" w:right="2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1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exact"/>
              <w:ind w:right="45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exact"/>
              <w:ind w:left="418" w:right="4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exact"/>
              <w:ind w:left="477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49" w:lineRule="exact"/>
              <w:ind w:left="58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49" w:lineRule="exact"/>
        <w:jc w:val="left"/>
        <w:rPr>
          <w:sz w:val="24"/>
        </w:rPr>
        <w:sectPr>
          <w:pgSz w:w="11910" w:h="16840"/>
          <w:pgMar w:header="0" w:footer="294" w:top="1320" w:bottom="480" w:left="1540" w:right="740"/>
        </w:sectPr>
      </w:pPr>
    </w:p>
    <w:p>
      <w:pPr>
        <w:pStyle w:val="BodyText"/>
        <w:spacing w:line="244" w:lineRule="auto"/>
        <w:ind w:left="426" w:right="1130" w:firstLine="19"/>
      </w:pPr>
      <w:r>
        <w:rPr/>
        <w:t>Duku clay</w:t>
      </w:r>
      <w:r>
        <w:rPr>
          <w:spacing w:val="1"/>
        </w:rPr>
        <w:t> </w:t>
      </w:r>
      <w:r>
        <w:rPr/>
        <w:t>Obudu udesi</w:t>
      </w:r>
      <w:r>
        <w:rPr>
          <w:spacing w:val="-57"/>
        </w:rPr>
        <w:t> </w:t>
      </w:r>
      <w:r>
        <w:rPr>
          <w:spacing w:val="-1"/>
        </w:rPr>
        <w:t>Eruku/Lakiri</w:t>
      </w:r>
    </w:p>
    <w:p>
      <w:pPr>
        <w:pStyle w:val="BodyText"/>
        <w:spacing w:line="269" w:lineRule="exact"/>
        <w:ind w:left="445"/>
      </w:pPr>
      <w:r>
        <w:rPr/>
        <w:t>Ubulu</w:t>
      </w:r>
      <w:r>
        <w:rPr>
          <w:spacing w:val="-2"/>
        </w:rPr>
        <w:t> </w:t>
      </w:r>
      <w:r>
        <w:rPr/>
        <w:t>uku/Awo omama</w:t>
      </w:r>
    </w:p>
    <w:p>
      <w:pPr>
        <w:pStyle w:val="BodyText"/>
        <w:spacing w:line="244" w:lineRule="auto"/>
        <w:ind w:left="454" w:right="3699" w:hanging="29"/>
      </w:pPr>
      <w:r>
        <w:rPr/>
        <w:br w:type="column"/>
      </w:r>
      <w:r>
        <w:rPr/>
        <w:t>(Salihu &amp; Suleiman, 2018)</w:t>
      </w:r>
      <w:r>
        <w:rPr>
          <w:spacing w:val="-57"/>
        </w:rPr>
        <w:t> </w:t>
      </w:r>
      <w:r>
        <w:rPr/>
        <w:t>(Adamu &amp; Duru, 2020)</w:t>
      </w:r>
      <w:r>
        <w:rPr>
          <w:spacing w:val="1"/>
        </w:rPr>
        <w:t> </w:t>
      </w:r>
      <w:r>
        <w:rPr/>
        <w:t>(Oyebanjo </w:t>
      </w:r>
      <w:r>
        <w:rPr>
          <w:i/>
        </w:rPr>
        <w:t>et al., </w:t>
      </w:r>
      <w:r>
        <w:rPr/>
        <w:t>2020)</w:t>
      </w:r>
      <w:r>
        <w:rPr>
          <w:spacing w:val="1"/>
        </w:rPr>
        <w:t> </w:t>
      </w:r>
      <w:r>
        <w:rPr/>
        <w:t>(Oyebanjo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2020)</w:t>
      </w:r>
    </w:p>
    <w:p>
      <w:pPr>
        <w:spacing w:after="0" w:line="244" w:lineRule="auto"/>
        <w:sectPr>
          <w:type w:val="continuous"/>
          <w:pgSz w:w="11910" w:h="16840"/>
          <w:pgMar w:top="1360" w:bottom="1200" w:left="1540" w:right="740"/>
          <w:cols w:num="2" w:equalWidth="0">
            <w:col w:w="2804" w:space="95"/>
            <w:col w:w="67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numPr>
          <w:ilvl w:val="2"/>
          <w:numId w:val="13"/>
        </w:numPr>
        <w:tabs>
          <w:tab w:pos="1165" w:val="left" w:leader="none"/>
          <w:tab w:pos="1166" w:val="left" w:leader="none"/>
        </w:tabs>
        <w:spacing w:line="240" w:lineRule="auto" w:before="90" w:after="0"/>
        <w:ind w:left="1165" w:right="0" w:hanging="721"/>
        <w:jc w:val="left"/>
        <w:rPr>
          <w:b w:val="0"/>
        </w:rPr>
      </w:pPr>
      <w:r>
        <w:rPr/>
        <w:t>Geochemistry</w:t>
      </w:r>
      <w:r>
        <w:rPr>
          <w:spacing w:val="-3"/>
        </w:rPr>
        <w:t> </w:t>
      </w:r>
      <w:r>
        <w:rPr/>
        <w:t>result</w:t>
      </w:r>
      <w:r>
        <w:rPr>
          <w:b w:val="0"/>
        </w:rPr>
        <w:t>.</w:t>
      </w:r>
    </w:p>
    <w:p>
      <w:pPr>
        <w:pStyle w:val="BodyText"/>
      </w:pPr>
    </w:p>
    <w:p>
      <w:pPr>
        <w:pStyle w:val="BodyText"/>
        <w:spacing w:line="480" w:lineRule="auto"/>
        <w:ind w:left="445"/>
      </w:pPr>
      <w:r>
        <w:rPr/>
        <w:t>The</w:t>
      </w:r>
      <w:r>
        <w:rPr>
          <w:spacing w:val="4"/>
        </w:rPr>
        <w:t> </w:t>
      </w:r>
      <w:r>
        <w:rPr/>
        <w:t>major</w:t>
      </w:r>
      <w:r>
        <w:rPr>
          <w:spacing w:val="5"/>
        </w:rPr>
        <w:t> </w:t>
      </w:r>
      <w:r>
        <w:rPr/>
        <w:t>oxide</w:t>
      </w:r>
      <w:r>
        <w:rPr>
          <w:spacing w:val="6"/>
        </w:rPr>
        <w:t> </w:t>
      </w:r>
      <w:r>
        <w:rPr/>
        <w:t>compositions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Kutigi</w:t>
      </w:r>
      <w:r>
        <w:rPr>
          <w:spacing w:val="5"/>
        </w:rPr>
        <w:t> </w:t>
      </w:r>
      <w:r>
        <w:rPr/>
        <w:t>clay</w:t>
      </w:r>
      <w:r>
        <w:rPr>
          <w:spacing w:val="1"/>
        </w:rPr>
        <w:t> </w:t>
      </w:r>
      <w:r>
        <w:rPr/>
        <w:t>deposit</w:t>
      </w:r>
      <w:r>
        <w:rPr>
          <w:spacing w:val="6"/>
        </w:rPr>
        <w:t> </w:t>
      </w:r>
      <w:r>
        <w:rPr/>
        <w:t>analyses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11</w:t>
      </w:r>
      <w:r>
        <w:rPr>
          <w:spacing w:val="8"/>
        </w:rPr>
        <w:t> </w:t>
      </w:r>
      <w:r>
        <w:rPr/>
        <w:t>clay</w:t>
      </w:r>
      <w:r>
        <w:rPr>
          <w:spacing w:val="-1"/>
        </w:rPr>
        <w:t> </w:t>
      </w:r>
      <w:r>
        <w:rPr/>
        <w:t>sample</w:t>
      </w:r>
      <w:r>
        <w:rPr>
          <w:spacing w:val="7"/>
        </w:rPr>
        <w:t> </w:t>
      </w:r>
      <w:r>
        <w:rPr/>
        <w:t>are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(Table</w:t>
      </w:r>
      <w:r>
        <w:rPr>
          <w:spacing w:val="1"/>
        </w:rPr>
        <w:t> </w:t>
      </w:r>
      <w:r>
        <w:rPr/>
        <w:t>4.4).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49" w:right="275"/>
        <w:jc w:val="center"/>
      </w:pPr>
      <w:r>
        <w:rPr/>
        <w:t>52</w:t>
      </w:r>
    </w:p>
    <w:p>
      <w:pPr>
        <w:spacing w:after="0"/>
        <w:jc w:val="center"/>
        <w:sectPr>
          <w:type w:val="continuous"/>
          <w:pgSz w:w="11910" w:h="16840"/>
          <w:pgMar w:top="1360" w:bottom="1200" w:left="1540" w:right="74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90"/>
        <w:ind w:left="4085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4.4:</w:t>
      </w:r>
      <w:r>
        <w:rPr>
          <w:spacing w:val="-4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major</w:t>
      </w:r>
      <w:r>
        <w:rPr>
          <w:spacing w:val="-5"/>
        </w:rPr>
        <w:t> </w:t>
      </w:r>
      <w:r>
        <w:rPr/>
        <w:t>oxide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Kutigi</w:t>
      </w:r>
      <w:r>
        <w:rPr>
          <w:spacing w:val="-2"/>
        </w:rPr>
        <w:t> </w:t>
      </w:r>
      <w:r>
        <w:rPr/>
        <w:t>clay</w:t>
      </w:r>
      <w:r>
        <w:rPr>
          <w:spacing w:val="-2"/>
        </w:rPr>
        <w:t> </w:t>
      </w:r>
      <w:r>
        <w:rPr/>
        <w:t>deposit</w:t>
      </w:r>
    </w:p>
    <w:p>
      <w:pPr>
        <w:pStyle w:val="BodyText"/>
        <w:spacing w:before="7"/>
        <w:rPr>
          <w:b/>
          <w:sz w:val="20"/>
        </w:rPr>
      </w:pPr>
      <w:r>
        <w:rPr/>
        <w:pict>
          <v:group style="position:absolute;margin-left:81.349998pt;margin-top:14.072051pt;width:679.2pt;height:.5pt;mso-position-horizontal-relative:page;mso-position-vertical-relative:paragraph;z-index:-15715328;mso-wrap-distance-left:0;mso-wrap-distance-right:0" coordorigin="1627,281" coordsize="13584,10">
            <v:line style="position:absolute" from="1627,286" to="2609,286" stroked="true" strokeweight=".48pt" strokecolor="#000000">
              <v:stroke dashstyle="solid"/>
            </v:line>
            <v:line style="position:absolute" from="2609,286" to="2619,286" stroked="true" strokeweight=".45pt" strokecolor="#000000">
              <v:stroke dashstyle="solid"/>
            </v:line>
            <v:line style="position:absolute" from="2619,286" to="3576,286" stroked="true" strokeweight=".48pt" strokecolor="#000000">
              <v:stroke dashstyle="solid"/>
            </v:line>
            <v:line style="position:absolute" from="3576,286" to="3586,286" stroked="true" strokeweight=".45pt" strokecolor="#000000">
              <v:stroke dashstyle="solid"/>
            </v:line>
            <v:line style="position:absolute" from="3586,286" to="4399,286" stroked="true" strokeweight=".48pt" strokecolor="#000000">
              <v:stroke dashstyle="solid"/>
            </v:line>
            <v:line style="position:absolute" from="4399,286" to="4409,286" stroked="true" strokeweight=".45pt" strokecolor="#000000">
              <v:stroke dashstyle="solid"/>
            </v:line>
            <v:line style="position:absolute" from="4409,286" to="5213,286" stroked="true" strokeweight=".48pt" strokecolor="#000000">
              <v:stroke dashstyle="solid"/>
            </v:line>
            <v:line style="position:absolute" from="5214,286" to="5223,286" stroked="true" strokeweight=".45pt" strokecolor="#000000">
              <v:stroke dashstyle="solid"/>
            </v:line>
            <v:line style="position:absolute" from="5223,286" to="6027,286" stroked="true" strokeweight=".48pt" strokecolor="#000000">
              <v:stroke dashstyle="solid"/>
            </v:line>
            <v:line style="position:absolute" from="6027,286" to="6037,286" stroked="true" strokeweight=".45pt" strokecolor="#000000">
              <v:stroke dashstyle="solid"/>
            </v:line>
            <v:line style="position:absolute" from="6037,286" to="6843,286" stroked="true" strokeweight=".48pt" strokecolor="#000000">
              <v:stroke dashstyle="solid"/>
            </v:line>
            <v:line style="position:absolute" from="6843,286" to="6853,286" stroked="true" strokeweight=".45pt" strokecolor="#000000">
              <v:stroke dashstyle="solid"/>
            </v:line>
            <v:line style="position:absolute" from="6853,286" to="7777,286" stroked="true" strokeweight=".48pt" strokecolor="#000000">
              <v:stroke dashstyle="solid"/>
            </v:line>
            <v:line style="position:absolute" from="7777,286" to="7786,286" stroked="true" strokeweight=".45pt" strokecolor="#000000">
              <v:stroke dashstyle="solid"/>
            </v:line>
            <v:line style="position:absolute" from="7786,286" to="8627,286" stroked="true" strokeweight=".48pt" strokecolor="#000000">
              <v:stroke dashstyle="solid"/>
            </v:line>
            <v:line style="position:absolute" from="8627,286" to="8636,286" stroked="true" strokeweight=".45pt" strokecolor="#000000">
              <v:stroke dashstyle="solid"/>
            </v:line>
            <v:line style="position:absolute" from="8636,286" to="9671,286" stroked="true" strokeweight=".48pt" strokecolor="#000000">
              <v:stroke dashstyle="solid"/>
            </v:line>
            <v:line style="position:absolute" from="9671,286" to="9680,286" stroked="true" strokeweight=".45pt" strokecolor="#000000">
              <v:stroke dashstyle="solid"/>
            </v:line>
            <v:line style="position:absolute" from="9680,286" to="10712,286" stroked="true" strokeweight=".48pt" strokecolor="#000000">
              <v:stroke dashstyle="solid"/>
            </v:line>
            <v:line style="position:absolute" from="10712,286" to="10722,286" stroked="true" strokeweight=".45pt" strokecolor="#000000">
              <v:stroke dashstyle="solid"/>
            </v:line>
            <v:line style="position:absolute" from="10722,286" to="11754,286" stroked="true" strokeweight=".48pt" strokecolor="#000000">
              <v:stroke dashstyle="solid"/>
            </v:line>
            <v:line style="position:absolute" from="11755,286" to="11764,286" stroked="true" strokeweight=".45pt" strokecolor="#000000">
              <v:stroke dashstyle="solid"/>
            </v:line>
            <v:line style="position:absolute" from="11764,286" to="12794,286" stroked="true" strokeweight=".48pt" strokecolor="#000000">
              <v:stroke dashstyle="solid"/>
            </v:line>
            <v:line style="position:absolute" from="12794,286" to="12803,286" stroked="true" strokeweight=".45pt" strokecolor="#000000">
              <v:stroke dashstyle="solid"/>
            </v:line>
            <v:line style="position:absolute" from="12803,286" to="14186,286" stroked="true" strokeweight=".48pt" strokecolor="#000000">
              <v:stroke dashstyle="solid"/>
            </v:line>
            <v:line style="position:absolute" from="14186,286" to="14195,286" stroked="true" strokeweight=".45pt" strokecolor="#000000">
              <v:stroke dashstyle="solid"/>
            </v:line>
            <v:line style="position:absolute" from="14195,286" to="15211,286" stroked="true" strokeweight=".48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10"/>
        <w:rPr>
          <w:b/>
          <w:sz w:val="22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902"/>
        <w:gridCol w:w="876"/>
        <w:gridCol w:w="775"/>
        <w:gridCol w:w="836"/>
        <w:gridCol w:w="848"/>
        <w:gridCol w:w="877"/>
        <w:gridCol w:w="913"/>
        <w:gridCol w:w="1007"/>
        <w:gridCol w:w="1035"/>
        <w:gridCol w:w="1028"/>
        <w:gridCol w:w="1016"/>
        <w:gridCol w:w="631"/>
        <w:gridCol w:w="785"/>
        <w:gridCol w:w="1032"/>
      </w:tblGrid>
      <w:tr>
        <w:trPr>
          <w:trHeight w:val="497" w:hRule="atLeast"/>
        </w:trPr>
        <w:tc>
          <w:tcPr>
            <w:tcW w:w="1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23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Major</w:t>
            </w:r>
          </w:p>
          <w:p>
            <w:pPr>
              <w:pStyle w:val="TableParagraph"/>
              <w:spacing w:line="242" w:lineRule="exact"/>
              <w:ind w:left="12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Oxides%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exact"/>
              <w:ind w:left="123" w:right="12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KTG1A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exact"/>
              <w:ind w:left="125" w:right="11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KTG1C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115" w:right="116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KTG1</w:t>
            </w:r>
          </w:p>
          <w:p>
            <w:pPr>
              <w:pStyle w:val="TableParagraph"/>
              <w:spacing w:line="242" w:lineRule="exact"/>
              <w:ind w:right="2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D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exact"/>
              <w:ind w:left="116" w:right="97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KTG1F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62" w:right="9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KTG1</w:t>
            </w:r>
          </w:p>
          <w:p>
            <w:pPr>
              <w:pStyle w:val="TableParagraph"/>
              <w:spacing w:line="242" w:lineRule="exact"/>
              <w:ind w:right="3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w w:val="100"/>
                <w:sz w:val="22"/>
              </w:rPr>
              <w:t>G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right="139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KTG2A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left="122" w:right="14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KTG2B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left="148" w:right="19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KTG2D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left="202" w:right="2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KTG2E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left="207" w:right="19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KTG2F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left="221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KTG2G</w:t>
            </w:r>
          </w:p>
        </w:tc>
        <w:tc>
          <w:tcPr>
            <w:tcW w:w="141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left="473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Range</w:t>
            </w:r>
          </w:p>
        </w:tc>
        <w:tc>
          <w:tcPr>
            <w:tcW w:w="10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4" w:lineRule="exact"/>
              <w:ind w:left="128" w:right="11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Average</w:t>
            </w:r>
          </w:p>
        </w:tc>
      </w:tr>
      <w:tr>
        <w:trPr>
          <w:trHeight w:val="266" w:hRule="atLeast"/>
        </w:trPr>
        <w:tc>
          <w:tcPr>
            <w:tcW w:w="1030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7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8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8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exact" w:before="4"/>
              <w:ind w:left="42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44.52</w:t>
            </w:r>
            <w:r>
              <w:rPr>
                <w:rFonts w:ascii="Calibri"/>
                <w:spacing w:val="48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</w:tcBorders>
          </w:tcPr>
          <w:p>
            <w:pPr>
              <w:pStyle w:val="TableParagraph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030" w:type="dxa"/>
          </w:tcPr>
          <w:p>
            <w:pPr>
              <w:pStyle w:val="TableParagraph"/>
              <w:spacing w:before="9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902" w:type="dxa"/>
          </w:tcPr>
          <w:p>
            <w:pPr>
              <w:pStyle w:val="TableParagraph"/>
              <w:spacing w:line="263" w:lineRule="exact" w:before="24"/>
              <w:ind w:left="118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44.90</w:t>
            </w:r>
          </w:p>
        </w:tc>
        <w:tc>
          <w:tcPr>
            <w:tcW w:w="876" w:type="dxa"/>
          </w:tcPr>
          <w:p>
            <w:pPr>
              <w:pStyle w:val="TableParagraph"/>
              <w:spacing w:line="263" w:lineRule="exact" w:before="24"/>
              <w:ind w:left="125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48.85</w:t>
            </w:r>
          </w:p>
        </w:tc>
        <w:tc>
          <w:tcPr>
            <w:tcW w:w="775" w:type="dxa"/>
          </w:tcPr>
          <w:p>
            <w:pPr>
              <w:pStyle w:val="TableParagraph"/>
              <w:spacing w:line="263" w:lineRule="exact" w:before="24"/>
              <w:ind w:left="115" w:righ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47.52</w:t>
            </w:r>
          </w:p>
        </w:tc>
        <w:tc>
          <w:tcPr>
            <w:tcW w:w="836" w:type="dxa"/>
          </w:tcPr>
          <w:p>
            <w:pPr>
              <w:pStyle w:val="TableParagraph"/>
              <w:spacing w:line="263" w:lineRule="exact" w:before="24"/>
              <w:ind w:left="113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45.82</w:t>
            </w:r>
          </w:p>
        </w:tc>
        <w:tc>
          <w:tcPr>
            <w:tcW w:w="848" w:type="dxa"/>
          </w:tcPr>
          <w:p>
            <w:pPr>
              <w:pStyle w:val="TableParagraph"/>
              <w:spacing w:line="263" w:lineRule="exact" w:before="24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46.20</w:t>
            </w:r>
          </w:p>
        </w:tc>
        <w:tc>
          <w:tcPr>
            <w:tcW w:w="877" w:type="dxa"/>
          </w:tcPr>
          <w:p>
            <w:pPr>
              <w:pStyle w:val="TableParagraph"/>
              <w:spacing w:line="263" w:lineRule="exact" w:before="24"/>
              <w:ind w:right="1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47.35</w:t>
            </w:r>
          </w:p>
        </w:tc>
        <w:tc>
          <w:tcPr>
            <w:tcW w:w="913" w:type="dxa"/>
          </w:tcPr>
          <w:p>
            <w:pPr>
              <w:pStyle w:val="TableParagraph"/>
              <w:spacing w:line="263" w:lineRule="exact" w:before="24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50.02</w:t>
            </w:r>
          </w:p>
        </w:tc>
        <w:tc>
          <w:tcPr>
            <w:tcW w:w="1007" w:type="dxa"/>
          </w:tcPr>
          <w:p>
            <w:pPr>
              <w:pStyle w:val="TableParagraph"/>
              <w:spacing w:line="263" w:lineRule="exact" w:before="24"/>
              <w:ind w:left="148" w:right="1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44.52</w:t>
            </w:r>
          </w:p>
        </w:tc>
        <w:tc>
          <w:tcPr>
            <w:tcW w:w="1035" w:type="dxa"/>
          </w:tcPr>
          <w:p>
            <w:pPr>
              <w:pStyle w:val="TableParagraph"/>
              <w:spacing w:line="263" w:lineRule="exact" w:before="24"/>
              <w:ind w:left="202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47.79</w:t>
            </w:r>
          </w:p>
        </w:tc>
        <w:tc>
          <w:tcPr>
            <w:tcW w:w="1028" w:type="dxa"/>
          </w:tcPr>
          <w:p>
            <w:pPr>
              <w:pStyle w:val="TableParagraph"/>
              <w:spacing w:line="263" w:lineRule="exact" w:before="24"/>
              <w:ind w:left="207" w:right="1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45.75</w:t>
            </w:r>
          </w:p>
        </w:tc>
        <w:tc>
          <w:tcPr>
            <w:tcW w:w="1016" w:type="dxa"/>
          </w:tcPr>
          <w:p>
            <w:pPr>
              <w:pStyle w:val="TableParagraph"/>
              <w:spacing w:line="263" w:lineRule="exact" w:before="24"/>
              <w:ind w:left="28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46.31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before="16"/>
              <w:ind w:left="50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50.02</w:t>
            </w:r>
          </w:p>
        </w:tc>
        <w:tc>
          <w:tcPr>
            <w:tcW w:w="1032" w:type="dxa"/>
          </w:tcPr>
          <w:p>
            <w:pPr>
              <w:pStyle w:val="TableParagraph"/>
              <w:spacing w:line="263" w:lineRule="exact" w:before="24"/>
              <w:ind w:left="128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46.82</w:t>
            </w:r>
          </w:p>
        </w:tc>
      </w:tr>
      <w:tr>
        <w:trPr>
          <w:trHeight w:val="245" w:hRule="atLeast"/>
        </w:trPr>
        <w:tc>
          <w:tcPr>
            <w:tcW w:w="1030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7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26" w:lineRule="exact"/>
              <w:ind w:left="42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33.03</w:t>
            </w:r>
            <w:r>
              <w:rPr>
                <w:rFonts w:ascii="Calibri"/>
                <w:spacing w:val="48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</w:p>
        </w:tc>
        <w:tc>
          <w:tcPr>
            <w:tcW w:w="1032" w:type="dxa"/>
          </w:tcPr>
          <w:p>
            <w:pPr>
              <w:pStyle w:val="TableParagraph"/>
              <w:jc w:val="left"/>
              <w:rPr>
                <w:sz w:val="16"/>
              </w:rPr>
            </w:pPr>
          </w:p>
        </w:tc>
      </w:tr>
      <w:tr>
        <w:trPr>
          <w:trHeight w:val="286" w:hRule="atLeast"/>
        </w:trPr>
        <w:tc>
          <w:tcPr>
            <w:tcW w:w="1030" w:type="dxa"/>
          </w:tcPr>
          <w:p>
            <w:pPr>
              <w:pStyle w:val="TableParagraph"/>
              <w:spacing w:line="259" w:lineRule="exact" w:before="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902" w:type="dxa"/>
          </w:tcPr>
          <w:p>
            <w:pPr>
              <w:pStyle w:val="TableParagraph"/>
              <w:spacing w:line="244" w:lineRule="exact" w:before="21"/>
              <w:ind w:left="118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35.14</w:t>
            </w:r>
          </w:p>
        </w:tc>
        <w:tc>
          <w:tcPr>
            <w:tcW w:w="876" w:type="dxa"/>
          </w:tcPr>
          <w:p>
            <w:pPr>
              <w:pStyle w:val="TableParagraph"/>
              <w:spacing w:line="242" w:lineRule="exact" w:before="24"/>
              <w:ind w:left="125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35.29</w:t>
            </w:r>
          </w:p>
        </w:tc>
        <w:tc>
          <w:tcPr>
            <w:tcW w:w="775" w:type="dxa"/>
          </w:tcPr>
          <w:p>
            <w:pPr>
              <w:pStyle w:val="TableParagraph"/>
              <w:spacing w:line="242" w:lineRule="exact" w:before="24"/>
              <w:ind w:left="115" w:right="11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38.80</w:t>
            </w:r>
          </w:p>
        </w:tc>
        <w:tc>
          <w:tcPr>
            <w:tcW w:w="836" w:type="dxa"/>
          </w:tcPr>
          <w:p>
            <w:pPr>
              <w:pStyle w:val="TableParagraph"/>
              <w:spacing w:line="242" w:lineRule="exact" w:before="24"/>
              <w:ind w:left="113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34.75</w:t>
            </w:r>
          </w:p>
        </w:tc>
        <w:tc>
          <w:tcPr>
            <w:tcW w:w="848" w:type="dxa"/>
          </w:tcPr>
          <w:p>
            <w:pPr>
              <w:pStyle w:val="TableParagraph"/>
              <w:spacing w:line="242" w:lineRule="exact" w:before="24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36.50</w:t>
            </w:r>
          </w:p>
        </w:tc>
        <w:tc>
          <w:tcPr>
            <w:tcW w:w="877" w:type="dxa"/>
          </w:tcPr>
          <w:p>
            <w:pPr>
              <w:pStyle w:val="TableParagraph"/>
              <w:spacing w:line="242" w:lineRule="exact" w:before="24"/>
              <w:ind w:right="1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38.01</w:t>
            </w:r>
          </w:p>
        </w:tc>
        <w:tc>
          <w:tcPr>
            <w:tcW w:w="913" w:type="dxa"/>
          </w:tcPr>
          <w:p>
            <w:pPr>
              <w:pStyle w:val="TableParagraph"/>
              <w:spacing w:line="242" w:lineRule="exact" w:before="24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33.03</w:t>
            </w:r>
          </w:p>
        </w:tc>
        <w:tc>
          <w:tcPr>
            <w:tcW w:w="1007" w:type="dxa"/>
          </w:tcPr>
          <w:p>
            <w:pPr>
              <w:pStyle w:val="TableParagraph"/>
              <w:spacing w:line="242" w:lineRule="exact" w:before="24"/>
              <w:ind w:left="148" w:right="1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36.00</w:t>
            </w:r>
          </w:p>
        </w:tc>
        <w:tc>
          <w:tcPr>
            <w:tcW w:w="1035" w:type="dxa"/>
          </w:tcPr>
          <w:p>
            <w:pPr>
              <w:pStyle w:val="TableParagraph"/>
              <w:spacing w:line="242" w:lineRule="exact" w:before="24"/>
              <w:ind w:left="202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34.40</w:t>
            </w:r>
          </w:p>
        </w:tc>
        <w:tc>
          <w:tcPr>
            <w:tcW w:w="1028" w:type="dxa"/>
          </w:tcPr>
          <w:p>
            <w:pPr>
              <w:pStyle w:val="TableParagraph"/>
              <w:spacing w:line="242" w:lineRule="exact" w:before="24"/>
              <w:ind w:left="207" w:right="1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34.46</w:t>
            </w:r>
          </w:p>
        </w:tc>
        <w:tc>
          <w:tcPr>
            <w:tcW w:w="1016" w:type="dxa"/>
          </w:tcPr>
          <w:p>
            <w:pPr>
              <w:pStyle w:val="TableParagraph"/>
              <w:spacing w:line="242" w:lineRule="exact" w:before="24"/>
              <w:ind w:left="28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33.47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47" w:lineRule="exact" w:before="19"/>
              <w:ind w:left="50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38.80</w:t>
            </w:r>
          </w:p>
        </w:tc>
        <w:tc>
          <w:tcPr>
            <w:tcW w:w="1032" w:type="dxa"/>
          </w:tcPr>
          <w:p>
            <w:pPr>
              <w:pStyle w:val="TableParagraph"/>
              <w:spacing w:line="242" w:lineRule="exact" w:before="24"/>
              <w:ind w:left="128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35.44</w:t>
            </w:r>
          </w:p>
        </w:tc>
      </w:tr>
      <w:tr>
        <w:trPr>
          <w:trHeight w:val="686" w:hRule="atLeast"/>
        </w:trPr>
        <w:tc>
          <w:tcPr>
            <w:tcW w:w="1030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902" w:type="dxa"/>
          </w:tcPr>
          <w:p>
            <w:pPr>
              <w:pStyle w:val="TableParagraph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1.59</w:t>
            </w:r>
          </w:p>
        </w:tc>
        <w:tc>
          <w:tcPr>
            <w:tcW w:w="876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1.52</w:t>
            </w:r>
          </w:p>
        </w:tc>
        <w:tc>
          <w:tcPr>
            <w:tcW w:w="775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1.01</w:t>
            </w:r>
          </w:p>
        </w:tc>
        <w:tc>
          <w:tcPr>
            <w:tcW w:w="836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1.45</w:t>
            </w:r>
          </w:p>
        </w:tc>
        <w:tc>
          <w:tcPr>
            <w:tcW w:w="848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0.82</w:t>
            </w:r>
          </w:p>
        </w:tc>
        <w:tc>
          <w:tcPr>
            <w:tcW w:w="877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</w:t>
            </w:r>
          </w:p>
        </w:tc>
        <w:tc>
          <w:tcPr>
            <w:tcW w:w="913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</w:t>
            </w:r>
          </w:p>
        </w:tc>
        <w:tc>
          <w:tcPr>
            <w:tcW w:w="1007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0.51</w:t>
            </w:r>
          </w:p>
        </w:tc>
        <w:tc>
          <w:tcPr>
            <w:tcW w:w="1035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1.23</w:t>
            </w:r>
          </w:p>
        </w:tc>
        <w:tc>
          <w:tcPr>
            <w:tcW w:w="1028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0.73</w:t>
            </w:r>
          </w:p>
        </w:tc>
        <w:tc>
          <w:tcPr>
            <w:tcW w:w="1016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1.08</w:t>
            </w:r>
          </w:p>
        </w:tc>
        <w:tc>
          <w:tcPr>
            <w:tcW w:w="631" w:type="dxa"/>
          </w:tcPr>
          <w:p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right="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0.51</w:t>
            </w:r>
          </w:p>
        </w:tc>
        <w:tc>
          <w:tcPr>
            <w:tcW w:w="785" w:type="dxa"/>
          </w:tcPr>
          <w:p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9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1.59</w:t>
            </w:r>
          </w:p>
        </w:tc>
        <w:tc>
          <w:tcPr>
            <w:tcW w:w="1032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1.07</w:t>
            </w:r>
          </w:p>
        </w:tc>
      </w:tr>
      <w:tr>
        <w:trPr>
          <w:trHeight w:val="550" w:hRule="atLeast"/>
        </w:trPr>
        <w:tc>
          <w:tcPr>
            <w:tcW w:w="1030" w:type="dxa"/>
          </w:tcPr>
          <w:p>
            <w:pPr>
              <w:pStyle w:val="TableParagraph"/>
              <w:spacing w:before="136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902" w:type="dxa"/>
          </w:tcPr>
          <w:p>
            <w:pPr>
              <w:pStyle w:val="TableParagraph"/>
              <w:spacing w:before="150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0.90</w:t>
            </w:r>
          </w:p>
        </w:tc>
        <w:tc>
          <w:tcPr>
            <w:tcW w:w="876" w:type="dxa"/>
          </w:tcPr>
          <w:p>
            <w:pPr>
              <w:pStyle w:val="TableParagraph"/>
              <w:spacing w:before="155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0.65</w:t>
            </w:r>
          </w:p>
        </w:tc>
        <w:tc>
          <w:tcPr>
            <w:tcW w:w="775" w:type="dxa"/>
          </w:tcPr>
          <w:p>
            <w:pPr>
              <w:pStyle w:val="TableParagraph"/>
              <w:spacing w:before="155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0.52</w:t>
            </w:r>
          </w:p>
        </w:tc>
        <w:tc>
          <w:tcPr>
            <w:tcW w:w="836" w:type="dxa"/>
          </w:tcPr>
          <w:p>
            <w:pPr>
              <w:pStyle w:val="TableParagraph"/>
              <w:spacing w:before="155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0.45</w:t>
            </w:r>
          </w:p>
        </w:tc>
        <w:tc>
          <w:tcPr>
            <w:tcW w:w="848" w:type="dxa"/>
          </w:tcPr>
          <w:p>
            <w:pPr>
              <w:pStyle w:val="TableParagraph"/>
              <w:spacing w:before="155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0.60</w:t>
            </w:r>
          </w:p>
        </w:tc>
        <w:tc>
          <w:tcPr>
            <w:tcW w:w="877" w:type="dxa"/>
          </w:tcPr>
          <w:p>
            <w:pPr>
              <w:pStyle w:val="TableParagraph"/>
              <w:spacing w:before="155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</w:t>
            </w:r>
          </w:p>
        </w:tc>
        <w:tc>
          <w:tcPr>
            <w:tcW w:w="913" w:type="dxa"/>
          </w:tcPr>
          <w:p>
            <w:pPr>
              <w:pStyle w:val="TableParagraph"/>
              <w:spacing w:before="155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0.54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5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0.58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5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0.53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5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0.52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5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0.60</w:t>
            </w:r>
          </w:p>
        </w:tc>
        <w:tc>
          <w:tcPr>
            <w:tcW w:w="631" w:type="dxa"/>
          </w:tcPr>
          <w:p>
            <w:pPr>
              <w:pStyle w:val="TableParagraph"/>
              <w:spacing w:before="150"/>
              <w:ind w:right="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0.45</w:t>
            </w:r>
          </w:p>
        </w:tc>
        <w:tc>
          <w:tcPr>
            <w:tcW w:w="785" w:type="dxa"/>
          </w:tcPr>
          <w:p>
            <w:pPr>
              <w:pStyle w:val="TableParagraph"/>
              <w:spacing w:before="150"/>
              <w:ind w:left="9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0.90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5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0.59</w:t>
            </w:r>
          </w:p>
        </w:tc>
      </w:tr>
      <w:tr>
        <w:trPr>
          <w:trHeight w:val="550" w:hRule="atLeast"/>
        </w:trPr>
        <w:tc>
          <w:tcPr>
            <w:tcW w:w="1030" w:type="dxa"/>
          </w:tcPr>
          <w:p>
            <w:pPr>
              <w:pStyle w:val="TableParagraph"/>
              <w:spacing w:before="137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902" w:type="dxa"/>
          </w:tcPr>
          <w:p>
            <w:pPr>
              <w:pStyle w:val="TableParagraph"/>
              <w:spacing w:before="151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0.92</w:t>
            </w:r>
          </w:p>
        </w:tc>
        <w:tc>
          <w:tcPr>
            <w:tcW w:w="876" w:type="dxa"/>
          </w:tcPr>
          <w:p>
            <w:pPr>
              <w:pStyle w:val="TableParagraph"/>
              <w:spacing w:before="156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</w:t>
            </w:r>
          </w:p>
        </w:tc>
        <w:tc>
          <w:tcPr>
            <w:tcW w:w="775" w:type="dxa"/>
          </w:tcPr>
          <w:p>
            <w:pPr>
              <w:pStyle w:val="TableParagraph"/>
              <w:spacing w:before="156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0.90</w:t>
            </w:r>
          </w:p>
        </w:tc>
        <w:tc>
          <w:tcPr>
            <w:tcW w:w="836" w:type="dxa"/>
          </w:tcPr>
          <w:p>
            <w:pPr>
              <w:pStyle w:val="TableParagraph"/>
              <w:spacing w:before="156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1.06</w:t>
            </w:r>
          </w:p>
        </w:tc>
        <w:tc>
          <w:tcPr>
            <w:tcW w:w="848" w:type="dxa"/>
          </w:tcPr>
          <w:p>
            <w:pPr>
              <w:pStyle w:val="TableParagraph"/>
              <w:spacing w:before="156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</w:t>
            </w:r>
          </w:p>
        </w:tc>
        <w:tc>
          <w:tcPr>
            <w:tcW w:w="877" w:type="dxa"/>
          </w:tcPr>
          <w:p>
            <w:pPr>
              <w:pStyle w:val="TableParagraph"/>
              <w:spacing w:before="156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1.01</w:t>
            </w:r>
          </w:p>
        </w:tc>
        <w:tc>
          <w:tcPr>
            <w:tcW w:w="913" w:type="dxa"/>
          </w:tcPr>
          <w:p>
            <w:pPr>
              <w:pStyle w:val="TableParagraph"/>
              <w:spacing w:before="156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0.79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6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6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0.64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6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0.84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6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0.85</w:t>
            </w:r>
          </w:p>
        </w:tc>
        <w:tc>
          <w:tcPr>
            <w:tcW w:w="631" w:type="dxa"/>
          </w:tcPr>
          <w:p>
            <w:pPr>
              <w:pStyle w:val="TableParagraph"/>
              <w:spacing w:before="151"/>
              <w:ind w:right="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0.40</w:t>
            </w:r>
          </w:p>
        </w:tc>
        <w:tc>
          <w:tcPr>
            <w:tcW w:w="785" w:type="dxa"/>
          </w:tcPr>
          <w:p>
            <w:pPr>
              <w:pStyle w:val="TableParagraph"/>
              <w:spacing w:before="151"/>
              <w:ind w:left="9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1.06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6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0.83</w:t>
            </w:r>
          </w:p>
        </w:tc>
      </w:tr>
      <w:tr>
        <w:trPr>
          <w:trHeight w:val="552" w:hRule="atLeast"/>
        </w:trPr>
        <w:tc>
          <w:tcPr>
            <w:tcW w:w="1030" w:type="dxa"/>
          </w:tcPr>
          <w:p>
            <w:pPr>
              <w:pStyle w:val="TableParagraph"/>
              <w:spacing w:before="136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902" w:type="dxa"/>
          </w:tcPr>
          <w:p>
            <w:pPr>
              <w:pStyle w:val="TableParagraph"/>
              <w:spacing w:before="150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0.80</w:t>
            </w:r>
          </w:p>
        </w:tc>
        <w:tc>
          <w:tcPr>
            <w:tcW w:w="876" w:type="dxa"/>
          </w:tcPr>
          <w:p>
            <w:pPr>
              <w:pStyle w:val="TableParagraph"/>
              <w:spacing w:before="158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1.53</w:t>
            </w:r>
          </w:p>
        </w:tc>
        <w:tc>
          <w:tcPr>
            <w:tcW w:w="775" w:type="dxa"/>
          </w:tcPr>
          <w:p>
            <w:pPr>
              <w:pStyle w:val="TableParagraph"/>
              <w:spacing w:before="158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2.14</w:t>
            </w:r>
          </w:p>
        </w:tc>
        <w:tc>
          <w:tcPr>
            <w:tcW w:w="836" w:type="dxa"/>
          </w:tcPr>
          <w:p>
            <w:pPr>
              <w:pStyle w:val="TableParagraph"/>
              <w:spacing w:before="158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1.05</w:t>
            </w:r>
          </w:p>
        </w:tc>
        <w:tc>
          <w:tcPr>
            <w:tcW w:w="848" w:type="dxa"/>
          </w:tcPr>
          <w:p>
            <w:pPr>
              <w:pStyle w:val="TableParagraph"/>
              <w:spacing w:before="158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0.75</w:t>
            </w:r>
          </w:p>
        </w:tc>
        <w:tc>
          <w:tcPr>
            <w:tcW w:w="877" w:type="dxa"/>
          </w:tcPr>
          <w:p>
            <w:pPr>
              <w:pStyle w:val="TableParagraph"/>
              <w:spacing w:before="158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1.34</w:t>
            </w:r>
          </w:p>
        </w:tc>
        <w:tc>
          <w:tcPr>
            <w:tcW w:w="913" w:type="dxa"/>
          </w:tcPr>
          <w:p>
            <w:pPr>
              <w:pStyle w:val="TableParagraph"/>
              <w:spacing w:before="158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0.98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8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0.87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8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0.68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8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1.20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8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0.72</w:t>
            </w:r>
          </w:p>
        </w:tc>
        <w:tc>
          <w:tcPr>
            <w:tcW w:w="631" w:type="dxa"/>
          </w:tcPr>
          <w:p>
            <w:pPr>
              <w:pStyle w:val="TableParagraph"/>
              <w:spacing w:before="153"/>
              <w:ind w:right="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0.68</w:t>
            </w:r>
          </w:p>
        </w:tc>
        <w:tc>
          <w:tcPr>
            <w:tcW w:w="785" w:type="dxa"/>
          </w:tcPr>
          <w:p>
            <w:pPr>
              <w:pStyle w:val="TableParagraph"/>
              <w:spacing w:before="153"/>
              <w:ind w:left="9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2.14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8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1.09</w:t>
            </w:r>
          </w:p>
        </w:tc>
      </w:tr>
      <w:tr>
        <w:trPr>
          <w:trHeight w:val="551" w:hRule="atLeast"/>
        </w:trPr>
        <w:tc>
          <w:tcPr>
            <w:tcW w:w="1030" w:type="dxa"/>
          </w:tcPr>
          <w:p>
            <w:pPr>
              <w:pStyle w:val="TableParagraph"/>
              <w:spacing w:before="138"/>
              <w:ind w:left="284"/>
              <w:jc w:val="left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902" w:type="dxa"/>
          </w:tcPr>
          <w:p>
            <w:pPr>
              <w:pStyle w:val="TableParagraph"/>
              <w:spacing w:before="153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0.06</w:t>
            </w:r>
          </w:p>
        </w:tc>
        <w:tc>
          <w:tcPr>
            <w:tcW w:w="876" w:type="dxa"/>
          </w:tcPr>
          <w:p>
            <w:pPr>
              <w:pStyle w:val="TableParagraph"/>
              <w:spacing w:before="157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775" w:type="dxa"/>
          </w:tcPr>
          <w:p>
            <w:pPr>
              <w:pStyle w:val="TableParagraph"/>
              <w:spacing w:before="157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0.06</w:t>
            </w:r>
          </w:p>
        </w:tc>
        <w:tc>
          <w:tcPr>
            <w:tcW w:w="836" w:type="dxa"/>
          </w:tcPr>
          <w:p>
            <w:pPr>
              <w:pStyle w:val="TableParagraph"/>
              <w:spacing w:before="157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848" w:type="dxa"/>
          </w:tcPr>
          <w:p>
            <w:pPr>
              <w:pStyle w:val="TableParagraph"/>
              <w:spacing w:before="157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0.62</w:t>
            </w:r>
          </w:p>
        </w:tc>
        <w:tc>
          <w:tcPr>
            <w:tcW w:w="877" w:type="dxa"/>
          </w:tcPr>
          <w:p>
            <w:pPr>
              <w:pStyle w:val="TableParagraph"/>
              <w:spacing w:before="157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913" w:type="dxa"/>
          </w:tcPr>
          <w:p>
            <w:pPr>
              <w:pStyle w:val="TableParagraph"/>
              <w:spacing w:before="157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7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7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7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7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0.60</w:t>
            </w:r>
          </w:p>
        </w:tc>
        <w:tc>
          <w:tcPr>
            <w:tcW w:w="631" w:type="dxa"/>
          </w:tcPr>
          <w:p>
            <w:pPr>
              <w:pStyle w:val="TableParagraph"/>
              <w:spacing w:before="153"/>
              <w:ind w:right="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785" w:type="dxa"/>
          </w:tcPr>
          <w:p>
            <w:pPr>
              <w:pStyle w:val="TableParagraph"/>
              <w:spacing w:before="153"/>
              <w:ind w:left="7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44"/>
                <w:sz w:val="22"/>
              </w:rPr>
              <w:t> </w:t>
            </w:r>
            <w:r>
              <w:rPr>
                <w:rFonts w:ascii="Calibri"/>
                <w:sz w:val="22"/>
              </w:rPr>
              <w:t>0.62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7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0.16</w:t>
            </w:r>
          </w:p>
        </w:tc>
      </w:tr>
      <w:tr>
        <w:trPr>
          <w:trHeight w:val="553" w:hRule="atLeast"/>
        </w:trPr>
        <w:tc>
          <w:tcPr>
            <w:tcW w:w="1030" w:type="dxa"/>
          </w:tcPr>
          <w:p>
            <w:pPr>
              <w:pStyle w:val="TableParagraph"/>
              <w:spacing w:before="141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902" w:type="dxa"/>
          </w:tcPr>
          <w:p>
            <w:pPr>
              <w:pStyle w:val="TableParagraph"/>
              <w:spacing w:before="156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0.32</w:t>
            </w:r>
          </w:p>
        </w:tc>
        <w:tc>
          <w:tcPr>
            <w:tcW w:w="876" w:type="dxa"/>
          </w:tcPr>
          <w:p>
            <w:pPr>
              <w:pStyle w:val="TableParagraph"/>
              <w:spacing w:before="158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0.30</w:t>
            </w:r>
          </w:p>
        </w:tc>
        <w:tc>
          <w:tcPr>
            <w:tcW w:w="775" w:type="dxa"/>
          </w:tcPr>
          <w:p>
            <w:pPr>
              <w:pStyle w:val="TableParagraph"/>
              <w:spacing w:before="158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0.32</w:t>
            </w:r>
          </w:p>
        </w:tc>
        <w:tc>
          <w:tcPr>
            <w:tcW w:w="836" w:type="dxa"/>
          </w:tcPr>
          <w:p>
            <w:pPr>
              <w:pStyle w:val="TableParagraph"/>
              <w:spacing w:before="158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0.28</w:t>
            </w:r>
          </w:p>
        </w:tc>
        <w:tc>
          <w:tcPr>
            <w:tcW w:w="848" w:type="dxa"/>
          </w:tcPr>
          <w:p>
            <w:pPr>
              <w:pStyle w:val="TableParagraph"/>
              <w:spacing w:before="158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0.30</w:t>
            </w:r>
          </w:p>
        </w:tc>
        <w:tc>
          <w:tcPr>
            <w:tcW w:w="877" w:type="dxa"/>
          </w:tcPr>
          <w:p>
            <w:pPr>
              <w:pStyle w:val="TableParagraph"/>
              <w:spacing w:before="158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0.33</w:t>
            </w:r>
          </w:p>
        </w:tc>
        <w:tc>
          <w:tcPr>
            <w:tcW w:w="913" w:type="dxa"/>
          </w:tcPr>
          <w:p>
            <w:pPr>
              <w:pStyle w:val="TableParagraph"/>
              <w:spacing w:before="158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0.30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8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0.34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8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0.35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8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0.30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8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0.29</w:t>
            </w:r>
          </w:p>
        </w:tc>
        <w:tc>
          <w:tcPr>
            <w:tcW w:w="631" w:type="dxa"/>
          </w:tcPr>
          <w:p>
            <w:pPr>
              <w:pStyle w:val="TableParagraph"/>
              <w:spacing w:before="153"/>
              <w:ind w:right="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0.28</w:t>
            </w:r>
          </w:p>
        </w:tc>
        <w:tc>
          <w:tcPr>
            <w:tcW w:w="785" w:type="dxa"/>
          </w:tcPr>
          <w:p>
            <w:pPr>
              <w:pStyle w:val="TableParagraph"/>
              <w:spacing w:before="153"/>
              <w:ind w:left="7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44"/>
                <w:sz w:val="22"/>
              </w:rPr>
              <w:t> </w:t>
            </w:r>
            <w:r>
              <w:rPr>
                <w:rFonts w:ascii="Calibri"/>
                <w:sz w:val="22"/>
              </w:rPr>
              <w:t>0.35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8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0.31</w:t>
            </w:r>
          </w:p>
        </w:tc>
      </w:tr>
      <w:tr>
        <w:trPr>
          <w:trHeight w:val="551" w:hRule="atLeast"/>
        </w:trPr>
        <w:tc>
          <w:tcPr>
            <w:tcW w:w="1030" w:type="dxa"/>
          </w:tcPr>
          <w:p>
            <w:pPr>
              <w:pStyle w:val="TableParagraph"/>
              <w:spacing w:before="142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902" w:type="dxa"/>
          </w:tcPr>
          <w:p>
            <w:pPr>
              <w:pStyle w:val="TableParagraph"/>
              <w:spacing w:before="157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0.08</w:t>
            </w:r>
          </w:p>
        </w:tc>
        <w:tc>
          <w:tcPr>
            <w:tcW w:w="876" w:type="dxa"/>
          </w:tcPr>
          <w:p>
            <w:pPr>
              <w:pStyle w:val="TableParagraph"/>
              <w:spacing w:before="157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775" w:type="dxa"/>
          </w:tcPr>
          <w:p>
            <w:pPr>
              <w:pStyle w:val="TableParagraph"/>
              <w:spacing w:before="157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0.15</w:t>
            </w:r>
          </w:p>
        </w:tc>
        <w:tc>
          <w:tcPr>
            <w:tcW w:w="836" w:type="dxa"/>
          </w:tcPr>
          <w:p>
            <w:pPr>
              <w:pStyle w:val="TableParagraph"/>
              <w:spacing w:before="157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848" w:type="dxa"/>
          </w:tcPr>
          <w:p>
            <w:pPr>
              <w:pStyle w:val="TableParagraph"/>
              <w:spacing w:before="157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877" w:type="dxa"/>
          </w:tcPr>
          <w:p>
            <w:pPr>
              <w:pStyle w:val="TableParagraph"/>
              <w:spacing w:before="157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  <w:tc>
          <w:tcPr>
            <w:tcW w:w="913" w:type="dxa"/>
          </w:tcPr>
          <w:p>
            <w:pPr>
              <w:pStyle w:val="TableParagraph"/>
              <w:spacing w:before="157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0.06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7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7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7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7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631" w:type="dxa"/>
          </w:tcPr>
          <w:p>
            <w:pPr>
              <w:pStyle w:val="TableParagraph"/>
              <w:spacing w:before="152"/>
              <w:ind w:right="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785" w:type="dxa"/>
          </w:tcPr>
          <w:p>
            <w:pPr>
              <w:pStyle w:val="TableParagraph"/>
              <w:spacing w:before="152"/>
              <w:ind w:left="7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44"/>
                <w:sz w:val="22"/>
              </w:rPr>
              <w:t> </w:t>
            </w:r>
            <w:r>
              <w:rPr>
                <w:rFonts w:ascii="Calibri"/>
                <w:sz w:val="22"/>
              </w:rPr>
              <w:t>0.15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7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0.05</w:t>
            </w:r>
          </w:p>
        </w:tc>
      </w:tr>
      <w:tr>
        <w:trPr>
          <w:trHeight w:val="543" w:hRule="atLeast"/>
        </w:trPr>
        <w:tc>
          <w:tcPr>
            <w:tcW w:w="1030" w:type="dxa"/>
          </w:tcPr>
          <w:p>
            <w:pPr>
              <w:pStyle w:val="TableParagraph"/>
              <w:spacing w:before="142"/>
              <w:ind w:left="272"/>
              <w:jc w:val="lef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5</w:t>
            </w:r>
          </w:p>
        </w:tc>
        <w:tc>
          <w:tcPr>
            <w:tcW w:w="902" w:type="dxa"/>
          </w:tcPr>
          <w:p>
            <w:pPr>
              <w:pStyle w:val="TableParagraph"/>
              <w:spacing w:before="157"/>
              <w:ind w:left="117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876" w:type="dxa"/>
          </w:tcPr>
          <w:p>
            <w:pPr>
              <w:pStyle w:val="TableParagraph"/>
              <w:spacing w:before="157"/>
              <w:ind w:left="124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775" w:type="dxa"/>
          </w:tcPr>
          <w:p>
            <w:pPr>
              <w:pStyle w:val="TableParagraph"/>
              <w:spacing w:before="157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836" w:type="dxa"/>
          </w:tcPr>
          <w:p>
            <w:pPr>
              <w:pStyle w:val="TableParagraph"/>
              <w:spacing w:before="157"/>
              <w:ind w:left="112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848" w:type="dxa"/>
          </w:tcPr>
          <w:p>
            <w:pPr>
              <w:pStyle w:val="TableParagraph"/>
              <w:spacing w:before="157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877" w:type="dxa"/>
          </w:tcPr>
          <w:p>
            <w:pPr>
              <w:pStyle w:val="TableParagraph"/>
              <w:spacing w:before="157"/>
              <w:ind w:left="23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913" w:type="dxa"/>
          </w:tcPr>
          <w:p>
            <w:pPr>
              <w:pStyle w:val="TableParagraph"/>
              <w:spacing w:before="157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1007" w:type="dxa"/>
          </w:tcPr>
          <w:p>
            <w:pPr>
              <w:pStyle w:val="TableParagraph"/>
              <w:spacing w:before="157"/>
              <w:ind w:left="148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7"/>
              <w:ind w:left="201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0.03</w:t>
            </w:r>
          </w:p>
        </w:tc>
        <w:tc>
          <w:tcPr>
            <w:tcW w:w="1028" w:type="dxa"/>
          </w:tcPr>
          <w:p>
            <w:pPr>
              <w:pStyle w:val="TableParagraph"/>
              <w:spacing w:before="157"/>
              <w:ind w:left="207" w:right="1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  <w:tc>
          <w:tcPr>
            <w:tcW w:w="1016" w:type="dxa"/>
          </w:tcPr>
          <w:p>
            <w:pPr>
              <w:pStyle w:val="TableParagraph"/>
              <w:spacing w:before="157"/>
              <w:ind w:left="336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631" w:type="dxa"/>
          </w:tcPr>
          <w:p>
            <w:pPr>
              <w:pStyle w:val="TableParagraph"/>
              <w:spacing w:before="152"/>
              <w:ind w:right="27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0.01</w:t>
            </w:r>
          </w:p>
        </w:tc>
        <w:tc>
          <w:tcPr>
            <w:tcW w:w="785" w:type="dxa"/>
          </w:tcPr>
          <w:p>
            <w:pPr>
              <w:pStyle w:val="TableParagraph"/>
              <w:spacing w:before="152"/>
              <w:ind w:left="7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44"/>
                <w:sz w:val="22"/>
              </w:rPr>
              <w:t> </w:t>
            </w:r>
            <w:r>
              <w:rPr>
                <w:rFonts w:ascii="Calibri"/>
                <w:sz w:val="22"/>
              </w:rPr>
              <w:t>0.04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57"/>
              <w:ind w:left="127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0.02</w:t>
            </w:r>
          </w:p>
        </w:tc>
      </w:tr>
      <w:tr>
        <w:trPr>
          <w:trHeight w:val="500" w:hRule="atLeast"/>
        </w:trPr>
        <w:tc>
          <w:tcPr>
            <w:tcW w:w="1030" w:type="dxa"/>
          </w:tcPr>
          <w:p>
            <w:pPr>
              <w:pStyle w:val="TableParagraph"/>
              <w:spacing w:before="124"/>
              <w:ind w:left="320"/>
              <w:jc w:val="left"/>
              <w:rPr>
                <w:sz w:val="22"/>
              </w:rPr>
            </w:pPr>
            <w:r>
              <w:rPr>
                <w:sz w:val="22"/>
              </w:rPr>
              <w:t>LOI</w:t>
            </w:r>
          </w:p>
        </w:tc>
        <w:tc>
          <w:tcPr>
            <w:tcW w:w="902" w:type="dxa"/>
          </w:tcPr>
          <w:p>
            <w:pPr>
              <w:pStyle w:val="TableParagraph"/>
              <w:spacing w:before="120"/>
              <w:ind w:left="118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15.14</w:t>
            </w:r>
          </w:p>
        </w:tc>
        <w:tc>
          <w:tcPr>
            <w:tcW w:w="876" w:type="dxa"/>
          </w:tcPr>
          <w:p>
            <w:pPr>
              <w:pStyle w:val="TableParagraph"/>
              <w:spacing w:before="120"/>
              <w:ind w:left="125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12.50</w:t>
            </w:r>
          </w:p>
        </w:tc>
        <w:tc>
          <w:tcPr>
            <w:tcW w:w="775" w:type="dxa"/>
          </w:tcPr>
          <w:p>
            <w:pPr>
              <w:pStyle w:val="TableParagraph"/>
              <w:spacing w:before="120"/>
              <w:ind w:left="115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8.55</w:t>
            </w:r>
          </w:p>
        </w:tc>
        <w:tc>
          <w:tcPr>
            <w:tcW w:w="836" w:type="dxa"/>
          </w:tcPr>
          <w:p>
            <w:pPr>
              <w:pStyle w:val="TableParagraph"/>
              <w:spacing w:before="120"/>
              <w:ind w:left="113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14.70</w:t>
            </w:r>
          </w:p>
        </w:tc>
        <w:tc>
          <w:tcPr>
            <w:tcW w:w="848" w:type="dxa"/>
          </w:tcPr>
          <w:p>
            <w:pPr>
              <w:pStyle w:val="TableParagraph"/>
              <w:spacing w:before="120"/>
              <w:ind w:left="60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13.68</w:t>
            </w:r>
          </w:p>
        </w:tc>
        <w:tc>
          <w:tcPr>
            <w:tcW w:w="877" w:type="dxa"/>
          </w:tcPr>
          <w:p>
            <w:pPr>
              <w:pStyle w:val="TableParagraph"/>
              <w:spacing w:before="120"/>
              <w:ind w:right="19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10.20</w:t>
            </w:r>
          </w:p>
        </w:tc>
        <w:tc>
          <w:tcPr>
            <w:tcW w:w="913" w:type="dxa"/>
          </w:tcPr>
          <w:p>
            <w:pPr>
              <w:pStyle w:val="TableParagraph"/>
              <w:spacing w:before="120"/>
              <w:ind w:left="120" w:right="145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13.37</w:t>
            </w:r>
          </w:p>
        </w:tc>
        <w:tc>
          <w:tcPr>
            <w:tcW w:w="1007" w:type="dxa"/>
          </w:tcPr>
          <w:p>
            <w:pPr>
              <w:pStyle w:val="TableParagraph"/>
              <w:spacing w:before="120"/>
              <w:ind w:left="148" w:right="1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16.37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20"/>
              <w:ind w:left="202" w:right="20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14.06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20"/>
              <w:ind w:left="207" w:right="19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15.93</w:t>
            </w:r>
          </w:p>
        </w:tc>
        <w:tc>
          <w:tcPr>
            <w:tcW w:w="1016" w:type="dxa"/>
          </w:tcPr>
          <w:p>
            <w:pPr>
              <w:pStyle w:val="TableParagraph"/>
              <w:spacing w:before="120"/>
              <w:ind w:left="281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16.00</w:t>
            </w:r>
          </w:p>
        </w:tc>
        <w:tc>
          <w:tcPr>
            <w:tcW w:w="631" w:type="dxa"/>
          </w:tcPr>
          <w:p>
            <w:pPr>
              <w:pStyle w:val="TableParagraph"/>
              <w:spacing w:before="115"/>
              <w:ind w:right="5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8.55</w:t>
            </w:r>
          </w:p>
        </w:tc>
        <w:tc>
          <w:tcPr>
            <w:tcW w:w="785" w:type="dxa"/>
          </w:tcPr>
          <w:p>
            <w:pPr>
              <w:pStyle w:val="TableParagraph"/>
              <w:spacing w:before="115"/>
              <w:ind w:left="39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16.37</w:t>
            </w:r>
          </w:p>
        </w:tc>
        <w:tc>
          <w:tcPr>
            <w:tcW w:w="1032" w:type="dxa"/>
          </w:tcPr>
          <w:p>
            <w:pPr>
              <w:pStyle w:val="TableParagraph"/>
              <w:spacing w:before="120"/>
              <w:ind w:left="128" w:right="11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13.68</w:t>
            </w:r>
          </w:p>
        </w:tc>
      </w:tr>
      <w:tr>
        <w:trPr>
          <w:trHeight w:val="377" w:hRule="atLeast"/>
        </w:trPr>
        <w:tc>
          <w:tcPr>
            <w:tcW w:w="1030" w:type="dxa"/>
          </w:tcPr>
          <w:p>
            <w:pPr>
              <w:pStyle w:val="TableParagraph"/>
              <w:spacing w:line="229" w:lineRule="exact" w:before="128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902" w:type="dxa"/>
          </w:tcPr>
          <w:p>
            <w:pPr>
              <w:pStyle w:val="TableParagraph"/>
              <w:spacing w:line="234" w:lineRule="exact" w:before="124"/>
              <w:ind w:left="118" w:right="124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99.87</w:t>
            </w:r>
          </w:p>
        </w:tc>
        <w:tc>
          <w:tcPr>
            <w:tcW w:w="876" w:type="dxa"/>
          </w:tcPr>
          <w:p>
            <w:pPr>
              <w:pStyle w:val="TableParagraph"/>
              <w:spacing w:line="234" w:lineRule="exact" w:before="124"/>
              <w:ind w:left="125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101.6</w:t>
            </w:r>
          </w:p>
        </w:tc>
        <w:tc>
          <w:tcPr>
            <w:tcW w:w="775" w:type="dxa"/>
          </w:tcPr>
          <w:p>
            <w:pPr>
              <w:pStyle w:val="TableParagraph"/>
              <w:spacing w:line="234" w:lineRule="exact" w:before="124"/>
              <w:ind w:left="113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836" w:type="dxa"/>
          </w:tcPr>
          <w:p>
            <w:pPr>
              <w:pStyle w:val="TableParagraph"/>
              <w:spacing w:line="234" w:lineRule="exact" w:before="124"/>
              <w:ind w:left="113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99.65</w:t>
            </w:r>
          </w:p>
        </w:tc>
        <w:tc>
          <w:tcPr>
            <w:tcW w:w="848" w:type="dxa"/>
          </w:tcPr>
          <w:p>
            <w:pPr>
              <w:pStyle w:val="TableParagraph"/>
              <w:spacing w:line="234" w:lineRule="exact" w:before="124"/>
              <w:ind w:left="96" w:right="98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100.38</w:t>
            </w:r>
          </w:p>
        </w:tc>
        <w:tc>
          <w:tcPr>
            <w:tcW w:w="877" w:type="dxa"/>
          </w:tcPr>
          <w:p>
            <w:pPr>
              <w:pStyle w:val="TableParagraph"/>
              <w:spacing w:line="234" w:lineRule="exact" w:before="124"/>
              <w:ind w:left="283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913" w:type="dxa"/>
          </w:tcPr>
          <w:p>
            <w:pPr>
              <w:pStyle w:val="TableParagraph"/>
              <w:spacing w:line="234" w:lineRule="exact" w:before="124"/>
              <w:ind w:left="122" w:righ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1007" w:type="dxa"/>
          </w:tcPr>
          <w:p>
            <w:pPr>
              <w:pStyle w:val="TableParagraph"/>
              <w:spacing w:line="234" w:lineRule="exact" w:before="124"/>
              <w:ind w:left="148" w:right="1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99.82</w:t>
            </w:r>
          </w:p>
        </w:tc>
        <w:tc>
          <w:tcPr>
            <w:tcW w:w="1035" w:type="dxa"/>
          </w:tcPr>
          <w:p>
            <w:pPr>
              <w:pStyle w:val="TableParagraph"/>
              <w:spacing w:line="234" w:lineRule="exact" w:before="124"/>
              <w:ind w:left="202" w:right="2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99.80</w:t>
            </w:r>
          </w:p>
        </w:tc>
        <w:tc>
          <w:tcPr>
            <w:tcW w:w="1028" w:type="dxa"/>
          </w:tcPr>
          <w:p>
            <w:pPr>
              <w:pStyle w:val="TableParagraph"/>
              <w:spacing w:line="234" w:lineRule="exact" w:before="124"/>
              <w:ind w:left="207" w:right="1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99.80</w:t>
            </w:r>
          </w:p>
        </w:tc>
        <w:tc>
          <w:tcPr>
            <w:tcW w:w="1016" w:type="dxa"/>
          </w:tcPr>
          <w:p>
            <w:pPr>
              <w:pStyle w:val="TableParagraph"/>
              <w:spacing w:line="234" w:lineRule="exact" w:before="124"/>
              <w:ind w:left="368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</w:t>
            </w:r>
          </w:p>
        </w:tc>
        <w:tc>
          <w:tcPr>
            <w:tcW w:w="631" w:type="dxa"/>
          </w:tcPr>
          <w:p>
            <w:pPr>
              <w:pStyle w:val="TableParagraph"/>
              <w:spacing w:line="234" w:lineRule="exact" w:before="124"/>
              <w:ind w:right="31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99.6</w:t>
            </w:r>
          </w:p>
        </w:tc>
        <w:tc>
          <w:tcPr>
            <w:tcW w:w="785" w:type="dxa"/>
          </w:tcPr>
          <w:p>
            <w:pPr>
              <w:pStyle w:val="TableParagraph"/>
              <w:spacing w:line="234" w:lineRule="exact" w:before="124"/>
              <w:ind w:left="1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101.6</w:t>
            </w:r>
          </w:p>
        </w:tc>
        <w:tc>
          <w:tcPr>
            <w:tcW w:w="1032" w:type="dxa"/>
          </w:tcPr>
          <w:p>
            <w:pPr>
              <w:pStyle w:val="TableParagraph"/>
              <w:spacing w:line="234" w:lineRule="exact" w:before="124"/>
              <w:ind w:left="128" w:righ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100.08</w:t>
            </w:r>
          </w:p>
        </w:tc>
      </w:tr>
      <w:tr>
        <w:trPr>
          <w:trHeight w:val="314" w:hRule="atLeast"/>
        </w:trPr>
        <w:tc>
          <w:tcPr>
            <w:tcW w:w="13591" w:type="dxa"/>
            <w:gridSpan w:val="15"/>
          </w:tcPr>
          <w:p>
            <w:pPr>
              <w:pStyle w:val="TableParagraph"/>
              <w:tabs>
                <w:tab w:pos="11546" w:val="left" w:leader="none"/>
              </w:tabs>
              <w:spacing w:line="88" w:lineRule="auto" w:before="66"/>
              <w:ind w:left="315"/>
              <w:jc w:val="left"/>
              <w:rPr>
                <w:rFonts w:ascii="Calibri" w:hAnsi="Calibri"/>
                <w:sz w:val="22"/>
              </w:rPr>
            </w:pPr>
            <w:r>
              <w:rPr>
                <w:position w:val="-13"/>
                <w:sz w:val="22"/>
              </w:rPr>
              <w:t>CIA</w:t>
              <w:tab/>
            </w:r>
            <w:r>
              <w:rPr>
                <w:rFonts w:ascii="Calibri" w:hAnsi="Calibri"/>
                <w:sz w:val="22"/>
              </w:rPr>
              <w:t>92.60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–</w:t>
            </w:r>
          </w:p>
        </w:tc>
      </w:tr>
      <w:tr>
        <w:trPr>
          <w:trHeight w:val="231" w:hRule="atLeast"/>
        </w:trPr>
        <w:tc>
          <w:tcPr>
            <w:tcW w:w="19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225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95.07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25" w:right="11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93.55</w:t>
            </w:r>
          </w:p>
        </w:tc>
        <w:tc>
          <w:tcPr>
            <w:tcW w:w="7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13" w:right="116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92.60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13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94.17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96" w:right="9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94.19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right="17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94.06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22" w:right="14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94.88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148" w:right="191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96.07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202" w:right="20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96.16</w:t>
            </w:r>
          </w:p>
        </w:tc>
        <w:tc>
          <w:tcPr>
            <w:tcW w:w="10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1" w:lineRule="exact"/>
              <w:ind w:left="207" w:right="192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94.33</w:t>
            </w:r>
          </w:p>
        </w:tc>
        <w:tc>
          <w:tcPr>
            <w:tcW w:w="3464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98" w:val="left" w:leader="none"/>
                <w:tab w:pos="2708" w:val="left" w:leader="none"/>
              </w:tabs>
              <w:spacing w:line="211" w:lineRule="exact"/>
              <w:ind w:left="284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93.91</w:t>
              <w:tab/>
              <w:t>96.16</w:t>
              <w:tab/>
              <w:t>94.45</w:t>
            </w:r>
          </w:p>
        </w:tc>
      </w:tr>
    </w:tbl>
    <w:p>
      <w:pPr>
        <w:pStyle w:val="BodyText"/>
        <w:tabs>
          <w:tab w:pos="5525" w:val="left" w:leader="none"/>
        </w:tabs>
        <w:spacing w:line="268" w:lineRule="exact"/>
        <w:ind w:left="485"/>
      </w:pPr>
      <w:r>
        <w:rPr/>
        <w:t>CIA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Al2O3/ (Al2O3+CaO+Na2O+K2O)*100</w:t>
        <w:tab/>
        <w:t>CIA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index of</w:t>
      </w:r>
      <w:r>
        <w:rPr>
          <w:spacing w:val="-2"/>
        </w:rPr>
        <w:t> </w:t>
      </w:r>
      <w:r>
        <w:rPr/>
        <w:t>alteration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6781" w:right="6759"/>
        <w:jc w:val="center"/>
      </w:pPr>
      <w:r>
        <w:rPr/>
        <w:t>53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6780" w:right="675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59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49"/>
          <w:pgSz w:w="16840" w:h="11910" w:orient="landscape"/>
          <w:pgMar w:footer="0" w:header="0" w:top="1100" w:bottom="0" w:left="1500" w:right="1520"/>
        </w:sectPr>
      </w:pPr>
    </w:p>
    <w:p>
      <w:pPr>
        <w:pStyle w:val="BodyText"/>
        <w:spacing w:line="480" w:lineRule="auto" w:before="67"/>
        <w:ind w:left="305" w:right="339"/>
        <w:jc w:val="both"/>
      </w:pPr>
      <w:r>
        <w:rPr/>
        <w:t>The most abundant oxides are SiO</w:t>
      </w:r>
      <w:r>
        <w:rPr>
          <w:vertAlign w:val="subscript"/>
        </w:rPr>
        <w:t>2</w:t>
      </w:r>
      <w:r>
        <w:rPr>
          <w:vertAlign w:val="baseline"/>
        </w:rPr>
        <w:t>, and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whereas TiO</w:t>
      </w:r>
      <w:r>
        <w:rPr>
          <w:vertAlign w:val="subscript"/>
        </w:rPr>
        <w:t>2,</w:t>
      </w:r>
      <w:r>
        <w:rPr>
          <w:vertAlign w:val="baseline"/>
        </w:rPr>
        <w:t> CaO, K</w:t>
      </w:r>
      <w:r>
        <w:rPr>
          <w:vertAlign w:val="subscript"/>
        </w:rPr>
        <w:t>2</w:t>
      </w:r>
      <w:r>
        <w:rPr>
          <w:vertAlign w:val="baseline"/>
        </w:rPr>
        <w:t>O MnO,</w:t>
      </w:r>
      <w:r>
        <w:rPr>
          <w:spacing w:val="1"/>
          <w:vertAlign w:val="baseline"/>
        </w:rPr>
        <w:t> </w:t>
      </w:r>
      <w:r>
        <w:rPr>
          <w:vertAlign w:val="baseline"/>
        </w:rPr>
        <w:t>MgO, (average concentrations </w:t>
      </w:r>
      <w:r>
        <w:rPr>
          <w:rFonts w:ascii="Symbol" w:hAnsi="Symbol"/>
          <w:vertAlign w:val="baseline"/>
        </w:rPr>
        <w:t></w:t>
      </w:r>
      <w:r>
        <w:rPr>
          <w:vertAlign w:val="baseline"/>
        </w:rPr>
        <w:t>1 wt %) were presented in small quantities. SiO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has the highest composition with average of 46.33% and range from between 44.</w:t>
      </w:r>
      <w:r>
        <w:rPr>
          <w:spacing w:val="1"/>
          <w:vertAlign w:val="baseline"/>
        </w:rPr>
        <w:t> </w:t>
      </w:r>
      <w:r>
        <w:rPr>
          <w:vertAlign w:val="baseline"/>
        </w:rPr>
        <w:t>52 wt % to 50.02 wt %, in the samples. KTG2B contain the highest amount of</w:t>
      </w:r>
      <w:r>
        <w:rPr>
          <w:spacing w:val="1"/>
          <w:vertAlign w:val="baseline"/>
        </w:rPr>
        <w:t> </w:t>
      </w:r>
      <w:r>
        <w:rPr>
          <w:vertAlign w:val="baseline"/>
        </w:rPr>
        <w:t>SiO</w:t>
      </w:r>
      <w:r>
        <w:rPr>
          <w:vertAlign w:val="subscript"/>
        </w:rPr>
        <w:t>2</w:t>
      </w:r>
      <w:r>
        <w:rPr>
          <w:vertAlign w:val="baseline"/>
        </w:rPr>
        <w:t> of 50.02 wt %.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is the second most abundant oxide. It has an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 of 35.70% and ranges from between 33.03 to 38.80 wt%. KTG1D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contains</w:t>
      </w:r>
      <w:r>
        <w:rPr>
          <w:spacing w:val="-1"/>
          <w:vertAlign w:val="baseline"/>
        </w:rPr>
        <w:t> </w:t>
      </w:r>
      <w:r>
        <w:rPr>
          <w:vertAlign w:val="baseline"/>
        </w:rPr>
        <w:t>the highest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3"/>
          <w:vertAlign w:val="baseline"/>
        </w:rPr>
        <w:t> </w:t>
      </w:r>
      <w:r>
        <w:rPr>
          <w:vertAlign w:val="baseline"/>
        </w:rPr>
        <w:t>of 38.80%.</w:t>
      </w:r>
    </w:p>
    <w:p>
      <w:pPr>
        <w:pStyle w:val="BodyText"/>
        <w:spacing w:line="480" w:lineRule="auto" w:before="236"/>
        <w:ind w:left="305" w:right="338" w:firstLine="59"/>
        <w:jc w:val="both"/>
      </w:pPr>
      <w:r>
        <w:rPr/>
        <w:t>The other oxides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Na</w:t>
      </w:r>
      <w:r>
        <w:rPr>
          <w:vertAlign w:val="subscript"/>
        </w:rPr>
        <w:t>2</w:t>
      </w:r>
      <w:r>
        <w:rPr>
          <w:vertAlign w:val="baseline"/>
        </w:rPr>
        <w:t>O, TiO</w:t>
      </w:r>
      <w:r>
        <w:rPr>
          <w:vertAlign w:val="subscript"/>
        </w:rPr>
        <w:t>2,</w:t>
      </w:r>
      <w:r>
        <w:rPr>
          <w:vertAlign w:val="baseline"/>
        </w:rPr>
        <w:t> CaO, MgO and 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 are significantly low</w:t>
      </w:r>
      <w:r>
        <w:rPr>
          <w:spacing w:val="1"/>
          <w:vertAlign w:val="baseline"/>
        </w:rPr>
        <w:t> </w:t>
      </w:r>
      <w:r>
        <w:rPr>
          <w:vertAlign w:val="baseline"/>
        </w:rPr>
        <w:t>except KTG1D clay sample having the highest amount of Na</w:t>
      </w:r>
      <w:r>
        <w:rPr>
          <w:vertAlign w:val="subscript"/>
        </w:rPr>
        <w:t>2</w:t>
      </w:r>
      <w:r>
        <w:rPr>
          <w:vertAlign w:val="baseline"/>
        </w:rPr>
        <w:t>O (2.14%).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 ranges from between 0.51 wt % to 1.59 wt %, TiO</w:t>
      </w:r>
      <w:r>
        <w:rPr>
          <w:vertAlign w:val="subscript"/>
        </w:rPr>
        <w:t>2</w:t>
      </w:r>
      <w:r>
        <w:rPr>
          <w:vertAlign w:val="baseline"/>
        </w:rPr>
        <w:t> from 0.45 to 0.90. Cao,</w:t>
      </w:r>
      <w:r>
        <w:rPr>
          <w:spacing w:val="1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O and K</w:t>
      </w:r>
      <w:r>
        <w:rPr>
          <w:vertAlign w:val="subscript"/>
        </w:rPr>
        <w:t>2</w:t>
      </w:r>
      <w:r>
        <w:rPr>
          <w:vertAlign w:val="baseline"/>
        </w:rPr>
        <w:t>O have average of 0.16 wt %, 1.6 wt % and 0.83 wt % 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MgO and MnO</w:t>
      </w:r>
      <w:r>
        <w:rPr>
          <w:spacing w:val="60"/>
          <w:vertAlign w:val="baseline"/>
        </w:rPr>
        <w:t> </w:t>
      </w:r>
      <w:r>
        <w:rPr>
          <w:vertAlign w:val="baseline"/>
        </w:rPr>
        <w:t>ranges from 0.28 wt % to 0.35 wt % and 0.02 wt %</w:t>
      </w:r>
      <w:r>
        <w:rPr>
          <w:spacing w:val="60"/>
          <w:vertAlign w:val="baseline"/>
        </w:rPr>
        <w:t> </w:t>
      </w:r>
      <w:r>
        <w:rPr>
          <w:vertAlign w:val="baseline"/>
        </w:rPr>
        <w:t>to 0.15</w:t>
      </w:r>
      <w:r>
        <w:rPr>
          <w:spacing w:val="1"/>
          <w:vertAlign w:val="baseline"/>
        </w:rPr>
        <w:t> </w:t>
      </w:r>
      <w:r>
        <w:rPr>
          <w:vertAlign w:val="baseline"/>
        </w:rPr>
        <w:t>wt % respectively while Loss of Ignition (LOI) ranges from 8.55 to 16.35 wt %</w:t>
      </w:r>
      <w:r>
        <w:rPr>
          <w:spacing w:val="1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4.4).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90"/>
        <w:ind w:left="2465"/>
      </w:pPr>
      <w:r>
        <w:rPr/>
        <w:pict>
          <v:group style="position:absolute;margin-left:100.375pt;margin-top:-230.621872pt;width:412.2pt;height:237.05pt;mso-position-horizontal-relative:page;mso-position-vertical-relative:paragraph;z-index:15742464" coordorigin="2008,-4612" coordsize="8244,4741">
            <v:line style="position:absolute" from="6141,-379" to="6141,-3717" stroked="true" strokeweight="2.3999pt" strokecolor="#4570a7">
              <v:stroke dashstyle="solid"/>
            </v:line>
            <v:line style="position:absolute" from="6188,-379" to="6188,-2582" stroked="true" strokeweight="2.2799pt" strokecolor="#aa4643">
              <v:stroke dashstyle="solid"/>
            </v:line>
            <v:line style="position:absolute" from="6211,-407" to="6259,-407" stroked="true" strokeweight="2.76pt" strokecolor="#87a34e">
              <v:stroke dashstyle="solid"/>
            </v:line>
            <v:line style="position:absolute" from="6259,-397" to="6307,-397" stroked="true" strokeweight="1.8pt" strokecolor="#6f568f">
              <v:stroke dashstyle="solid"/>
            </v:line>
            <v:line style="position:absolute" from="6307,-406" to="6355,-406" stroked="true" strokeweight="2.64pt" strokecolor="#4196ad">
              <v:stroke dashstyle="solid"/>
            </v:line>
            <v:line style="position:absolute" from="6355,-412" to="6400,-412" stroked="true" strokeweight="3.24pt" strokecolor="#db843b">
              <v:stroke dashstyle="solid"/>
            </v:line>
            <v:line style="position:absolute" from="6448,-389" to="6496,-389" stroked="true" strokeweight=".96pt" strokecolor="#d19292">
              <v:stroke dashstyle="solid"/>
            </v:line>
            <v:line style="position:absolute" from="3185,-379" to="3185,-3638" stroked="true" strokeweight="2.4001pt" strokecolor="#4570a7">
              <v:stroke dashstyle="solid"/>
            </v:line>
            <v:line style="position:absolute" from="3233,-379" to="3233,-2733" stroked="true" strokeweight="2.3999pt" strokecolor="#aa4643">
              <v:stroke dashstyle="solid"/>
            </v:line>
            <v:line style="position:absolute" from="3280,-379" to="3280,-480" stroked="true" strokeweight="2.2799pt" strokecolor="#87a34e">
              <v:stroke dashstyle="solid"/>
            </v:line>
            <v:line style="position:absolute" from="3302,-401" to="3350,-401" stroked="true" strokeweight="2.16pt" strokecolor="#6f568f">
              <v:stroke dashstyle="solid"/>
            </v:line>
            <v:line style="position:absolute" from="3350,-408" to="3398,-408" stroked="true" strokeweight="2.88pt" strokecolor="#4196ad">
              <v:stroke dashstyle="solid"/>
            </v:line>
            <v:line style="position:absolute" from="3421,-379" to="3421,-480" stroked="true" strokeweight="2.2799pt" strokecolor="#db843b">
              <v:stroke dashstyle="solid"/>
            </v:line>
            <v:line style="position:absolute" from="3492,-389" to="3540,-389" stroked="true" strokeweight=".96pt" strokecolor="#d19292">
              <v:stroke dashstyle="solid"/>
            </v:line>
            <v:line style="position:absolute" from="3067,-379" to="3067,-1390" stroked="true" strokeweight="2.3999pt" strokecolor="#91c3d3">
              <v:stroke dashstyle="solid"/>
            </v:line>
            <v:line style="position:absolute" from="7323,-379" to="7323,-3568" stroked="true" strokeweight="2.2799pt" strokecolor="#4570a7">
              <v:stroke dashstyle="solid"/>
            </v:line>
            <v:line style="position:absolute" from="7370,-379" to="7370,-2673" stroked="true" strokeweight="2.3999pt" strokecolor="#aa4643">
              <v:stroke dashstyle="solid"/>
            </v:line>
            <v:line style="position:absolute" from="7418,-379" to="7418,-461" stroked="true" strokeweight="2.3999pt" strokecolor="#87a34e">
              <v:stroke dashstyle="solid"/>
            </v:line>
            <v:line style="position:absolute" from="7442,-397" to="7490,-397" stroked="true" strokeweight="1.8pt" strokecolor="#6f568f">
              <v:stroke dashstyle="solid"/>
            </v:line>
            <v:line style="position:absolute" from="7490,-401" to="7536,-401" stroked="true" strokeweight="2.16pt" strokecolor="#4196ad">
              <v:stroke dashstyle="solid"/>
            </v:line>
            <v:line style="position:absolute" from="7536,-402" to="7584,-402" stroked="true" strokeweight="2.2799pt" strokecolor="#db843b">
              <v:stroke dashstyle="solid"/>
            </v:line>
            <v:line style="position:absolute" from="7632,-390" to="7677,-390" stroked="true" strokeweight="1.08pt" strokecolor="#d19292">
              <v:stroke dashstyle="solid"/>
            </v:line>
            <v:line style="position:absolute" from="3776,-379" to="3776,-3549" stroked="true" strokeweight="2.2801pt" strokecolor="#4570a7">
              <v:stroke dashstyle="solid"/>
            </v:line>
            <v:line style="position:absolute" from="3823,-379" to="3823,-2968" stroked="true" strokeweight="2.3999pt" strokecolor="#aa4643">
              <v:stroke dashstyle="solid"/>
            </v:line>
            <v:line style="position:absolute" from="3847,-413" to="3895,-413" stroked="true" strokeweight="3.36pt" strokecolor="#87a34e">
              <v:stroke dashstyle="solid"/>
            </v:line>
            <v:line style="position:absolute" from="3895,-396" to="3941,-396" stroked="true" strokeweight="1.68pt" strokecolor="#6f568f">
              <v:stroke dashstyle="solid"/>
            </v:line>
            <v:line style="position:absolute" from="3941,-409" to="3989,-409" stroked="true" strokeweight="3pt" strokecolor="#4196ad">
              <v:stroke dashstyle="solid"/>
            </v:line>
            <v:line style="position:absolute" from="4013,-379" to="4013,-521" stroked="true" strokeweight="2.3999pt" strokecolor="#db843b">
              <v:stroke dashstyle="solid"/>
            </v:line>
            <v:line style="position:absolute" from="4082,-390" to="4130,-390" stroked="true" strokeweight="1.08pt" strokecolor="#d19292">
              <v:stroke dashstyle="solid"/>
            </v:line>
            <v:line style="position:absolute" from="4130,-384" to="4178,-384" stroked="true" strokeweight=".48pt" strokecolor="#b8cd94">
              <v:stroke dashstyle="solid"/>
            </v:line>
            <v:line style="position:absolute" from="4249,-379" to="4249,-950" stroked="true" strokeweight="2.2799pt" strokecolor="#91c3d3">
              <v:stroke dashstyle="solid"/>
            </v:line>
            <v:line style="position:absolute" from="5550,-379" to="5550,-3540" stroked="true" strokeweight="2.2801pt" strokecolor="#4570a7">
              <v:stroke dashstyle="solid"/>
            </v:line>
            <v:line style="position:absolute" from="5597,-379" to="5597,-2916" stroked="true" strokeweight="2.3999pt" strokecolor="#aa4643">
              <v:stroke dashstyle="solid"/>
            </v:line>
            <v:line style="position:absolute" from="5621,-413" to="5669,-413" stroked="true" strokeweight="3.36pt" strokecolor="#87a34e">
              <v:stroke dashstyle="solid"/>
            </v:line>
            <v:line style="position:absolute" from="5669,-400" to="5714,-400" stroked="true" strokeweight="2.04pt" strokecolor="#6f568f">
              <v:stroke dashstyle="solid"/>
            </v:line>
            <v:line style="position:absolute" from="5714,-413" to="5762,-413" stroked="true" strokeweight="3.36pt" strokecolor="#4196ad">
              <v:stroke dashstyle="solid"/>
            </v:line>
            <v:line style="position:absolute" from="5786,-379" to="5786,-468" stroked="true" strokeweight="2.3999pt" strokecolor="#db843b">
              <v:stroke dashstyle="solid"/>
            </v:line>
            <v:line style="position:absolute" from="5858,-390" to="5904,-390" stroked="true" strokeweight="1.08pt" strokecolor="#d19292">
              <v:stroke dashstyle="solid"/>
            </v:line>
            <v:line style="position:absolute" from="8506,-379" to="8506,-3470" stroked="true" strokeweight="2.2799pt" strokecolor="#4570a7">
              <v:stroke dashstyle="solid"/>
            </v:line>
            <v:line style="position:absolute" from="8553,-379" to="8553,-2613" stroked="true" strokeweight="2.3999pt" strokecolor="#aa4643">
              <v:stroke dashstyle="solid"/>
            </v:line>
            <v:line style="position:absolute" from="8577,-415" to="8625,-415" stroked="true" strokeweight="3.6pt" strokecolor="#87a34e">
              <v:stroke dashstyle="solid"/>
            </v:line>
            <v:line style="position:absolute" from="8625,-399" to="8671,-399" stroked="true" strokeweight="1.9199pt" strokecolor="#6f568f">
              <v:stroke dashstyle="solid"/>
            </v:line>
            <v:line style="position:absolute" from="8671,-407" to="8719,-407" stroked="true" strokeweight="2.76pt" strokecolor="#4196ad">
              <v:stroke dashstyle="solid"/>
            </v:line>
            <v:line style="position:absolute" from="8719,-403" to="8767,-403" stroked="true" strokeweight="2.4pt" strokecolor="#db843b">
              <v:stroke dashstyle="solid"/>
            </v:line>
            <v:line style="position:absolute" from="8767,-399" to="8815,-399" stroked="true" strokeweight="1.9199pt" strokecolor="#92a9cf">
              <v:stroke dashstyle="solid"/>
            </v:line>
            <v:line style="position:absolute" from="8815,-389" to="8860,-389" stroked="true" strokeweight=".96pt" strokecolor="#d19292">
              <v:stroke dashstyle="solid"/>
            </v:line>
            <v:line style="position:absolute" from="4958,-379" to="4958,-3463" stroked="true" strokeweight="2.3999pt" strokecolor="#4570a7">
              <v:stroke dashstyle="solid"/>
            </v:line>
            <v:line style="position:absolute" from="5006,-379" to="5006,-2815" stroked="true" strokeweight="2.4pt" strokecolor="#aa4643">
              <v:stroke dashstyle="solid"/>
            </v:line>
            <v:line style="position:absolute" from="5030,-407" to="5076,-407" stroked="true" strokeweight="2.76pt" strokecolor="#87a34e">
              <v:stroke dashstyle="solid"/>
            </v:line>
            <v:line style="position:absolute" from="5076,-399" to="5124,-399" stroked="true" strokeweight="1.9199pt" strokecolor="#6f568f">
              <v:stroke dashstyle="solid"/>
            </v:line>
            <v:line style="position:absolute" from="5124,-407" to="5172,-407" stroked="true" strokeweight="2.76pt" strokecolor="#4196ad">
              <v:stroke dashstyle="solid"/>
            </v:line>
            <v:line style="position:absolute" from="5172,-405" to="5220,-405" stroked="true" strokeweight="2.52pt" strokecolor="#db843b">
              <v:stroke dashstyle="solid"/>
            </v:line>
            <v:line style="position:absolute" from="5220,-400" to="5265,-400" stroked="true" strokeweight="2.04pt" strokecolor="#92a9cf">
              <v:stroke dashstyle="solid"/>
            </v:line>
            <v:line style="position:absolute" from="5265,-389" to="5313,-389" stroked="true" strokeweight=".96pt" strokecolor="#d19292">
              <v:stroke dashstyle="solid"/>
            </v:line>
            <v:line style="position:absolute" from="4841,-379" to="4841,-1361" stroked="true" strokeweight="2.4pt" strokecolor="#91c3d3">
              <v:stroke dashstyle="solid"/>
            </v:line>
            <v:line style="position:absolute" from="4368,-379" to="4368,-3436" stroked="true" strokeweight="2.4pt" strokecolor="#4570a7">
              <v:stroke dashstyle="solid"/>
            </v:line>
            <v:line style="position:absolute" from="4415,-379" to="4415,-2697" stroked="true" strokeweight="2.2799pt" strokecolor="#aa4643">
              <v:stroke dashstyle="solid"/>
            </v:line>
            <v:line style="position:absolute" from="4461,-379" to="4461,-475" stroked="true" strokeweight="2.3999pt" strokecolor="#87a34e">
              <v:stroke dashstyle="solid"/>
            </v:line>
            <v:line style="position:absolute" from="4485,-394" to="4533,-394" stroked="true" strokeweight="1.44pt" strokecolor="#6f568f">
              <v:stroke dashstyle="solid"/>
            </v:line>
            <v:line style="position:absolute" from="4533,-414" to="4579,-414" stroked="true" strokeweight="3.48pt" strokecolor="#4196ad">
              <v:stroke dashstyle="solid"/>
            </v:line>
            <v:line style="position:absolute" from="4579,-414" to="4627,-414" stroked="true" strokeweight="3.48pt" strokecolor="#db843b">
              <v:stroke dashstyle="solid"/>
            </v:line>
            <v:line style="position:absolute" from="4675,-389" to="4723,-389" stroked="true" strokeweight=".96pt" strokecolor="#d19292">
              <v:stroke dashstyle="solid"/>
            </v:line>
            <v:line style="position:absolute" from="7915,-379" to="7915,-3432" stroked="true" strokeweight="2.3999pt" strokecolor="#4570a7">
              <v:stroke dashstyle="solid"/>
            </v:line>
            <v:line style="position:absolute" from="7963,-379" to="7963,-2678" stroked="true" strokeweight="2.3998pt" strokecolor="#aa4643">
              <v:stroke dashstyle="solid"/>
            </v:line>
            <v:line style="position:absolute" from="7987,-403" to="8032,-403" stroked="true" strokeweight="2.4pt" strokecolor="#87a34e">
              <v:stroke dashstyle="solid"/>
            </v:line>
            <v:line style="position:absolute" from="8032,-396" to="8080,-396" stroked="true" strokeweight="1.68pt" strokecolor="#6f568f">
              <v:stroke dashstyle="solid"/>
            </v:line>
            <v:line style="position:absolute" from="8080,-407" to="8128,-407" stroked="true" strokeweight="2.76pt" strokecolor="#4196ad">
              <v:stroke dashstyle="solid"/>
            </v:line>
            <v:line style="position:absolute" from="8128,-419" to="8174,-419" stroked="true" strokeweight="3.96pt" strokecolor="#db843b">
              <v:stroke dashstyle="solid"/>
            </v:line>
            <v:line style="position:absolute" from="8222,-389" to="8270,-389" stroked="true" strokeweight=".96pt" strokecolor="#d19292">
              <v:stroke dashstyle="solid"/>
            </v:line>
            <v:line style="position:absolute" from="7797,-379" to="7797,-1318" stroked="true" strokeweight="2.3998pt" strokecolor="#91c3d3">
              <v:stroke dashstyle="solid"/>
            </v:line>
            <v:line style="position:absolute" from="2593,-379" to="2593,-3376" stroked="true" strokeweight="2.2799pt" strokecolor="#4570a7">
              <v:stroke dashstyle="solid"/>
            </v:line>
            <v:line style="position:absolute" from="2640,-379" to="2640,-2724" stroked="true" strokeweight="2.3999pt" strokecolor="#aa4643">
              <v:stroke dashstyle="solid"/>
            </v:line>
            <v:line style="position:absolute" from="2688,-379" to="2688,-485" stroked="true" strokeweight="2.4pt" strokecolor="#87a34e">
              <v:stroke dashstyle="solid"/>
            </v:line>
            <v:line style="position:absolute" from="2712,-409" to="2760,-409" stroked="true" strokeweight="3pt" strokecolor="#6f568f">
              <v:stroke dashstyle="solid"/>
            </v:line>
            <v:line style="position:absolute" from="2760,-409" to="2806,-409" stroked="true" strokeweight="3pt" strokecolor="#4196ad">
              <v:stroke dashstyle="solid"/>
            </v:line>
            <v:line style="position:absolute" from="2806,-406" to="2854,-406" stroked="true" strokeweight="2.64pt" strokecolor="#db843b">
              <v:stroke dashstyle="solid"/>
            </v:line>
            <v:line style="position:absolute" from="2902,-390" to="2947,-390" stroked="true" strokeweight="1.08pt" strokecolor="#d19292">
              <v:stroke dashstyle="solid"/>
            </v:line>
            <v:shape style="position:absolute;left:2472;top:-4382;width:63;height:4003" coordorigin="2472,-4382" coordsize="63,4003" path="m2534,-379l2534,-4382m2472,-379l2534,-379m2472,-1046l2534,-1046m2472,-1714l2534,-1714m2472,-2381l2534,-2381m2472,-3048l2534,-3048m2472,-3715l2534,-3715m2472,-4382l2534,-4382e" filled="false" stroked="true" strokeweight=".72pt" strokecolor="#858585">
              <v:path arrowok="t"/>
              <v:stroke dashstyle="solid"/>
            </v:shape>
            <v:line style="position:absolute" from="6732,-379" to="6732,-3350" stroked="true" strokeweight="2.3999pt" strokecolor="#4570a7">
              <v:stroke dashstyle="solid"/>
            </v:line>
            <v:line style="position:absolute" from="6780,-379" to="6780,-2781" stroked="true" strokeweight="2.4pt" strokecolor="#aa4643">
              <v:stroke dashstyle="solid"/>
            </v:line>
            <v:line style="position:absolute" from="6804,-396" to="6852,-396" stroked="true" strokeweight="1.68pt" strokecolor="#87a34e">
              <v:stroke dashstyle="solid"/>
            </v:line>
            <v:line style="position:absolute" from="6852,-399" to="6897,-399" stroked="true" strokeweight="1.9199pt" strokecolor="#6f568f">
              <v:stroke dashstyle="solid"/>
            </v:line>
            <v:line style="position:absolute" from="6897,-393" to="6945,-393" stroked="true" strokeweight="1.32pt" strokecolor="#4196ad">
              <v:stroke dashstyle="solid"/>
            </v:line>
            <v:line style="position:absolute" from="6945,-408" to="6993,-408" stroked="true" strokeweight="2.88pt" strokecolor="#db843b">
              <v:stroke dashstyle="solid"/>
            </v:line>
            <v:line style="position:absolute" from="6993,-385" to="7039,-385" stroked="true" strokeweight=".6pt" strokecolor="#92a9cf">
              <v:stroke dashstyle="solid"/>
            </v:line>
            <v:line style="position:absolute" from="7039,-390" to="7087,-390" stroked="true" strokeweight="1.08pt" strokecolor="#d19292">
              <v:stroke dashstyle="solid"/>
            </v:line>
            <v:line style="position:absolute" from="6614,-379" to="6614,-1272" stroked="true" strokeweight="2.4pt" strokecolor="#91c3d3">
              <v:stroke dashstyle="solid"/>
            </v:line>
            <v:line style="position:absolute" from="7204,-379" to="7204,-1471" stroked="true" strokeweight="2.3999pt" strokecolor="#91c3d3">
              <v:stroke dashstyle="solid"/>
            </v:line>
            <v:line style="position:absolute" from="8979,-379" to="8979,-1447" stroked="true" strokeweight="2.2799pt" strokecolor="#91c3d3">
              <v:stroke dashstyle="solid"/>
            </v:line>
            <v:line style="position:absolute" from="8388,-379" to="8388,-1442" stroked="true" strokeweight="2.3999pt" strokecolor="#91c3d3">
              <v:stroke dashstyle="solid"/>
            </v:line>
            <v:shape style="position:absolute;left:3657;top:-1292;width:1774;height:912" coordorigin="3657,-1291" coordsize="1774,912" path="m5431,-379l5431,-1291m3657,-379l3657,-1212e" filled="false" stroked="true" strokeweight="2.4001pt" strokecolor="#91c3d3">
              <v:path arrowok="t"/>
              <v:stroke dashstyle="solid"/>
            </v:shape>
            <v:line style="position:absolute" from="6023,-379" to="6023,-1058" stroked="true" strokeweight="2.2799pt" strokecolor="#91c3d3">
              <v:stroke dashstyle="solid"/>
            </v:line>
            <v:shape style="position:absolute;left:2534;top:-380;width:6504;height:65" coordorigin="2534,-379" coordsize="6504,65" path="m2534,-379l9038,-379m2534,-379l2534,-315m3125,-379l3125,-315m3717,-379l3717,-315m4308,-379l4308,-315m4898,-379l4898,-315m5491,-379l5491,-315m6081,-379l6081,-315m6674,-379l6674,-315m7264,-379l7264,-315m7855,-379l7855,-315m8448,-379l8448,-315m9038,-379l9038,-315e" filled="false" stroked="true" strokeweight=".72pt" strokecolor="#858585">
              <v:path arrowok="t"/>
              <v:stroke dashstyle="solid"/>
            </v:shape>
            <v:rect style="position:absolute;left:9357;top:-4104;width:111;height:108" filled="true" fillcolor="#4570a7" stroked="false">
              <v:fill type="solid"/>
            </v:rect>
            <v:rect style="position:absolute;left:9357;top:-3744;width:111;height:111" filled="true" fillcolor="#aa4643" stroked="false">
              <v:fill type="solid"/>
            </v:rect>
            <v:rect style="position:absolute;left:9357;top:-3382;width:111;height:111" filled="true" fillcolor="#87a34e" stroked="false">
              <v:fill type="solid"/>
            </v:rect>
            <v:rect style="position:absolute;left:9357;top:-3019;width:111;height:111" filled="true" fillcolor="#6f568f" stroked="false">
              <v:fill type="solid"/>
            </v:rect>
            <v:rect style="position:absolute;left:9357;top:-2659;width:111;height:111" filled="true" fillcolor="#4196ad" stroked="false">
              <v:fill type="solid"/>
            </v:rect>
            <v:rect style="position:absolute;left:9357;top:-2297;width:111;height:111" filled="true" fillcolor="#db843b" stroked="false">
              <v:fill type="solid"/>
            </v:rect>
            <v:rect style="position:absolute;left:9357;top:-1935;width:111;height:111" filled="true" fillcolor="#92a9cf" stroked="false">
              <v:fill type="solid"/>
            </v:rect>
            <v:rect style="position:absolute;left:9357;top:-1575;width:111;height:111" filled="true" fillcolor="#d19292" stroked="false">
              <v:fill type="solid"/>
            </v:rect>
            <v:rect style="position:absolute;left:9357;top:-1212;width:111;height:111" filled="true" fillcolor="#b8cd94" stroked="false">
              <v:fill type="solid"/>
            </v:rect>
            <v:rect style="position:absolute;left:9357;top:-850;width:111;height:111" filled="true" fillcolor="#a99bbb" stroked="false">
              <v:fill type="solid"/>
            </v:rect>
            <v:rect style="position:absolute;left:9357;top:-488;width:111;height:108" filled="true" fillcolor="#91c3d3" stroked="false">
              <v:fill type="solid"/>
            </v:rect>
            <v:shape style="position:absolute;left:2015;top:-4605;width:8229;height:4726" coordorigin="2015,-4605" coordsize="8229,4726" path="m2015,121l10243,121,10243,-4605m2015,-4605l2015,121e" filled="false" stroked="true" strokeweight=".75pt" strokecolor="#858585">
              <v:path arrowok="t"/>
              <v:stroke dashstyle="solid"/>
            </v:shape>
            <v:shape style="position:absolute;left:2146;top:-447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146;top:-3811;width:222;height:152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exact" w:before="16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9518;top:-4142;width:538;height:228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SiO2</w:t>
                    </w:r>
                  </w:p>
                  <w:p>
                    <w:pPr>
                      <w:spacing w:line="350" w:lineRule="auto" w:before="106"/>
                      <w:ind w:left="0" w:right="1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Al2O3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Fe2O3</w:t>
                    </w:r>
                    <w:r>
                      <w:rPr>
                        <w:rFonts w:ascii="Calibri"/>
                        <w:spacing w:val="-4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TiO2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K2O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Na2O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CaO</w:t>
                    </w:r>
                  </w:p>
                </w:txbxContent>
              </v:textbox>
              <w10:wrap type="none"/>
            </v:shape>
            <v:shape style="position:absolute;left:2146;top:-1897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518;top:-1636;width:41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MgO</w:t>
                    </w:r>
                  </w:p>
                </w:txbxContent>
              </v:textbox>
              <w10:wrap type="none"/>
            </v:shape>
            <v:shape style="position:absolute;left:2153;top:-116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494;top:-1273;width:454;height:56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MnO</w:t>
                    </w:r>
                  </w:p>
                  <w:p>
                    <w:pPr>
                      <w:spacing w:line="240" w:lineRule="exact" w:before="11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P2O5</w:t>
                    </w:r>
                  </w:p>
                </w:txbxContent>
              </v:textbox>
              <w10:wrap type="none"/>
            </v:shape>
            <v:shape style="position:absolute;left:2249;top:-501;width:11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518;top:-551;width:28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LOI</w:t>
                    </w:r>
                  </w:p>
                </w:txbxContent>
              </v:textbox>
              <w10:wrap type="none"/>
            </v:shape>
            <v:shape style="position:absolute;left:2558;top:-239;width:64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5"/>
                        <w:sz w:val="20"/>
                      </w:rPr>
                      <w:t>KTG1A</w:t>
                    </w:r>
                    <w:r>
                      <w:rPr>
                        <w:rFonts w:ascii="Calibri"/>
                        <w:spacing w:val="28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KTG1C</w:t>
                    </w:r>
                    <w:r>
                      <w:rPr>
                        <w:rFonts w:ascii="Calibri"/>
                        <w:spacing w:val="2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KTG1D</w:t>
                    </w:r>
                    <w:r>
                      <w:rPr>
                        <w:rFonts w:ascii="Calibri"/>
                        <w:spacing w:val="3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KTG1F</w:t>
                    </w:r>
                    <w:r>
                      <w:rPr>
                        <w:rFonts w:ascii="Calibri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KTG1G</w:t>
                    </w:r>
                    <w:r>
                      <w:rPr>
                        <w:rFonts w:ascii="Calibri"/>
                        <w:spacing w:val="46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KTG2A</w:t>
                    </w:r>
                    <w:r>
                      <w:rPr>
                        <w:rFonts w:ascii="Calibri"/>
                        <w:spacing w:val="3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KTG2B</w:t>
                    </w:r>
                    <w:r>
                      <w:rPr>
                        <w:rFonts w:ascii="Calibri"/>
                        <w:spacing w:val="22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KTG2D</w:t>
                    </w:r>
                    <w:r>
                      <w:rPr>
                        <w:rFonts w:ascii="Calibri"/>
                        <w:spacing w:val="33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KTG2E</w:t>
                    </w:r>
                    <w:r>
                      <w:rPr>
                        <w:rFonts w:ascii="Calibri"/>
                        <w:spacing w:val="52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KTG2F</w:t>
                    </w:r>
                    <w:r>
                      <w:rPr>
                        <w:rFonts w:ascii="Calibri"/>
                        <w:spacing w:val="31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Calibri"/>
                        <w:w w:val="95"/>
                        <w:sz w:val="20"/>
                      </w:rPr>
                      <w:t>KTG2G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4.8: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major oxide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study</w:t>
      </w:r>
      <w:r>
        <w:rPr>
          <w:spacing w:val="-8"/>
        </w:rPr>
        <w:t> </w:t>
      </w:r>
      <w:r>
        <w:rPr/>
        <w:t>clay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570" w:right="603"/>
        <w:jc w:val="center"/>
      </w:pPr>
      <w:r>
        <w:rPr/>
        <w:t>54</w:t>
      </w:r>
    </w:p>
    <w:p>
      <w:pPr>
        <w:spacing w:after="0"/>
        <w:jc w:val="center"/>
        <w:sectPr>
          <w:footerReference w:type="default" r:id="rId50"/>
          <w:pgSz w:w="11910" w:h="16840"/>
          <w:pgMar w:footer="294" w:header="0" w:top="1320" w:bottom="480" w:left="1680" w:right="1640"/>
          <w:pgNumType w:start="60"/>
        </w:sectPr>
      </w:pPr>
    </w:p>
    <w:p>
      <w:pPr>
        <w:pStyle w:val="BodyText"/>
        <w:spacing w:line="480" w:lineRule="auto" w:before="67"/>
        <w:ind w:left="305" w:right="336"/>
        <w:jc w:val="both"/>
      </w:pPr>
      <w:r>
        <w:rPr/>
        <w:t>Chemically, the standard composition of pure Kaolin clay is dominated by SiO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range form (47-50%),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range from (34 -37%), loss on Ignition range from</w:t>
      </w:r>
      <w:r>
        <w:rPr>
          <w:spacing w:val="1"/>
          <w:vertAlign w:val="baseline"/>
        </w:rPr>
        <w:t> </w:t>
      </w:r>
      <w:r>
        <w:rPr>
          <w:vertAlign w:val="baseline"/>
        </w:rPr>
        <w:t>(10-12.5%), and small amounts of other oxide like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, TiO</w:t>
      </w:r>
      <w:r>
        <w:rPr>
          <w:vertAlign w:val="subscript"/>
        </w:rPr>
        <w:t>2</w:t>
      </w:r>
      <w:r>
        <w:rPr>
          <w:vertAlign w:val="baseline"/>
        </w:rPr>
        <w:t>, CaO, MgO, K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and Na</w:t>
      </w:r>
      <w:r>
        <w:rPr>
          <w:vertAlign w:val="subscript"/>
        </w:rPr>
        <w:t>2</w:t>
      </w:r>
      <w:r>
        <w:rPr>
          <w:vertAlign w:val="baseline"/>
        </w:rPr>
        <w:t>O are invariably present in nature (Chatterjee, 2009). This implies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clay deposit from Kutigi is a Kaolin clay as the major oxide falls between this</w:t>
      </w:r>
      <w:r>
        <w:rPr>
          <w:spacing w:val="1"/>
          <w:vertAlign w:val="baseline"/>
        </w:rPr>
        <w:t> </w:t>
      </w:r>
      <w:r>
        <w:rPr>
          <w:vertAlign w:val="baseline"/>
        </w:rPr>
        <w:t>ranges. The predominance of SiO</w:t>
      </w:r>
      <w:r>
        <w:rPr>
          <w:vertAlign w:val="subscript"/>
        </w:rPr>
        <w:t>2</w:t>
      </w:r>
      <w:r>
        <w:rPr>
          <w:vertAlign w:val="baseline"/>
        </w:rPr>
        <w:t> and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are mainly associated with quartz</w:t>
      </w:r>
      <w:r>
        <w:rPr>
          <w:spacing w:val="1"/>
          <w:vertAlign w:val="baseline"/>
        </w:rPr>
        <w:t> </w:t>
      </w:r>
      <w:r>
        <w:rPr>
          <w:vertAlign w:val="baseline"/>
        </w:rPr>
        <w:t>and kaolinite minerals (Oyebanjo </w:t>
      </w:r>
      <w:r>
        <w:rPr>
          <w:i/>
          <w:vertAlign w:val="baseline"/>
        </w:rPr>
        <w:t>et al., </w:t>
      </w:r>
      <w:r>
        <w:rPr>
          <w:vertAlign w:val="baseline"/>
        </w:rPr>
        <w:t>2020). The average ratio of the study clay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SiO</w:t>
      </w:r>
      <w:r>
        <w:rPr>
          <w:vertAlign w:val="subscript"/>
        </w:rPr>
        <w:t>2</w:t>
      </w:r>
      <w:r>
        <w:rPr>
          <w:vertAlign w:val="baseline"/>
        </w:rPr>
        <w:t> and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is found as 1.32%. This value is lower than the 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-6"/>
          <w:vertAlign w:val="baseline"/>
        </w:rPr>
        <w:t> </w:t>
      </w:r>
      <w:r>
        <w:rPr>
          <w:vertAlign w:val="baseline"/>
        </w:rPr>
        <w:t>found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pure</w:t>
      </w:r>
      <w:r>
        <w:rPr>
          <w:spacing w:val="-3"/>
          <w:vertAlign w:val="baseline"/>
        </w:rPr>
        <w:t> </w:t>
      </w:r>
      <w:r>
        <w:rPr>
          <w:vertAlign w:val="baseline"/>
        </w:rPr>
        <w:t>kaolinite as</w:t>
      </w:r>
      <w:r>
        <w:rPr>
          <w:spacing w:val="3"/>
          <w:vertAlign w:val="baseline"/>
        </w:rPr>
        <w:t> </w:t>
      </w:r>
      <w:r>
        <w:rPr>
          <w:vertAlign w:val="baseline"/>
        </w:rPr>
        <w:t>1.18%</w:t>
      </w:r>
      <w:r>
        <w:rPr>
          <w:spacing w:val="-2"/>
          <w:vertAlign w:val="baseline"/>
        </w:rPr>
        <w:t> </w:t>
      </w:r>
      <w:r>
        <w:rPr>
          <w:vertAlign w:val="baseline"/>
        </w:rPr>
        <w:t>(Semiz</w:t>
      </w:r>
      <w:r>
        <w:rPr>
          <w:spacing w:val="5"/>
          <w:vertAlign w:val="baseline"/>
        </w:rPr>
        <w:t> </w:t>
      </w:r>
      <w:r>
        <w:rPr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vertAlign w:val="baseline"/>
        </w:rPr>
        <w:t>Celik,</w:t>
      </w:r>
      <w:r>
        <w:rPr>
          <w:spacing w:val="-1"/>
          <w:vertAlign w:val="baseline"/>
        </w:rPr>
        <w:t> </w:t>
      </w:r>
      <w:r>
        <w:rPr>
          <w:vertAlign w:val="baseline"/>
        </w:rPr>
        <w:t>2020).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/>
        <w:ind w:left="305" w:right="335"/>
        <w:jc w:val="both"/>
      </w:pPr>
      <w:r>
        <w:rPr/>
        <w:t>Alabi (2017) proposed LOI of sedimentary clay to be </w:t>
      </w:r>
      <w:r>
        <w:rPr>
          <w:rFonts w:ascii="Symbol" w:hAnsi="Symbol"/>
        </w:rPr>
        <w:t></w:t>
      </w:r>
      <w:r>
        <w:rPr/>
        <w:t> 6% while that of in-situ</w:t>
      </w:r>
      <w:r>
        <w:rPr>
          <w:spacing w:val="1"/>
        </w:rPr>
        <w:t> </w:t>
      </w:r>
      <w:r>
        <w:rPr/>
        <w:t>basement clays to range between 0.5 -5.5%. Therefore the study clay with LOI of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8.55%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16.37%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occurrence. Rocks rich in feldspar contain high concentration of Na</w:t>
      </w:r>
      <w:r>
        <w:rPr>
          <w:vertAlign w:val="subscript"/>
        </w:rPr>
        <w:t>2</w:t>
      </w:r>
      <w:r>
        <w:rPr>
          <w:vertAlign w:val="baseline"/>
        </w:rPr>
        <w:t>O, K</w:t>
      </w:r>
      <w:r>
        <w:rPr>
          <w:vertAlign w:val="subscript"/>
        </w:rPr>
        <w:t>2</w:t>
      </w:r>
      <w:r>
        <w:rPr>
          <w:vertAlign w:val="baseline"/>
        </w:rPr>
        <w:t>O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CaO. The feldspar generally weathered to form kaolinite clay mineral by complete</w:t>
      </w:r>
      <w:r>
        <w:rPr>
          <w:spacing w:val="-57"/>
          <w:vertAlign w:val="baseline"/>
        </w:rPr>
        <w:t> </w:t>
      </w:r>
      <w:r>
        <w:rPr>
          <w:vertAlign w:val="baseline"/>
        </w:rPr>
        <w:t>alteration of feldspar through leaching away of</w:t>
      </w:r>
      <w:r>
        <w:rPr>
          <w:spacing w:val="60"/>
          <w:vertAlign w:val="baseline"/>
        </w:rPr>
        <w:t> </w:t>
      </w:r>
      <w:r>
        <w:rPr>
          <w:vertAlign w:val="baseline"/>
        </w:rPr>
        <w:t>Na</w:t>
      </w:r>
      <w:r>
        <w:rPr>
          <w:vertAlign w:val="subscript"/>
        </w:rPr>
        <w:t>2</w:t>
      </w:r>
      <w:r>
        <w:rPr>
          <w:vertAlign w:val="baseline"/>
        </w:rPr>
        <w:t>O, K</w:t>
      </w:r>
      <w:r>
        <w:rPr>
          <w:vertAlign w:val="subscript"/>
        </w:rPr>
        <w:t>2</w:t>
      </w:r>
      <w:r>
        <w:rPr>
          <w:vertAlign w:val="baseline"/>
        </w:rPr>
        <w:t>O and CaO. Therefore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low content of Na</w:t>
      </w:r>
      <w:r>
        <w:rPr>
          <w:vertAlign w:val="subscript"/>
        </w:rPr>
        <w:t>2</w:t>
      </w:r>
      <w:r>
        <w:rPr>
          <w:vertAlign w:val="baseline"/>
        </w:rPr>
        <w:t>O, K</w:t>
      </w:r>
      <w:r>
        <w:rPr>
          <w:vertAlign w:val="subscript"/>
        </w:rPr>
        <w:t>2</w:t>
      </w:r>
      <w:r>
        <w:rPr>
          <w:vertAlign w:val="baseline"/>
        </w:rPr>
        <w:t>O, CaO and MgO, in the study clay (Figure 4.5)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weathering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destruction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feldspar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mica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1"/>
          <w:vertAlign w:val="baseline"/>
        </w:rPr>
        <w:t> </w:t>
      </w:r>
      <w:r>
        <w:rPr>
          <w:vertAlign w:val="baseline"/>
        </w:rPr>
        <w:t>deposition in the basin.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570" w:right="603"/>
        <w:jc w:val="center"/>
      </w:pPr>
      <w:r>
        <w:rPr/>
        <w:t>55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1014" w:right="603"/>
        <w:jc w:val="center"/>
      </w:pPr>
      <w:r>
        <w:rPr/>
        <w:pict>
          <v:group style="position:absolute;margin-left:100.375pt;margin-top:-241.861877pt;width:416.95pt;height:242.7pt;mso-position-horizontal-relative:page;mso-position-vertical-relative:paragraph;z-index:15742976" coordorigin="2008,-4837" coordsize="8339,4854">
            <v:shape style="position:absolute;left:2712;top:-3767;width:6127;height:3276" coordorigin="2712,-3767" coordsize="6127,3276" path="m2947,-3767l2712,-3767,2712,-491,2947,-491,2947,-3767xm3535,-2970l3300,-2970,3300,-491,3535,-491,3535,-2970xm4126,-566l3890,-566,3890,-491,4126,-491,4126,-566xm5304,-549l5069,-549,5069,-491,5304,-491,5304,-549xm5892,-568l5657,-568,5657,-491,5892,-491,5892,-568xm8839,-1449l8604,-1449,8604,-491,8839,-491,8839,-1449xe" filled="true" fillcolor="#4f81bb" stroked="false">
              <v:path arrowok="t"/>
              <v:fill type="solid"/>
            </v:shape>
            <v:line style="position:absolute" from="4478,-512" to="4714,-512" stroked="true" strokeweight="2.04pt" strokecolor="#4f81bb">
              <v:stroke dashstyle="solid"/>
            </v:line>
            <v:line style="position:absolute" from="6835,-502" to="7070,-502" stroked="true" strokeweight="1.08pt" strokecolor="#4f81bb">
              <v:stroke dashstyle="solid"/>
            </v:line>
            <v:line style="position:absolute" from="6247,-497" to="6482,-497" stroked="true" strokeweight=".6pt" strokecolor="#4f81bb">
              <v:stroke dashstyle="solid"/>
            </v:line>
            <v:shape style="position:absolute;left:2472;top:-3988;width:6545;height:3559" coordorigin="2472,-3988" coordsize="6545,3559" path="m2534,-491l2534,-3988m2472,-491l2534,-491m2472,-842l2534,-842m2472,-1192l2534,-1192m2472,-1540l2534,-1540m2472,-1890l2534,-1890m2472,-2241l2534,-2241m2472,-2589l2534,-2589m2472,-2939l2534,-2939m2472,-3289l2534,-3289m2472,-3640l2534,-3640m2472,-3988l2534,-3988m2534,-491l9017,-491m2534,-491l2534,-429m3122,-491l3122,-429m3713,-491l3713,-429m4301,-491l4301,-429m4891,-491l4891,-429m5479,-491l5479,-429m6070,-491l6070,-429m6657,-491l6657,-429m7248,-491l7248,-429m7836,-491l7836,-429m8426,-491l8426,-429m9017,-491l9017,-429e" filled="false" stroked="true" strokeweight=".72pt" strokecolor="#858585">
              <v:path arrowok="t"/>
              <v:stroke dashstyle="solid"/>
            </v:shape>
            <v:rect style="position:absolute;left:9335;top:-2155;width:111;height:108" filled="true" fillcolor="#4f81bb" stroked="false">
              <v:fill type="solid"/>
            </v:rect>
            <v:shape style="position:absolute;left:2015;top:-4830;width:8324;height:4839" coordorigin="2015,-4830" coordsize="8324,4839" path="m2015,9l10339,9,10339,-4830m2015,-4830l2015,9e" filled="false" stroked="true" strokeweight=".75pt" strokecolor="#858585">
              <v:path arrowok="t"/>
              <v:stroke dashstyle="solid"/>
            </v:shape>
            <v:shape style="position:absolute;left:3595;top:-4611;width:517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Average</w:t>
                    </w:r>
                    <w:r>
                      <w:rPr>
                        <w:rFonts w:ascii="Calibri"/>
                        <w:b/>
                        <w:spacing w:val="61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Major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Oxide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Calibri"/>
                        <w:b/>
                        <w:sz w:val="36"/>
                      </w:rPr>
                      <w:t>composition</w:t>
                    </w:r>
                  </w:p>
                </w:txbxContent>
              </v:textbox>
              <w10:wrap type="none"/>
            </v:shape>
            <v:shape style="position:absolute;left:2146;top:-4085;width:222;height:225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exact" w:before="77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9496;top:-2217;width:65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average</w:t>
                    </w:r>
                  </w:p>
                </w:txbxContent>
              </v:textbox>
              <w10:wrap type="none"/>
            </v:shape>
            <v:shape style="position:absolute;left:2148;top:-1649;width:222;height:12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06"/>
                      <w:ind w:left="9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5</w:t>
                    </w:r>
                  </w:p>
                  <w:p>
                    <w:pPr>
                      <w:spacing w:line="240" w:lineRule="exact" w:before="104"/>
                      <w:ind w:left="98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7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42;top:-340;width:6232;height:200" type="#_x0000_t202" filled="false" stroked="false">
              <v:textbox inset="0,0,0,0">
                <w:txbxContent>
                  <w:p>
                    <w:pPr>
                      <w:tabs>
                        <w:tab w:pos="2376" w:val="left" w:leader="none"/>
                        <w:tab w:pos="4112" w:val="left" w:leader="none"/>
                        <w:tab w:pos="5948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SiO2  </w:t>
                    </w:r>
                    <w:r>
                      <w:rPr>
                        <w:rFonts w:ascii="Calibri"/>
                        <w:spacing w:val="1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Al2O3</w:t>
                    </w:r>
                    <w:r>
                      <w:rPr>
                        <w:rFonts w:ascii="Calibri"/>
                        <w:spacing w:val="3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Fe2O3</w:t>
                    </w:r>
                    <w:r>
                      <w:rPr>
                        <w:rFonts w:ascii="Calibri"/>
                        <w:spacing w:val="8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TiO2</w:t>
                      <w:tab/>
                      <w:t>K2O   </w:t>
                    </w:r>
                    <w:r>
                      <w:rPr>
                        <w:rFonts w:ascii="Calibri"/>
                        <w:spacing w:val="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Na2O   </w:t>
                    </w:r>
                    <w:r>
                      <w:rPr>
                        <w:rFonts w:ascii="Calibri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CaO</w:t>
                      <w:tab/>
                      <w:t>MgO   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MnO  </w:t>
                    </w:r>
                    <w:r>
                      <w:rPr>
                        <w:rFonts w:ascii="Calibri"/>
                        <w:spacing w:val="2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P2O5</w:t>
                      <w:tab/>
                      <w:t>LOI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4.9: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average major</w:t>
      </w:r>
      <w:r>
        <w:rPr>
          <w:spacing w:val="-1"/>
        </w:rPr>
        <w:t> </w:t>
      </w:r>
      <w:r>
        <w:rPr/>
        <w:t>oxide composition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10"/>
        </w:rPr>
        <w:t> </w:t>
      </w:r>
      <w:r>
        <w:rPr/>
        <w:t>clay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05" w:right="338"/>
        <w:jc w:val="both"/>
      </w:pPr>
      <w:r>
        <w:rPr/>
        <w:t>The low content of MgO and CaO suggest the source rock for the formation of the</w:t>
      </w:r>
      <w:r>
        <w:rPr>
          <w:spacing w:val="-57"/>
        </w:rPr>
        <w:t> </w:t>
      </w:r>
      <w:r>
        <w:rPr/>
        <w:t>study clay is not carbonate or dolomitic but suggest felsic source rock. Slightly</w:t>
      </w:r>
      <w:r>
        <w:rPr>
          <w:spacing w:val="1"/>
        </w:rPr>
        <w:t> </w:t>
      </w:r>
      <w:r>
        <w:rPr/>
        <w:t>high content of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study clay suggest</w:t>
      </w:r>
      <w:r>
        <w:rPr>
          <w:spacing w:val="1"/>
          <w:vertAlign w:val="baseline"/>
        </w:rPr>
        <w:t> </w:t>
      </w:r>
      <w:r>
        <w:rPr>
          <w:vertAlign w:val="baseline"/>
        </w:rPr>
        <w:t>contamination of the clay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iron –rich percolating water from the over burden iron-stone resulting in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deposited along the profile downward which explain the tint red or pink stain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clay.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non-detection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iron</w:t>
      </w:r>
      <w:r>
        <w:rPr>
          <w:spacing w:val="1"/>
          <w:vertAlign w:val="baseline"/>
        </w:rPr>
        <w:t> </w:t>
      </w:r>
      <w:r>
        <w:rPr>
          <w:vertAlign w:val="baseline"/>
        </w:rPr>
        <w:t>oxide minerals</w:t>
      </w:r>
      <w:r>
        <w:rPr>
          <w:spacing w:val="1"/>
          <w:vertAlign w:val="baseline"/>
        </w:rPr>
        <w:t> </w:t>
      </w:r>
      <w:r>
        <w:rPr>
          <w:vertAlign w:val="baseline"/>
        </w:rPr>
        <w:t>like</w:t>
      </w:r>
      <w:r>
        <w:rPr>
          <w:spacing w:val="1"/>
          <w:vertAlign w:val="baseline"/>
        </w:rPr>
        <w:t> </w:t>
      </w:r>
      <w:r>
        <w:rPr>
          <w:vertAlign w:val="baseline"/>
        </w:rPr>
        <w:t>hematite or Goethe from the mineralogical content of the study clay. The relative</w:t>
      </w:r>
      <w:r>
        <w:rPr>
          <w:spacing w:val="1"/>
          <w:vertAlign w:val="baseline"/>
        </w:rPr>
        <w:t> </w:t>
      </w:r>
      <w:r>
        <w:rPr>
          <w:vertAlign w:val="baseline"/>
        </w:rPr>
        <w:t>insignificant proportion of 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 and MnO is indicative of high degree of leaching.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low content of P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5</w:t>
      </w:r>
      <w:r>
        <w:rPr>
          <w:vertAlign w:val="baseline"/>
        </w:rPr>
        <w:t> may also be explained by the concentration of accessory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minerals</w:t>
      </w:r>
      <w:r>
        <w:rPr>
          <w:spacing w:val="-1"/>
          <w:vertAlign w:val="baseline"/>
        </w:rPr>
        <w:t> </w:t>
      </w:r>
      <w:r>
        <w:rPr>
          <w:vertAlign w:val="baseline"/>
        </w:rPr>
        <w:t>like monazite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silicic</w:t>
      </w:r>
      <w:r>
        <w:rPr>
          <w:spacing w:val="-1"/>
          <w:vertAlign w:val="baseline"/>
        </w:rPr>
        <w:t> </w:t>
      </w:r>
      <w:r>
        <w:rPr>
          <w:vertAlign w:val="baseline"/>
        </w:rPr>
        <w:t>source</w:t>
      </w:r>
      <w:r>
        <w:rPr>
          <w:spacing w:val="-1"/>
          <w:vertAlign w:val="baseline"/>
        </w:rPr>
        <w:t> </w:t>
      </w:r>
      <w:r>
        <w:rPr>
          <w:vertAlign w:val="baseline"/>
        </w:rPr>
        <w:t>rock.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305" w:right="336"/>
        <w:jc w:val="both"/>
      </w:pPr>
      <w:r>
        <w:rPr/>
        <w:t>The weathering intensity plot after Nebsitt &amp; Young (1982) using the ternary</w:t>
      </w:r>
      <w:r>
        <w:rPr>
          <w:spacing w:val="1"/>
        </w:rPr>
        <w:t> </w:t>
      </w:r>
      <w:r>
        <w:rPr/>
        <w:t>diagrams of chemical index of alteration CIA=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/ (Al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+ CaO + Na</w:t>
      </w:r>
      <w:r>
        <w:rPr>
          <w:vertAlign w:val="subscript"/>
        </w:rPr>
        <w:t>2</w:t>
      </w:r>
      <w:r>
        <w:rPr>
          <w:vertAlign w:val="baseline"/>
        </w:rPr>
        <w:t>O +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1"/>
          <w:vertAlign w:val="baseline"/>
        </w:rPr>
        <w:t> </w:t>
      </w:r>
      <w:r>
        <w:rPr>
          <w:vertAlign w:val="baseline"/>
        </w:rPr>
        <w:t>*</w:t>
      </w:r>
      <w:r>
        <w:rPr>
          <w:spacing w:val="1"/>
          <w:vertAlign w:val="baseline"/>
        </w:rPr>
        <w:t> </w:t>
      </w:r>
      <w:r>
        <w:rPr>
          <w:vertAlign w:val="baseline"/>
        </w:rPr>
        <w:t>100)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employed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deduced</w:t>
      </w:r>
      <w:r>
        <w:rPr>
          <w:spacing w:val="1"/>
          <w:vertAlign w:val="baseline"/>
        </w:rPr>
        <w:t> </w:t>
      </w:r>
      <w:r>
        <w:rPr>
          <w:vertAlign w:val="baseline"/>
        </w:rPr>
        <w:t>weathering</w:t>
      </w:r>
      <w:r>
        <w:rPr>
          <w:spacing w:val="1"/>
          <w:vertAlign w:val="baseline"/>
        </w:rPr>
        <w:t> </w:t>
      </w:r>
      <w:r>
        <w:rPr>
          <w:vertAlign w:val="baseline"/>
        </w:rPr>
        <w:t>trend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intensity.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4"/>
          <w:vertAlign w:val="baseline"/>
        </w:rPr>
        <w:t> </w:t>
      </w:r>
      <w:r>
        <w:rPr>
          <w:vertAlign w:val="baseline"/>
        </w:rPr>
        <w:t>index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alteration</w:t>
      </w:r>
      <w:r>
        <w:rPr>
          <w:spacing w:val="6"/>
          <w:vertAlign w:val="baseline"/>
        </w:rPr>
        <w:t> </w:t>
      </w:r>
      <w:r>
        <w:rPr>
          <w:vertAlign w:val="baseline"/>
        </w:rPr>
        <w:t>(CIA)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study</w:t>
      </w:r>
      <w:r>
        <w:rPr>
          <w:spacing w:val="-3"/>
          <w:vertAlign w:val="baseline"/>
        </w:rPr>
        <w:t> </w:t>
      </w:r>
      <w:r>
        <w:rPr>
          <w:vertAlign w:val="baseline"/>
        </w:rPr>
        <w:t>clay</w:t>
      </w:r>
      <w:r>
        <w:rPr>
          <w:spacing w:val="-3"/>
          <w:vertAlign w:val="baseline"/>
        </w:rPr>
        <w:t> </w:t>
      </w:r>
      <w:r>
        <w:rPr>
          <w:vertAlign w:val="baseline"/>
        </w:rPr>
        <w:t>range</w:t>
      </w:r>
      <w:r>
        <w:rPr>
          <w:spacing w:val="3"/>
          <w:vertAlign w:val="baseline"/>
        </w:rPr>
        <w:t> </w:t>
      </w:r>
      <w:r>
        <w:rPr>
          <w:vertAlign w:val="baseline"/>
        </w:rPr>
        <w:t>from</w:t>
      </w:r>
      <w:r>
        <w:rPr>
          <w:spacing w:val="5"/>
          <w:vertAlign w:val="baseline"/>
        </w:rPr>
        <w:t> </w:t>
      </w:r>
      <w:r>
        <w:rPr>
          <w:vertAlign w:val="baseline"/>
        </w:rPr>
        <w:t>92.6%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6"/>
          <w:vertAlign w:val="baseline"/>
        </w:rPr>
        <w:t> </w:t>
      </w:r>
      <w:r>
        <w:rPr>
          <w:vertAlign w:val="baseline"/>
        </w:rPr>
        <w:t>96.16%.</w:t>
      </w:r>
    </w:p>
    <w:p>
      <w:pPr>
        <w:pStyle w:val="BodyText"/>
        <w:rPr>
          <w:sz w:val="28"/>
        </w:rPr>
      </w:pPr>
    </w:p>
    <w:p>
      <w:pPr>
        <w:pStyle w:val="BodyText"/>
        <w:ind w:left="570" w:right="603"/>
        <w:jc w:val="center"/>
      </w:pPr>
      <w:r>
        <w:rPr/>
        <w:t>56</w:t>
      </w:r>
    </w:p>
    <w:p>
      <w:pPr>
        <w:spacing w:after="0"/>
        <w:jc w:val="center"/>
        <w:sectPr>
          <w:pgSz w:w="11910" w:h="16840"/>
          <w:pgMar w:header="0" w:footer="294" w:top="1400" w:bottom="480" w:left="1680" w:right="1640"/>
        </w:sectPr>
      </w:pPr>
    </w:p>
    <w:p>
      <w:pPr>
        <w:pStyle w:val="BodyText"/>
        <w:spacing w:line="480" w:lineRule="auto" w:before="64"/>
        <w:ind w:left="305" w:right="338"/>
        <w:jc w:val="both"/>
      </w:pPr>
      <w:r>
        <w:rPr/>
        <w:t>McLennan &amp; Taylor (1991) suggest CIA values of residual clays to range from 85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100%, this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clay to</w:t>
      </w:r>
      <w:r>
        <w:rPr>
          <w:spacing w:val="1"/>
        </w:rPr>
        <w:t> </w:t>
      </w:r>
      <w:r>
        <w:rPr/>
        <w:t>be residual</w:t>
      </w:r>
      <w:r>
        <w:rPr>
          <w:spacing w:val="1"/>
        </w:rPr>
        <w:t> </w:t>
      </w:r>
      <w:r>
        <w:rPr/>
        <w:t>clay.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major</w:t>
      </w:r>
      <w:r>
        <w:rPr>
          <w:spacing w:val="-57"/>
        </w:rPr>
        <w:t> </w:t>
      </w:r>
      <w:r>
        <w:rPr/>
        <w:t>oxide composition of the study clay confirms depletion of element such as Na, Ca,</w:t>
      </w:r>
      <w:r>
        <w:rPr>
          <w:spacing w:val="-57"/>
        </w:rPr>
        <w:t> </w:t>
      </w:r>
      <w:r>
        <w:rPr/>
        <w:t>and Mg during the weathering process of the adjacent basement rock as the degree</w:t>
      </w:r>
      <w:r>
        <w:rPr>
          <w:spacing w:val="-57"/>
        </w:rPr>
        <w:t> </w:t>
      </w:r>
      <w:r>
        <w:rPr/>
        <w:t>of weathering is determined from values of the remaining elements. CIA ranges</w:t>
      </w:r>
      <w:r>
        <w:rPr>
          <w:spacing w:val="1"/>
        </w:rPr>
        <w:t> </w:t>
      </w:r>
      <w:r>
        <w:rPr/>
        <w:t>from 50% - 65% reflect weak weathering, 65% - 85% intermediate weathering</w:t>
      </w:r>
      <w:r>
        <w:rPr>
          <w:spacing w:val="1"/>
        </w:rPr>
        <w:t> </w:t>
      </w:r>
      <w:r>
        <w:rPr/>
        <w:t>while 85% - 100% reflect strong weathering. The CIA values of the clay samples</w:t>
      </w:r>
      <w:r>
        <w:rPr>
          <w:spacing w:val="1"/>
        </w:rPr>
        <w:t> </w:t>
      </w:r>
      <w:r>
        <w:rPr/>
        <w:t>range between 92.6% to 96.16%, and plot near Kaolinite (Figure 4.6), indicating</w:t>
      </w:r>
      <w:r>
        <w:rPr>
          <w:spacing w:val="1"/>
        </w:rPr>
        <w:t> </w:t>
      </w:r>
      <w:r>
        <w:rPr/>
        <w:t>strong</w:t>
      </w:r>
      <w:r>
        <w:rPr>
          <w:spacing w:val="-4"/>
        </w:rPr>
        <w:t> </w:t>
      </w:r>
      <w:r>
        <w:rPr/>
        <w:t>intensive</w:t>
      </w:r>
      <w:r>
        <w:rPr>
          <w:spacing w:val="-1"/>
        </w:rPr>
        <w:t> </w:t>
      </w:r>
      <w:r>
        <w:rPr/>
        <w:t>weathering</w:t>
      </w:r>
      <w:r>
        <w:rPr>
          <w:spacing w:val="-3"/>
        </w:rPr>
        <w:t> </w:t>
      </w:r>
      <w:r>
        <w:rPr/>
        <w:t>of the</w:t>
      </w:r>
      <w:r>
        <w:rPr>
          <w:spacing w:val="2"/>
        </w:rPr>
        <w:t> </w:t>
      </w:r>
      <w:r>
        <w:rPr/>
        <w:t>source</w:t>
      </w:r>
      <w:r>
        <w:rPr>
          <w:spacing w:val="-1"/>
        </w:rPr>
        <w:t> </w:t>
      </w:r>
      <w:r>
        <w:rPr/>
        <w:t>rock.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118.050003pt;margin-top:12.40207pt;width:342.7pt;height:231.35pt;mso-position-horizontal-relative:page;mso-position-vertical-relative:paragraph;z-index:-15713792;mso-wrap-distance-left:0;mso-wrap-distance-right:0" coordorigin="2361,248" coordsize="6854,4627">
            <v:shape style="position:absolute;left:9074;top:4716;width:141;height:159" type="#_x0000_t75" stroked="false">
              <v:imagedata r:id="rId51" o:title=""/>
            </v:shape>
            <v:shape style="position:absolute;left:2898;top:406;width:6118;height:4451" coordorigin="2898,406" coordsize="6118,4451" path="m5937,472l2898,4856,9016,4856,5917,406e" filled="false" stroked="true" strokeweight=".18787pt" strokecolor="#000000">
              <v:path arrowok="t"/>
              <v:stroke dashstyle="solid"/>
            </v:shape>
            <v:shape style="position:absolute;left:5857;top:248;width:175;height:155" type="#_x0000_t75" stroked="false">
              <v:imagedata r:id="rId52" o:title=""/>
            </v:shape>
            <v:shape style="position:absolute;left:2938;top:1169;width:4559;height:1520" coordorigin="2938,1169" coordsize="4559,1520" path="m2938,2689l7497,2689m5463,1169l4992,1859e" filled="false" stroked="true" strokeweight=".18787pt" strokecolor="#000000">
              <v:path arrowok="t"/>
              <v:stroke dashstyle="solid"/>
            </v:shape>
            <v:shape style="position:absolute;left:3120;top:1762;width:1057;height:160" type="#_x0000_t75" stroked="false">
              <v:imagedata r:id="rId53" o:title=""/>
            </v:shape>
            <v:shape style="position:absolute;left:3157;top:1546;width:1143;height:126" type="#_x0000_t75" stroked="false">
              <v:imagedata r:id="rId54" o:title=""/>
            </v:shape>
            <v:shape style="position:absolute;left:3060;top:2473;width:1057;height:160" type="#_x0000_t75" stroked="false">
              <v:imagedata r:id="rId55" o:title=""/>
            </v:shape>
            <v:shape style="position:absolute;left:3040;top:2291;width:530;height:126" type="#_x0000_t75" stroked="false">
              <v:imagedata r:id="rId56" o:title=""/>
            </v:shape>
            <v:shape style="position:absolute;left:3489;top:2962;width:650;height:742" type="#_x0000_t75" stroked="false">
              <v:imagedata r:id="rId57" o:title=""/>
            </v:shape>
            <v:shape style="position:absolute;left:7803;top:2947;width:580;height:689" type="#_x0000_t75" stroked="false">
              <v:imagedata r:id="rId58" o:title=""/>
            </v:shape>
            <v:shape style="position:absolute;left:5681;top:672;width:403;height:301" type="#_x0000_t75" stroked="false">
              <v:imagedata r:id="rId59" o:title=""/>
            </v:shape>
            <v:shape style="position:absolute;left:6212;top:306;width:793;height:126" type="#_x0000_t75" stroked="false">
              <v:imagedata r:id="rId60" o:title=""/>
            </v:shape>
            <v:shape style="position:absolute;left:6203;top:501;width:638;height:112" type="#_x0000_t75" stroked="false">
              <v:imagedata r:id="rId61" o:title=""/>
            </v:shape>
            <v:shape style="position:absolute;left:6242;top:683;width:702;height:112" type="#_x0000_t75" stroked="false">
              <v:imagedata r:id="rId62" o:title=""/>
            </v:shape>
            <v:shape style="position:absolute;left:6533;top:1315;width:392;height:547" type="#_x0000_t75" stroked="false">
              <v:imagedata r:id="rId63" o:title=""/>
            </v:shape>
            <v:shape style="position:absolute;left:2466;top:4728;width:326;height:144" type="#_x0000_t75" stroked="false">
              <v:imagedata r:id="rId64" o:title=""/>
            </v:shape>
            <v:shape style="position:absolute;left:2501;top:4276;width:56;height:124" coordorigin="2501,4276" coordsize="56,124" path="m2556,4276l2544,4276,2542,4280,2538,4284,2533,4288,2528,4293,2515,4300,2501,4307,2501,4322,2510,4319,2520,4314,2530,4309,2538,4303,2538,4400,2556,4400,2556,4276xe" filled="true" fillcolor="#000000" stroked="false">
              <v:path arrowok="t"/>
              <v:fill type="solid"/>
            </v:shape>
            <v:shape style="position:absolute;left:2500;top:3894;width:205;height:111" type="#_x0000_t75" stroked="false">
              <v:imagedata r:id="rId65" o:title=""/>
            </v:shape>
            <v:shape style="position:absolute;left:2482;top:2621;width:203;height:111" type="#_x0000_t75" stroked="false">
              <v:imagedata r:id="rId66" o:title=""/>
            </v:shape>
            <v:shape style="position:absolute;left:2501;top:2174;width:203;height:111" type="#_x0000_t75" stroked="false">
              <v:imagedata r:id="rId67" o:title=""/>
            </v:shape>
            <v:shape style="position:absolute;left:2486;top:389;width:4550;height:4467" type="#_x0000_t75" stroked="false">
              <v:imagedata r:id="rId68" o:title=""/>
            </v:shape>
            <v:shape style="position:absolute;left:2486;top:851;width:218;height:127" type="#_x0000_t75" stroked="false">
              <v:imagedata r:id="rId69" o:title=""/>
            </v:shape>
            <v:shape style="position:absolute;left:2466;top:338;width:218;height:127" type="#_x0000_t75" stroked="false">
              <v:imagedata r:id="rId70" o:title=""/>
            </v:shape>
            <v:shape style="position:absolute;left:2361;top:339;width:55;height:123" coordorigin="2361,339" coordsize="55,123" path="m2416,339l2404,339,2401,343,2398,347,2393,351,2388,356,2375,363,2361,370,2361,384,2370,381,2380,377,2390,371,2398,366,2398,462,2416,462,2416,339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6"/>
        </w:rPr>
      </w:pPr>
    </w:p>
    <w:p>
      <w:pPr>
        <w:spacing w:line="159" w:lineRule="exact"/>
        <w:ind w:left="4695" w:right="0" w:firstLine="0"/>
        <w:rPr>
          <w:sz w:val="14"/>
        </w:rPr>
      </w:pPr>
      <w:r>
        <w:rPr>
          <w:position w:val="2"/>
          <w:sz w:val="11"/>
        </w:rPr>
        <w:drawing>
          <wp:inline distT="0" distB="0" distL="0" distR="0">
            <wp:extent cx="73834" cy="70008"/>
            <wp:effectExtent l="0" t="0" r="0" b="0"/>
            <wp:docPr id="1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11"/>
        </w:rPr>
      </w:r>
      <w:r>
        <w:rPr>
          <w:spacing w:val="55"/>
          <w:position w:val="2"/>
          <w:sz w:val="14"/>
        </w:rPr>
        <w:t> </w:t>
      </w:r>
      <w:r>
        <w:rPr>
          <w:spacing w:val="55"/>
          <w:position w:val="-2"/>
          <w:sz w:val="14"/>
        </w:rPr>
        <w:pict>
          <v:group style="width:35.15pt;height:7.25pt;mso-position-horizontal-relative:char;mso-position-vertical-relative:line" coordorigin="0,0" coordsize="703,145">
            <v:shape style="position:absolute;left:431;top:0;width:271;height:145" type="#_x0000_t75" stroked="false">
              <v:imagedata r:id="rId72" o:title=""/>
            </v:shape>
            <v:shape style="position:absolute;left:0;top:14;width:378;height:131" type="#_x0000_t75" stroked="false">
              <v:imagedata r:id="rId73" o:title=""/>
            </v:shape>
          </v:group>
        </w:pict>
      </w:r>
      <w:r>
        <w:rPr>
          <w:spacing w:val="55"/>
          <w:position w:val="-2"/>
          <w:sz w:val="14"/>
        </w:rPr>
      </w:r>
    </w:p>
    <w:p>
      <w:pPr>
        <w:pStyle w:val="BodyText"/>
        <w:tabs>
          <w:tab w:pos="4532" w:val="left" w:leader="none"/>
          <w:tab w:pos="5799" w:val="left" w:leader="none"/>
        </w:tabs>
        <w:spacing w:line="278" w:lineRule="exact" w:before="54"/>
        <w:ind w:left="3106"/>
      </w:pPr>
      <w:r>
        <w:rPr>
          <w:position w:val="2"/>
        </w:rPr>
        <w:t>A=</w:t>
      </w:r>
      <w:r>
        <w:rPr>
          <w:spacing w:val="-3"/>
          <w:position w:val="2"/>
        </w:rPr>
        <w:t> </w:t>
      </w:r>
      <w:r>
        <w:rPr>
          <w:position w:val="2"/>
        </w:rPr>
        <w:t>Al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3</w:t>
        <w:tab/>
      </w:r>
      <w:r>
        <w:rPr>
          <w:position w:val="2"/>
        </w:rPr>
        <w:t>C</w:t>
      </w:r>
      <w:r>
        <w:rPr>
          <w:spacing w:val="-2"/>
          <w:position w:val="2"/>
        </w:rPr>
        <w:t> </w:t>
      </w:r>
      <w:r>
        <w:rPr>
          <w:position w:val="2"/>
        </w:rPr>
        <w:t>=</w:t>
      </w:r>
      <w:r>
        <w:rPr>
          <w:spacing w:val="-3"/>
          <w:position w:val="2"/>
        </w:rPr>
        <w:t> </w:t>
      </w:r>
      <w:r>
        <w:rPr>
          <w:position w:val="2"/>
        </w:rPr>
        <w:t>CaO</w:t>
        <w:tab/>
        <w:t>K</w:t>
      </w:r>
      <w:r>
        <w:rPr>
          <w:spacing w:val="-2"/>
          <w:position w:val="2"/>
        </w:rPr>
        <w:t> </w:t>
      </w:r>
      <w:r>
        <w:rPr>
          <w:position w:val="2"/>
        </w:rPr>
        <w:t>=</w:t>
      </w:r>
      <w:r>
        <w:rPr>
          <w:spacing w:val="-4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2</w:t>
      </w:r>
      <w:r>
        <w:rPr>
          <w:position w:val="2"/>
        </w:rPr>
        <w:t>O</w:t>
      </w:r>
    </w:p>
    <w:p>
      <w:pPr>
        <w:pStyle w:val="BodyText"/>
        <w:spacing w:line="237" w:lineRule="auto" w:before="1"/>
        <w:ind w:left="3591" w:right="490" w:hanging="3087"/>
      </w:pPr>
      <w:r>
        <w:rPr/>
        <w:t>Figure</w:t>
      </w:r>
      <w:r>
        <w:rPr>
          <w:spacing w:val="-7"/>
        </w:rPr>
        <w:t> </w:t>
      </w:r>
      <w:r>
        <w:rPr/>
        <w:t>4.10:</w:t>
      </w:r>
      <w:r>
        <w:rPr>
          <w:spacing w:val="-7"/>
        </w:rPr>
        <w:t> </w:t>
      </w:r>
      <w:r>
        <w:rPr/>
        <w:t>A-CN-K</w:t>
      </w:r>
      <w:r>
        <w:rPr>
          <w:spacing w:val="-6"/>
        </w:rPr>
        <w:t> </w:t>
      </w:r>
      <w:r>
        <w:rPr/>
        <w:t>diagram</w:t>
      </w:r>
      <w:r>
        <w:rPr>
          <w:spacing w:val="-6"/>
        </w:rPr>
        <w:t> </w:t>
      </w:r>
      <w:r>
        <w:rPr/>
        <w:t>(after</w:t>
      </w:r>
      <w:r>
        <w:rPr>
          <w:spacing w:val="-5"/>
        </w:rPr>
        <w:t> </w:t>
      </w:r>
      <w:r>
        <w:rPr/>
        <w:t>Nebsitt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/>
        <w:t>Young,</w:t>
      </w:r>
      <w:r>
        <w:rPr>
          <w:spacing w:val="-7"/>
        </w:rPr>
        <w:t> </w:t>
      </w:r>
      <w:r>
        <w:rPr/>
        <w:t>1982)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plots</w:t>
      </w:r>
      <w:r>
        <w:rPr>
          <w:spacing w:val="-8"/>
        </w:rPr>
        <w:t> </w:t>
      </w:r>
      <w:r>
        <w:rPr/>
        <w:t>of</w:t>
      </w:r>
      <w:r>
        <w:rPr>
          <w:spacing w:val="-57"/>
        </w:rPr>
        <w:t> </w:t>
      </w:r>
      <w:r>
        <w:rPr/>
        <w:t>study</w:t>
      </w:r>
      <w:r>
        <w:rPr>
          <w:spacing w:val="-9"/>
        </w:rPr>
        <w:t> </w:t>
      </w:r>
      <w:r>
        <w:rPr/>
        <w:t>clay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0" w:lineRule="auto"/>
        <w:ind w:left="305" w:right="334"/>
        <w:jc w:val="both"/>
      </w:pPr>
      <w:r>
        <w:rPr/>
        <w:t>The plot of non-marine source against marine clay source after Ratcliffe et al.,</w:t>
      </w:r>
      <w:r>
        <w:rPr>
          <w:spacing w:val="1"/>
        </w:rPr>
        <w:t> </w:t>
      </w:r>
      <w:r>
        <w:rPr/>
        <w:t>(2007) using clay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% against MgO% (Figure 4.7) support the non-marine</w:t>
      </w:r>
      <w:r>
        <w:rPr>
          <w:spacing w:val="1"/>
          <w:vertAlign w:val="baseline"/>
        </w:rPr>
        <w:t> </w:t>
      </w:r>
      <w:r>
        <w:rPr>
          <w:vertAlign w:val="baseline"/>
        </w:rPr>
        <w:t>source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kaolin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570" w:right="603"/>
        <w:jc w:val="center"/>
      </w:pPr>
      <w:r>
        <w:rPr/>
        <w:t>57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1324273</wp:posOffset>
            </wp:positionH>
            <wp:positionV relativeFrom="page">
              <wp:posOffset>1667509</wp:posOffset>
            </wp:positionV>
            <wp:extent cx="156679" cy="198120"/>
            <wp:effectExtent l="0" t="0" r="0" b="0"/>
            <wp:wrapNone/>
            <wp:docPr id="2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7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1292860</wp:posOffset>
            </wp:positionH>
            <wp:positionV relativeFrom="page">
              <wp:posOffset>1928789</wp:posOffset>
            </wp:positionV>
            <wp:extent cx="141020" cy="388620"/>
            <wp:effectExtent l="0" t="0" r="0" b="0"/>
            <wp:wrapNone/>
            <wp:docPr id="2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849998pt;margin-top:197.799988pt;width:4.8pt;height:6.2pt;mso-position-horizontal-relative:page;mso-position-vertical-relative:page;z-index:15747584" coordorigin="2537,3956" coordsize="96,124" path="m2588,3956l2540,3992,2559,3993,2559,3988,2561,3983,2587,3969,2593,3969,2614,3990,2614,3994,2567,4039,2561,4044,2537,4080,2633,4080,2633,4065,2562,4065,2565,4061,2569,4057,2583,4047,2590,4042,2606,4029,2633,3990,2632,3983,2597,3957,2588,395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949997pt;margin-top:170.399979pt;width:4.75pt;height:6.3pt;mso-position-horizontal-relative:page;mso-position-vertical-relative:page;z-index:15748096" coordorigin="2559,3408" coordsize="95,126" path="m2604,3408l2561,3440,2579,3443,2582,3433,2584,3429,2588,3426,2595,3422,2605,3421,2614,3422,2629,3440,2628,3445,2599,3460,2596,3460,2594,3474,2601,3472,2607,3472,2613,3472,2635,3496,2635,3501,2605,3522,2595,3520,2577,3497,2559,3499,2605,3534,2615,3533,2654,3495,2654,3490,2627,3465,2636,3461,2642,3455,2646,3448,2647,3440,2646,3432,2642,3424,2635,3418,2626,3412,2616,3409,2604,340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949997pt;margin-top:121.54998pt;width:4.8pt;height:6.2pt;mso-position-horizontal-relative:page;mso-position-vertical-relative:page;z-index:15749120" coordorigin="2559,2431" coordsize="96,124" path="m2648,2431l2576,2431,2562,2495,2579,2496,2584,2492,2590,2488,2597,2485,2605,2484,2612,2485,2636,2512,2636,2519,2606,2543,2596,2541,2587,2537,2581,2529,2578,2519,2559,2521,2606,2555,2617,2554,2655,2511,2654,2503,2610,2471,2603,2471,2596,2473,2589,2475,2583,2479,2590,2445,2648,2445,2648,243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906487pt;margin-top:94.04998pt;width:4.8pt;height:6.3pt;mso-position-horizontal-relative:page;mso-position-vertical-relative:page;z-index:15749632" coordorigin="2558,1881" coordsize="96,126" path="m2610,1881l2599,1882,2589,1884,2581,1889,2574,1895,2567,1904,2562,1916,2559,1930,2558,1942,2558,1950,2559,1962,2561,1975,2566,1985,2572,1993,2580,1999,2588,2004,2598,2006,2608,2007,2621,2006,2632,2002,2641,1995,2641,1995,2608,1995,2601,1994,2593,1991,2587,1986,2582,1980,2579,1973,2578,1965,2579,1959,2581,1954,2583,1949,2587,1945,2591,1942,2594,1941,2576,1941,2576,1932,2577,1925,2579,1918,2581,1913,2586,1904,2594,1897,2601,1894,2609,1893,2643,1893,2638,1889,2632,1886,2626,1883,2618,1881,2610,1881xm2611,1925l2608,1925,2607,1938,2613,1939,2619,1940,2623,1942,2628,1945,2631,1950,2634,1954,2635,1960,2636,1966,2635,1972,2634,1978,2631,1983,2628,1987,2623,1990,2619,1993,2614,1994,2608,1995,2641,1995,2648,1986,2653,1976,2654,1965,2653,1956,2651,1949,2647,1942,2641,1936,2635,1931,2628,1928,2620,1925,2611,1925xm2608,1925l2601,1926,2592,1929,2583,1934,2576,1941,2594,1941,2596,1940,2602,1939,2607,1938,2608,1925xm2643,1893l2609,1893,2614,1894,2619,1895,2623,1897,2627,1900,2631,1905,2634,1913,2651,1912,2650,1905,2647,1899,2643,1894,2643,18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pt;margin-top:72.599983pt;width:4.7pt;height:6.1pt;mso-position-horizontal-relative:page;mso-position-vertical-relative:page;z-index:15750144" coordorigin="2560,1452" coordsize="94,122" path="m2654,1452l2560,1452,2560,1467,2631,1467,2624,1474,2587,1539,2580,1574,2599,1574,2601,1556,2605,1540,2640,1478,2654,1464,2654,145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p>
      <w:pPr>
        <w:spacing w:line="202" w:lineRule="exact"/>
        <w:ind w:left="4353" w:right="0" w:firstLine="0"/>
        <w:rPr>
          <w:sz w:val="20"/>
        </w:rPr>
      </w:pPr>
      <w:r>
        <w:rPr>
          <w:position w:val="-3"/>
          <w:sz w:val="18"/>
        </w:rPr>
        <w:drawing>
          <wp:inline distT="0" distB="0" distL="0" distR="0">
            <wp:extent cx="330134" cy="118872"/>
            <wp:effectExtent l="0" t="0" r="0" b="0"/>
            <wp:docPr id="2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  <w:r>
        <w:rPr>
          <w:spacing w:val="69"/>
          <w:position w:val="-3"/>
          <w:sz w:val="20"/>
        </w:rPr>
        <w:t> </w:t>
      </w:r>
      <w:r>
        <w:rPr>
          <w:spacing w:val="69"/>
          <w:position w:val="-3"/>
          <w:sz w:val="20"/>
        </w:rPr>
        <w:drawing>
          <wp:inline distT="0" distB="0" distL="0" distR="0">
            <wp:extent cx="226690" cy="128777"/>
            <wp:effectExtent l="0" t="0" r="0" b="0"/>
            <wp:docPr id="2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-3"/>
          <w:sz w:val="20"/>
        </w:rPr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3356079</wp:posOffset>
            </wp:positionH>
            <wp:positionV relativeFrom="paragraph">
              <wp:posOffset>84508</wp:posOffset>
            </wp:positionV>
            <wp:extent cx="96098" cy="77724"/>
            <wp:effectExtent l="0" t="0" r="0" b="0"/>
            <wp:wrapTopAndBottom/>
            <wp:docPr id="2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9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3509009</wp:posOffset>
            </wp:positionH>
            <wp:positionV relativeFrom="paragraph">
              <wp:posOffset>93421</wp:posOffset>
            </wp:positionV>
            <wp:extent cx="317283" cy="92582"/>
            <wp:effectExtent l="0" t="0" r="0" b="0"/>
            <wp:wrapTopAndBottom/>
            <wp:docPr id="3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83" cy="9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3891568</wp:posOffset>
            </wp:positionH>
            <wp:positionV relativeFrom="paragraph">
              <wp:posOffset>84405</wp:posOffset>
            </wp:positionV>
            <wp:extent cx="216568" cy="101917"/>
            <wp:effectExtent l="0" t="0" r="0" b="0"/>
            <wp:wrapTopAndBottom/>
            <wp:docPr id="3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68" cy="10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spacing w:line="276" w:lineRule="auto" w:before="90"/>
        <w:ind w:left="1750" w:right="827" w:hanging="946"/>
      </w:pPr>
      <w:r>
        <w:rPr/>
        <w:pict>
          <v:shape style="position:absolute;margin-left:129.600006pt;margin-top:-82.476845pt;width:2.65pt;height:6.2pt;mso-position-horizontal-relative:page;mso-position-vertical-relative:paragraph;z-index:15747072" coordorigin="2592,-1650" coordsize="53,124" path="m2645,-1650l2634,-1650,2631,-1646,2627,-1641,2623,-1637,2618,-1633,2606,-1625,2592,-1619,2592,-1604,2601,-1607,2611,-1612,2620,-1617,2627,-1622,2627,-1526,2645,-1526,2645,-165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9.600006pt;margin-top:-234.749481pt;width:349.5pt;height:198.45pt;mso-position-horizontal-relative:page;mso-position-vertical-relative:paragraph;z-index:15748608" coordorigin="2592,-4695" coordsize="6990,3969">
            <v:shape style="position:absolute;left:2592;top:-3226;width:101;height:123" type="#_x0000_t75" stroked="false">
              <v:imagedata r:id="rId81" o:title=""/>
            </v:shape>
            <v:shape style="position:absolute;left:6623;top:-3311;width:623;height:112" type="#_x0000_t75" stroked="false">
              <v:imagedata r:id="rId82" o:title=""/>
            </v:shape>
            <v:shape style="position:absolute;left:2746;top:-4686;width:6674;height:3751" coordorigin="2746,-4686" coordsize="6674,3751" path="m2746,-4686l2746,-968,9420,-935m3761,-1068l6025,-4603e" filled="false" stroked="true" strokeweight=".94528pt" strokecolor="#000000">
              <v:path arrowok="t"/>
              <v:stroke dashstyle="solid"/>
            </v:shape>
            <v:shape style="position:absolute;left:2746;top:-4686;width:137;height:3120" coordorigin="2746,-4686" coordsize="137,3120" path="m2766,-1566l2883,-1566m2766,-2147l2883,-2147m2746,-2678l2863,-2678m2766,-3192l2883,-3192m2746,-3657l2863,-3657m2746,-4204l2863,-4204m2766,-4686l2883,-4686e" filled="false" stroked="true" strokeweight=".18354pt" strokecolor="#000000">
              <v:path arrowok="t"/>
              <v:stroke dashstyle="solid"/>
            </v:shape>
            <v:shape style="position:absolute;left:3385;top:-4454;width:1050;height:126" type="#_x0000_t75" stroked="false">
              <v:imagedata r:id="rId83" o:title=""/>
            </v:shape>
            <v:shape style="position:absolute;left:3613;top:-4274;width:624;height:129" type="#_x0000_t75" stroked="false">
              <v:imagedata r:id="rId84" o:title=""/>
            </v:shape>
            <v:shape style="position:absolute;left:5951;top:-3326;width:596;height:126" type="#_x0000_t75" stroked="false">
              <v:imagedata r:id="rId85" o:title=""/>
            </v:shape>
            <v:shape style="position:absolute;left:3663;top:-1151;width:5757;height:200" coordorigin="3663,-1151" coordsize="5757,200" path="m3663,-1118l3663,-952m4502,-1151l4502,-985m5361,-1134l5361,-968m6141,-1134l6141,-968m6961,-1134l6961,-968m7781,-1134l7781,-968m8561,-1118l8561,-952m9420,-1118l9420,-952e" filled="false" stroked="true" strokeweight=".18354pt" strokecolor="#000000">
              <v:path arrowok="t"/>
              <v:stroke dashstyle="solid"/>
            </v:shape>
            <v:shape style="position:absolute;left:3530;top:-888;width:258;height:111" type="#_x0000_t75" stroked="false">
              <v:imagedata r:id="rId86" o:title=""/>
            </v:shape>
            <v:shape style="position:absolute;left:4466;top:-886;width:834;height:140" coordorigin="4466,-886" coordsize="834,140" path="m4520,-870l4508,-870,4506,-866,4502,-861,4498,-857,4492,-853,4480,-845,4466,-839,4466,-824,4475,-827,4485,-832,4495,-837,4502,-842,4502,-746,4520,-746,4520,-870xm5300,-886l5289,-886,5286,-882,5282,-877,5278,-873,5273,-869,5261,-861,5247,-855,5247,-840,5256,-843,5266,-848,5275,-853,5282,-858,5282,-762,5300,-762,5300,-886xe" filled="true" fillcolor="#000000" stroked="false">
              <v:path arrowok="t"/>
              <v:fill type="solid"/>
            </v:shape>
            <v:shape style="position:absolute;left:5360;top:-884;width:145;height:124" type="#_x0000_t75" stroked="false">
              <v:imagedata r:id="rId87" o:title=""/>
            </v:shape>
            <v:shape style="position:absolute;left:6007;top:-854;width:258;height:111" type="#_x0000_t75" stroked="false">
              <v:imagedata r:id="rId88" o:title=""/>
            </v:shape>
            <v:shape style="position:absolute;left:6885;top:-854;width:259;height:111" type="#_x0000_t75" stroked="false">
              <v:imagedata r:id="rId89" o:title=""/>
            </v:shape>
            <v:shape style="position:absolute;left:7711;top:-886;width:96;height:126" coordorigin="7711,-886" coordsize="96,126" path="m7757,-886l7713,-854,7731,-851,7734,-861,7740,-868,7748,-872,7758,-873,7767,-872,7781,-854,7781,-849,7750,-833,7748,-833,7747,-820,7754,-821,7759,-822,7765,-821,7788,-798,7787,-793,7758,-772,7748,-773,7729,-796,7711,-794,7758,-760,7768,-760,7807,-798,7807,-804,7780,-829,7788,-833,7795,-839,7798,-846,7800,-854,7798,-862,7768,-885,7757,-886xe" filled="true" fillcolor="#000000" stroked="false">
              <v:path arrowok="t"/>
              <v:fill type="solid"/>
            </v:shape>
            <v:shape style="position:absolute;left:8449;top:-837;width:257;height:111" type="#_x0000_t75" stroked="false">
              <v:imagedata r:id="rId90" o:title=""/>
            </v:shape>
            <v:shape style="position:absolute;left:9306;top:-854;width:276;height:111" type="#_x0000_t75" stroked="false">
              <v:imagedata r:id="rId91" o:title=""/>
            </v:shape>
            <v:shape style="position:absolute;left:3042;top:-1946;width:675;height:401" type="#_x0000_t75" stroked="false">
              <v:imagedata r:id="rId92" o:title=""/>
            </v:shape>
            <w10:wrap type="none"/>
          </v:group>
        </w:pict>
      </w:r>
      <w:r>
        <w:rPr/>
        <w:t>Figure 4:11: Binary diagram of depositional environment differentiation</w:t>
      </w:r>
      <w:r>
        <w:rPr>
          <w:spacing w:val="-58"/>
        </w:rPr>
        <w:t> </w:t>
      </w:r>
      <w:r>
        <w:rPr/>
        <w:t>(after</w:t>
      </w:r>
      <w:r>
        <w:rPr>
          <w:spacing w:val="-2"/>
        </w:rPr>
        <w:t> </w:t>
      </w:r>
      <w:r>
        <w:rPr/>
        <w:t>Ratcliffe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2007) with</w:t>
      </w:r>
      <w:r>
        <w:rPr>
          <w:spacing w:val="-1"/>
        </w:rPr>
        <w:t> </w:t>
      </w:r>
      <w:r>
        <w:rPr/>
        <w:t>plots of</w:t>
      </w:r>
      <w:r>
        <w:rPr>
          <w:spacing w:val="-1"/>
        </w:rPr>
        <w:t> </w:t>
      </w:r>
      <w:r>
        <w:rPr/>
        <w:t>study</w:t>
      </w:r>
      <w:r>
        <w:rPr>
          <w:spacing w:val="-9"/>
        </w:rPr>
        <w:t> </w:t>
      </w:r>
      <w:r>
        <w:rPr/>
        <w:t>clays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5"/>
        <w:ind w:left="305" w:right="335"/>
        <w:jc w:val="both"/>
      </w:pPr>
      <w:r>
        <w:rPr/>
        <w:t>Marine clays generally contain suite of clay minerals of illite, kaolinite, chlorite,</w:t>
      </w:r>
      <w:r>
        <w:rPr>
          <w:spacing w:val="1"/>
        </w:rPr>
        <w:t> </w:t>
      </w:r>
      <w:r>
        <w:rPr/>
        <w:t>and mix-layer clays, whereas non-marine clays are rich in Kaolinite and small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illite.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non-marine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marine clay minerals by their low concentration of</w:t>
      </w:r>
      <w:r>
        <w:rPr>
          <w:spacing w:val="1"/>
        </w:rPr>
        <w:t> </w:t>
      </w:r>
      <w:r>
        <w:rPr/>
        <w:t>MgO, high concentration of</w:t>
      </w:r>
      <w:r>
        <w:rPr>
          <w:spacing w:val="1"/>
        </w:rPr>
        <w:t> </w:t>
      </w:r>
      <w:r>
        <w:rPr/>
        <w:t>SiO</w:t>
      </w:r>
      <w:r>
        <w:rPr>
          <w:vertAlign w:val="subscript"/>
        </w:rPr>
        <w:t>2</w:t>
      </w:r>
      <w:r>
        <w:rPr>
          <w:vertAlign w:val="baseline"/>
        </w:rPr>
        <w:t> and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while marine clay minerals has high concentration of MgO, low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SiO</w:t>
      </w:r>
      <w:r>
        <w:rPr>
          <w:vertAlign w:val="subscript"/>
        </w:rPr>
        <w:t>2</w:t>
      </w:r>
      <w:r>
        <w:rPr>
          <w:vertAlign w:val="baseline"/>
        </w:rPr>
        <w:t> and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(Alabi, 2005). This behavior was observed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 major oxide percentage of the study clay further confirming non marine source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study</w:t>
      </w:r>
      <w:r>
        <w:rPr>
          <w:spacing w:val="-8"/>
          <w:vertAlign w:val="baseline"/>
        </w:rPr>
        <w:t> </w:t>
      </w:r>
      <w:r>
        <w:rPr>
          <w:vertAlign w:val="baseline"/>
        </w:rPr>
        <w:t>clay.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5" w:right="337" w:firstLine="50"/>
        <w:jc w:val="both"/>
      </w:pPr>
      <w:r>
        <w:rPr/>
        <w:t>Sequence to previous workers observations and suggestions, Adeleye (1971) and</w:t>
      </w:r>
      <w:r>
        <w:rPr>
          <w:spacing w:val="1"/>
        </w:rPr>
        <w:t> </w:t>
      </w:r>
      <w:r>
        <w:rPr/>
        <w:t>Braide (1992a), the sediments supply of the Bida basin (Bida sandstone Formation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Sakpe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Formation)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Campanian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favored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marine</w:t>
      </w:r>
      <w:r>
        <w:rPr>
          <w:spacing w:val="1"/>
        </w:rPr>
        <w:t> </w:t>
      </w:r>
      <w:r>
        <w:rPr/>
        <w:t>incursion. The Enagi Formation is favored by continental sediment supply during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Maastichian</w:t>
      </w:r>
      <w:r>
        <w:rPr>
          <w:spacing w:val="5"/>
        </w:rPr>
        <w:t> </w:t>
      </w:r>
      <w:r>
        <w:rPr/>
        <w:t>while</w:t>
      </w:r>
      <w:r>
        <w:rPr>
          <w:spacing w:val="5"/>
        </w:rPr>
        <w:t> </w:t>
      </w:r>
      <w:r>
        <w:rPr/>
        <w:t>Batati</w:t>
      </w:r>
      <w:r>
        <w:rPr>
          <w:spacing w:val="9"/>
        </w:rPr>
        <w:t> </w:t>
      </w:r>
      <w:r>
        <w:rPr/>
        <w:t>Ironstone</w:t>
      </w:r>
      <w:r>
        <w:rPr>
          <w:spacing w:val="6"/>
        </w:rPr>
        <w:t> </w:t>
      </w:r>
      <w:r>
        <w:rPr/>
        <w:t>Formation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by</w:t>
      </w:r>
      <w:r>
        <w:rPr>
          <w:spacing w:val="-7"/>
        </w:rPr>
        <w:t> </w:t>
      </w:r>
      <w:r>
        <w:rPr/>
        <w:t>marine</w:t>
      </w:r>
      <w:r>
        <w:rPr>
          <w:spacing w:val="4"/>
        </w:rPr>
        <w:t> </w:t>
      </w:r>
      <w:r>
        <w:rPr/>
        <w:t>supply,</w:t>
      </w:r>
      <w:r>
        <w:rPr>
          <w:spacing w:val="5"/>
        </w:rPr>
        <w:t> </w:t>
      </w:r>
      <w:r>
        <w:rPr/>
        <w:t>suggesting</w:t>
      </w:r>
    </w:p>
    <w:p>
      <w:pPr>
        <w:pStyle w:val="BodyText"/>
        <w:spacing w:line="412" w:lineRule="auto"/>
        <w:ind w:left="4155" w:right="342" w:hanging="3851"/>
        <w:jc w:val="both"/>
      </w:pPr>
      <w:r>
        <w:rPr/>
        <w:t>the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experienced</w:t>
      </w:r>
      <w:r>
        <w:rPr>
          <w:spacing w:val="60"/>
        </w:rPr>
        <w:t> </w:t>
      </w:r>
      <w:r>
        <w:rPr/>
        <w:t>two</w:t>
      </w:r>
      <w:r>
        <w:rPr>
          <w:spacing w:val="60"/>
        </w:rPr>
        <w:t> </w:t>
      </w:r>
      <w:r>
        <w:rPr/>
        <w:t>phases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marine</w:t>
      </w:r>
      <w:r>
        <w:rPr>
          <w:spacing w:val="60"/>
        </w:rPr>
        <w:t> </w:t>
      </w:r>
      <w:r>
        <w:rPr/>
        <w:t>incursion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upper</w:t>
      </w:r>
      <w:r>
        <w:rPr>
          <w:spacing w:val="1"/>
        </w:rPr>
        <w:t> </w:t>
      </w:r>
      <w:r>
        <w:rPr/>
        <w:t>58</w:t>
      </w:r>
    </w:p>
    <w:p>
      <w:pPr>
        <w:spacing w:after="0" w:line="412" w:lineRule="auto"/>
        <w:jc w:val="both"/>
        <w:sectPr>
          <w:pgSz w:w="11910" w:h="16840"/>
          <w:pgMar w:header="0" w:footer="294" w:top="1440" w:bottom="480" w:left="1680" w:right="1640"/>
        </w:sectPr>
      </w:pPr>
    </w:p>
    <w:p>
      <w:pPr>
        <w:pStyle w:val="BodyText"/>
        <w:spacing w:line="477" w:lineRule="auto" w:before="64"/>
        <w:ind w:left="305" w:right="337"/>
        <w:jc w:val="both"/>
      </w:pPr>
      <w:r>
        <w:rPr/>
        <w:t>Campanian and upper Maastrichian (Alabi </w:t>
      </w:r>
      <w:r>
        <w:rPr>
          <w:i/>
        </w:rPr>
        <w:t>et al</w:t>
      </w:r>
      <w:r>
        <w:rPr/>
        <w:t>., 2018), this explained the non-</w:t>
      </w:r>
      <w:r>
        <w:rPr>
          <w:spacing w:val="1"/>
        </w:rPr>
        <w:t> </w:t>
      </w:r>
      <w:r>
        <w:rPr/>
        <w:t>marine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clay.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1"/>
        <w:ind w:left="305" w:right="331"/>
        <w:jc w:val="both"/>
      </w:pP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clays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Nigerian clay deposits shows that the average compositions of SiO</w:t>
      </w:r>
      <w:r>
        <w:rPr>
          <w:vertAlign w:val="subscript"/>
        </w:rPr>
        <w:t>2</w:t>
      </w:r>
      <w:r>
        <w:rPr>
          <w:vertAlign w:val="baseline"/>
        </w:rPr>
        <w:t> and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studied clays</w:t>
      </w:r>
      <w:r>
        <w:rPr>
          <w:spacing w:val="1"/>
          <w:vertAlign w:val="baseline"/>
        </w:rPr>
        <w:t> </w:t>
      </w:r>
      <w:r>
        <w:rPr>
          <w:vertAlign w:val="baseline"/>
        </w:rPr>
        <w:t>are similar to Okpella clay (Omang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2019). The clay</w:t>
      </w:r>
      <w:r>
        <w:rPr>
          <w:spacing w:val="1"/>
          <w:vertAlign w:val="baseline"/>
        </w:rPr>
        <w:t> </w:t>
      </w:r>
      <w:r>
        <w:rPr>
          <w:vertAlign w:val="baseline"/>
        </w:rPr>
        <w:t>deposit of Akerebiata clay (Olusola</w:t>
      </w:r>
      <w:r>
        <w:rPr>
          <w:spacing w:val="60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2014), Share clay North Bida Basin</w:t>
      </w:r>
      <w:r>
        <w:rPr>
          <w:spacing w:val="1"/>
          <w:vertAlign w:val="baseline"/>
        </w:rPr>
        <w:t> </w:t>
      </w:r>
      <w:r>
        <w:rPr>
          <w:vertAlign w:val="baseline"/>
        </w:rPr>
        <w:t>(Ojo </w:t>
      </w:r>
      <w:r>
        <w:rPr>
          <w:i/>
          <w:vertAlign w:val="baseline"/>
        </w:rPr>
        <w:t>et al., </w:t>
      </w:r>
      <w:r>
        <w:rPr>
          <w:vertAlign w:val="baseline"/>
        </w:rPr>
        <w:t>2011) and Dukku clay Kebbi (Salihu &amp; Suleiman, 2018) are observed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to</w:t>
      </w:r>
      <w:r>
        <w:rPr>
          <w:vertAlign w:val="baseline"/>
        </w:rPr>
        <w:t> </w:t>
      </w:r>
      <w:r>
        <w:rPr>
          <w:spacing w:val="-1"/>
          <w:vertAlign w:val="baseline"/>
        </w:rPr>
        <w:t>be</w:t>
      </w:r>
      <w:r>
        <w:rPr>
          <w:vertAlign w:val="baseline"/>
        </w:rPr>
        <w:t> </w:t>
      </w:r>
      <w:r>
        <w:rPr>
          <w:spacing w:val="-1"/>
          <w:vertAlign w:val="baseline"/>
        </w:rPr>
        <w:t>more</w:t>
      </w:r>
      <w:r>
        <w:rPr>
          <w:spacing w:val="-2"/>
          <w:vertAlign w:val="baseline"/>
        </w:rPr>
        <w:t> </w:t>
      </w:r>
      <w:r>
        <w:rPr>
          <w:spacing w:val="-1"/>
          <w:vertAlign w:val="baseline"/>
        </w:rPr>
        <w:t>enriched</w:t>
      </w:r>
      <w:r>
        <w:rPr>
          <w:vertAlign w:val="baseline"/>
        </w:rPr>
        <w:t> in</w:t>
      </w:r>
      <w:r>
        <w:rPr>
          <w:spacing w:val="3"/>
          <w:vertAlign w:val="baseline"/>
        </w:rPr>
        <w:t> </w:t>
      </w:r>
      <w:r>
        <w:rPr>
          <w:vertAlign w:val="baseline"/>
        </w:rPr>
        <w:t>SiO</w:t>
      </w:r>
      <w:r>
        <w:rPr>
          <w:vertAlign w:val="subscript"/>
        </w:rPr>
        <w:t>2</w:t>
      </w:r>
      <w:r>
        <w:rPr>
          <w:spacing w:val="-16"/>
          <w:vertAlign w:val="baseline"/>
        </w:rPr>
        <w:t> </w:t>
      </w:r>
      <w:r>
        <w:rPr>
          <w:vertAlign w:val="baseline"/>
        </w:rPr>
        <w:t>than those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area.</w:t>
      </w:r>
    </w:p>
    <w:p>
      <w:pPr>
        <w:pStyle w:val="BodyText"/>
        <w:spacing w:before="243"/>
        <w:ind w:left="365"/>
        <w:jc w:val="both"/>
      </w:pP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Dukku</w:t>
      </w:r>
      <w:r>
        <w:rPr>
          <w:spacing w:val="4"/>
        </w:rPr>
        <w:t> </w:t>
      </w:r>
      <w:r>
        <w:rPr>
          <w:spacing w:val="-1"/>
        </w:rPr>
        <w:t>clay</w:t>
      </w:r>
      <w:r>
        <w:rPr>
          <w:spacing w:val="-4"/>
        </w:rPr>
        <w:t> </w:t>
      </w:r>
      <w:r>
        <w:rPr>
          <w:spacing w:val="-1"/>
        </w:rPr>
        <w:t>Kebbi</w:t>
      </w:r>
      <w:r>
        <w:rPr>
          <w:spacing w:val="2"/>
        </w:rPr>
        <w:t> </w:t>
      </w:r>
      <w:r>
        <w:rPr>
          <w:spacing w:val="-1"/>
        </w:rPr>
        <w:t>(Salihu</w:t>
      </w:r>
      <w:r>
        <w:rPr>
          <w:spacing w:val="6"/>
        </w:rPr>
        <w:t> </w:t>
      </w:r>
      <w:r>
        <w:rPr/>
        <w:t>&amp; Suleiman,</w:t>
      </w:r>
      <w:r>
        <w:rPr>
          <w:spacing w:val="4"/>
        </w:rPr>
        <w:t> </w:t>
      </w:r>
      <w:r>
        <w:rPr/>
        <w:t>2018)</w:t>
      </w:r>
      <w:r>
        <w:rPr>
          <w:spacing w:val="-1"/>
        </w:rPr>
        <w:t> </w:t>
      </w:r>
      <w:r>
        <w:rPr/>
        <w:t>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-15"/>
          <w:vertAlign w:val="baseline"/>
        </w:rPr>
        <w:t> </w:t>
      </w:r>
      <w:r>
        <w:rPr>
          <w:vertAlign w:val="baseline"/>
        </w:rPr>
        <w:t>composition of</w:t>
      </w:r>
      <w:r>
        <w:rPr>
          <w:spacing w:val="2"/>
          <w:vertAlign w:val="baseline"/>
        </w:rPr>
        <w:t> </w:t>
      </w:r>
      <w:r>
        <w:rPr>
          <w:vertAlign w:val="baseline"/>
        </w:rPr>
        <w:t>35.50</w:t>
      </w:r>
      <w:r>
        <w:rPr>
          <w:spacing w:val="1"/>
          <w:vertAlign w:val="baseline"/>
        </w:rPr>
        <w:t> </w:t>
      </w:r>
      <w:r>
        <w:rPr>
          <w:vertAlign w:val="baseline"/>
        </w:rPr>
        <w:t>wt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80" w:lineRule="auto" w:before="1"/>
        <w:ind w:left="305" w:right="333"/>
        <w:jc w:val="both"/>
      </w:pPr>
      <w:r>
        <w:rPr/>
        <w:t>% compared more favourably with the Kutigi clay deposit though the MgO and</w:t>
      </w:r>
      <w:r>
        <w:rPr>
          <w:spacing w:val="1"/>
        </w:rPr>
        <w:t> </w:t>
      </w:r>
      <w:r>
        <w:rPr/>
        <w:t>CaO content of 1.90 wt % and 2.10 wt % respectively is slightly high than the</w:t>
      </w:r>
      <w:r>
        <w:rPr>
          <w:spacing w:val="1"/>
        </w:rPr>
        <w:t> </w:t>
      </w:r>
      <w:r>
        <w:rPr/>
        <w:t>study clay MgO and CaO composition of 0.31 wt % and 0.16 wt % respectively.</w:t>
      </w:r>
      <w:r>
        <w:rPr>
          <w:spacing w:val="1"/>
        </w:rPr>
        <w:t> </w:t>
      </w:r>
      <w:r>
        <w:rPr/>
        <w:t>The average chemical composition of obudu clay compare not favourable with the</w:t>
      </w:r>
      <w:r>
        <w:rPr>
          <w:spacing w:val="-57"/>
        </w:rPr>
        <w:t> </w:t>
      </w:r>
      <w:r>
        <w:rPr/>
        <w:t>study clay, SiO</w:t>
      </w:r>
      <w:r>
        <w:rPr>
          <w:vertAlign w:val="subscript"/>
        </w:rPr>
        <w:t>2</w:t>
      </w:r>
      <w:r>
        <w:rPr>
          <w:vertAlign w:val="baseline"/>
        </w:rPr>
        <w:t> and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of obudu clay are higher while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is lower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clay as show in (Table 4.5). The variations in chemical composition among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clay deposits compared may probably be due to geological differences (Kefas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1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570" w:right="603"/>
        <w:jc w:val="center"/>
      </w:pPr>
      <w:r>
        <w:rPr/>
        <w:t>59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Heading1"/>
        <w:ind w:left="3245" w:right="490" w:hanging="2221"/>
        <w:jc w:val="left"/>
      </w:pPr>
      <w:r>
        <w:rPr/>
        <w:pict>
          <v:shape style="position:absolute;margin-left:111.599998pt;margin-top:35.163143pt;width:372.1pt;height:.1pt;mso-position-horizontal-relative:page;mso-position-vertical-relative:paragraph;z-index:-15706624;mso-wrap-distance-left:0;mso-wrap-distance-right:0" coordorigin="2232,703" coordsize="7442,0" path="m2232,703l3296,703m3296,703l3305,703m3305,703l4359,703m4359,703l4369,703m4369,703l5423,703m5423,703l5432,703m5432,703l6486,703m6486,703l6495,703m6495,703l7549,703m7550,703l7559,703m7559,703l8613,703m8613,703l8622,703m8622,703l9674,703e" filled="false" stroked="true" strokeweight=".47pt" strokecolor="#000000">
            <v:path arrowok="t"/>
            <v:stroke dashstyle="solid"/>
            <w10:wrap type="topAndBottom"/>
          </v:shape>
        </w:pict>
      </w:r>
      <w:r>
        <w:rPr/>
        <w:t>Table</w:t>
      </w:r>
      <w:r>
        <w:rPr>
          <w:spacing w:val="-3"/>
        </w:rPr>
        <w:t> </w:t>
      </w:r>
      <w:r>
        <w:rPr/>
        <w:t>4.5:</w:t>
      </w:r>
      <w:r>
        <w:rPr>
          <w:spacing w:val="-4"/>
        </w:rPr>
        <w:t> </w:t>
      </w:r>
      <w:r>
        <w:rPr/>
        <w:t>Major</w:t>
      </w:r>
      <w:r>
        <w:rPr>
          <w:spacing w:val="-3"/>
        </w:rPr>
        <w:t> </w:t>
      </w:r>
      <w:r>
        <w:rPr/>
        <w:t>oxide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clay</w:t>
      </w:r>
      <w:r>
        <w:rPr>
          <w:spacing w:val="-2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clay</w:t>
      </w:r>
      <w:r>
        <w:rPr>
          <w:spacing w:val="-57"/>
        </w:rPr>
        <w:t> </w:t>
      </w:r>
      <w:r>
        <w:rPr/>
        <w:t>occurrence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7"/>
        <w:rPr>
          <w:b/>
          <w:sz w:val="19"/>
        </w:rPr>
      </w:pPr>
    </w:p>
    <w:tbl>
      <w:tblPr>
        <w:tblW w:w="0" w:type="auto"/>
        <w:jc w:val="left"/>
        <w:tblInd w:w="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1053"/>
        <w:gridCol w:w="1050"/>
        <w:gridCol w:w="1093"/>
        <w:gridCol w:w="1064"/>
        <w:gridCol w:w="1064"/>
        <w:gridCol w:w="1033"/>
      </w:tblGrid>
      <w:tr>
        <w:trPr>
          <w:trHeight w:val="546" w:hRule="atLeast"/>
        </w:trPr>
        <w:tc>
          <w:tcPr>
            <w:tcW w:w="1095" w:type="dxa"/>
          </w:tcPr>
          <w:p>
            <w:pPr>
              <w:pStyle w:val="TableParagraph"/>
              <w:spacing w:line="270" w:lineRule="atLeast"/>
              <w:ind w:left="185" w:firstLine="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Major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Oxides</w:t>
            </w:r>
          </w:p>
        </w:tc>
        <w:tc>
          <w:tcPr>
            <w:tcW w:w="1053" w:type="dxa"/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35" w:lineRule="exact"/>
              <w:ind w:left="18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</w:p>
        </w:tc>
        <w:tc>
          <w:tcPr>
            <w:tcW w:w="5304" w:type="dxa"/>
            <w:gridSpan w:val="5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0" w:hRule="atLeast"/>
        </w:trPr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5"/>
              <w:ind w:right="1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5"/>
              <w:ind w:left="18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5"/>
              <w:ind w:righ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5"/>
              <w:ind w:right="29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5"/>
              <w:ind w:right="6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5"/>
              <w:ind w:right="6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15"/>
              <w:ind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</w:tr>
      <w:tr>
        <w:trPr>
          <w:trHeight w:val="593" w:hRule="atLeast"/>
        </w:trPr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16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SiO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0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84" w:right="220"/>
              <w:rPr>
                <w:sz w:val="24"/>
              </w:rPr>
            </w:pPr>
            <w:r>
              <w:rPr>
                <w:sz w:val="24"/>
              </w:rPr>
              <w:t>46.82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40.55</w:t>
            </w:r>
          </w:p>
        </w:tc>
        <w:tc>
          <w:tcPr>
            <w:tcW w:w="1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42" w:right="215"/>
              <w:rPr>
                <w:sz w:val="24"/>
              </w:rPr>
            </w:pPr>
            <w:r>
              <w:rPr>
                <w:sz w:val="24"/>
              </w:rPr>
              <w:t>58.09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41" w:right="241"/>
              <w:rPr>
                <w:sz w:val="24"/>
              </w:rPr>
            </w:pPr>
            <w:r>
              <w:rPr>
                <w:sz w:val="24"/>
              </w:rPr>
              <w:t>55.59</w:t>
            </w:r>
          </w:p>
        </w:tc>
        <w:tc>
          <w:tcPr>
            <w:tcW w:w="1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40" w:right="242"/>
              <w:rPr>
                <w:sz w:val="24"/>
              </w:rPr>
            </w:pPr>
            <w:r>
              <w:rPr>
                <w:sz w:val="24"/>
              </w:rPr>
              <w:t>58.10</w:t>
            </w:r>
          </w:p>
        </w:tc>
        <w:tc>
          <w:tcPr>
            <w:tcW w:w="1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239" w:right="213"/>
              <w:rPr>
                <w:sz w:val="24"/>
              </w:rPr>
            </w:pPr>
            <w:r>
              <w:rPr>
                <w:sz w:val="24"/>
              </w:rPr>
              <w:t>57.24</w:t>
            </w:r>
          </w:p>
        </w:tc>
      </w:tr>
      <w:tr>
        <w:trPr>
          <w:trHeight w:val="356" w:hRule="atLeast"/>
        </w:trPr>
        <w:tc>
          <w:tcPr>
            <w:tcW w:w="1095" w:type="dxa"/>
          </w:tcPr>
          <w:p>
            <w:pPr>
              <w:pStyle w:val="TableParagraph"/>
              <w:spacing w:before="53"/>
              <w:ind w:left="213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Al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53"/>
              <w:ind w:left="184" w:right="220"/>
              <w:rPr>
                <w:sz w:val="24"/>
              </w:rPr>
            </w:pPr>
            <w:r>
              <w:rPr>
                <w:sz w:val="24"/>
              </w:rPr>
              <w:t>35.44</w:t>
            </w:r>
          </w:p>
        </w:tc>
        <w:tc>
          <w:tcPr>
            <w:tcW w:w="1050" w:type="dxa"/>
          </w:tcPr>
          <w:p>
            <w:pPr>
              <w:pStyle w:val="TableParagraph"/>
              <w:spacing w:before="53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21.67</w:t>
            </w:r>
          </w:p>
        </w:tc>
        <w:tc>
          <w:tcPr>
            <w:tcW w:w="1093" w:type="dxa"/>
          </w:tcPr>
          <w:p>
            <w:pPr>
              <w:pStyle w:val="TableParagraph"/>
              <w:spacing w:before="58"/>
              <w:ind w:left="242" w:right="215"/>
              <w:rPr>
                <w:sz w:val="24"/>
              </w:rPr>
            </w:pPr>
            <w:r>
              <w:rPr>
                <w:sz w:val="24"/>
              </w:rPr>
              <w:t>21.86</w:t>
            </w:r>
          </w:p>
        </w:tc>
        <w:tc>
          <w:tcPr>
            <w:tcW w:w="1064" w:type="dxa"/>
          </w:tcPr>
          <w:p>
            <w:pPr>
              <w:pStyle w:val="TableParagraph"/>
              <w:spacing w:before="58"/>
              <w:ind w:left="241" w:right="241"/>
              <w:rPr>
                <w:sz w:val="24"/>
              </w:rPr>
            </w:pPr>
            <w:r>
              <w:rPr>
                <w:sz w:val="24"/>
              </w:rPr>
              <w:t>35.50</w:t>
            </w:r>
          </w:p>
        </w:tc>
        <w:tc>
          <w:tcPr>
            <w:tcW w:w="1064" w:type="dxa"/>
          </w:tcPr>
          <w:p>
            <w:pPr>
              <w:pStyle w:val="TableParagraph"/>
              <w:spacing w:before="58"/>
              <w:ind w:left="240" w:right="242"/>
              <w:rPr>
                <w:sz w:val="24"/>
              </w:rPr>
            </w:pPr>
            <w:r>
              <w:rPr>
                <w:sz w:val="24"/>
              </w:rPr>
              <w:t>26.99</w:t>
            </w:r>
          </w:p>
        </w:tc>
        <w:tc>
          <w:tcPr>
            <w:tcW w:w="1033" w:type="dxa"/>
          </w:tcPr>
          <w:p>
            <w:pPr>
              <w:pStyle w:val="TableParagraph"/>
              <w:spacing w:before="58"/>
              <w:ind w:left="239" w:right="213"/>
              <w:rPr>
                <w:sz w:val="24"/>
              </w:rPr>
            </w:pPr>
            <w:r>
              <w:rPr>
                <w:sz w:val="24"/>
              </w:rPr>
              <w:t>19.56</w:t>
            </w:r>
          </w:p>
        </w:tc>
      </w:tr>
      <w:tr>
        <w:trPr>
          <w:trHeight w:val="458" w:hRule="atLeast"/>
        </w:trPr>
        <w:tc>
          <w:tcPr>
            <w:tcW w:w="1095" w:type="dxa"/>
          </w:tcPr>
          <w:p>
            <w:pPr>
              <w:pStyle w:val="TableParagraph"/>
              <w:spacing w:before="54"/>
              <w:ind w:left="225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053" w:type="dxa"/>
          </w:tcPr>
          <w:p>
            <w:pPr>
              <w:pStyle w:val="TableParagraph"/>
              <w:spacing w:before="54"/>
              <w:ind w:left="184" w:right="185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050" w:type="dxa"/>
          </w:tcPr>
          <w:p>
            <w:pPr>
              <w:pStyle w:val="TableParagraph"/>
              <w:spacing w:before="54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093" w:type="dxa"/>
          </w:tcPr>
          <w:p>
            <w:pPr>
              <w:pStyle w:val="TableParagraph"/>
              <w:spacing w:before="66"/>
              <w:ind w:left="242" w:right="215"/>
              <w:rPr>
                <w:sz w:val="24"/>
              </w:rPr>
            </w:pPr>
            <w:r>
              <w:rPr>
                <w:sz w:val="24"/>
              </w:rPr>
              <w:t>2.74</w:t>
            </w:r>
          </w:p>
        </w:tc>
        <w:tc>
          <w:tcPr>
            <w:tcW w:w="1064" w:type="dxa"/>
          </w:tcPr>
          <w:p>
            <w:pPr>
              <w:pStyle w:val="TableParagraph"/>
              <w:spacing w:before="66"/>
              <w:ind w:left="241" w:right="241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064" w:type="dxa"/>
          </w:tcPr>
          <w:p>
            <w:pPr>
              <w:pStyle w:val="TableParagraph"/>
              <w:spacing w:before="66"/>
              <w:ind w:left="240" w:right="242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033" w:type="dxa"/>
          </w:tcPr>
          <w:p>
            <w:pPr>
              <w:pStyle w:val="TableParagraph"/>
              <w:spacing w:before="66"/>
              <w:ind w:left="239" w:right="213"/>
              <w:rPr>
                <w:sz w:val="24"/>
              </w:rPr>
            </w:pPr>
            <w:r>
              <w:rPr>
                <w:sz w:val="24"/>
              </w:rPr>
              <w:t>7.99</w:t>
            </w:r>
          </w:p>
        </w:tc>
      </w:tr>
      <w:tr>
        <w:trPr>
          <w:trHeight w:val="458" w:hRule="atLeast"/>
        </w:trPr>
        <w:tc>
          <w:tcPr>
            <w:tcW w:w="1095" w:type="dxa"/>
          </w:tcPr>
          <w:p>
            <w:pPr>
              <w:pStyle w:val="TableParagraph"/>
              <w:spacing w:before="155"/>
              <w:ind w:left="218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TiO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053" w:type="dxa"/>
          </w:tcPr>
          <w:p>
            <w:pPr>
              <w:pStyle w:val="TableParagraph"/>
              <w:spacing w:before="155"/>
              <w:ind w:left="184" w:right="209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093" w:type="dxa"/>
          </w:tcPr>
          <w:p>
            <w:pPr>
              <w:pStyle w:val="TableParagraph"/>
              <w:spacing w:before="157"/>
              <w:ind w:left="215" w:right="243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064" w:type="dxa"/>
          </w:tcPr>
          <w:p>
            <w:pPr>
              <w:pStyle w:val="TableParagraph"/>
              <w:spacing w:before="157"/>
              <w:ind w:left="184" w:right="24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64" w:type="dxa"/>
          </w:tcPr>
          <w:p>
            <w:pPr>
              <w:pStyle w:val="TableParagraph"/>
              <w:spacing w:before="157"/>
              <w:ind w:left="181" w:right="242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1033" w:type="dxa"/>
          </w:tcPr>
          <w:p>
            <w:pPr>
              <w:pStyle w:val="TableParagraph"/>
              <w:spacing w:before="157"/>
              <w:ind w:left="184" w:right="213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</w:tr>
      <w:tr>
        <w:trPr>
          <w:trHeight w:val="417" w:hRule="atLeast"/>
        </w:trPr>
        <w:tc>
          <w:tcPr>
            <w:tcW w:w="1095" w:type="dxa"/>
          </w:tcPr>
          <w:p>
            <w:pPr>
              <w:pStyle w:val="TableParagraph"/>
              <w:spacing w:before="55"/>
              <w:ind w:left="214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</w:p>
        </w:tc>
        <w:tc>
          <w:tcPr>
            <w:tcW w:w="1053" w:type="dxa"/>
          </w:tcPr>
          <w:p>
            <w:pPr>
              <w:pStyle w:val="TableParagraph"/>
              <w:spacing w:before="55"/>
              <w:ind w:left="184" w:right="220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050" w:type="dxa"/>
          </w:tcPr>
          <w:p>
            <w:pPr>
              <w:pStyle w:val="TableParagraph"/>
              <w:spacing w:before="55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1093" w:type="dxa"/>
          </w:tcPr>
          <w:p>
            <w:pPr>
              <w:pStyle w:val="TableParagraph"/>
              <w:spacing w:before="64"/>
              <w:ind w:left="215" w:right="243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1064" w:type="dxa"/>
          </w:tcPr>
          <w:p>
            <w:pPr>
              <w:pStyle w:val="TableParagraph"/>
              <w:spacing w:before="64"/>
              <w:ind w:right="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64"/>
              <w:ind w:left="181" w:right="242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033" w:type="dxa"/>
          </w:tcPr>
          <w:p>
            <w:pPr>
              <w:pStyle w:val="TableParagraph"/>
              <w:spacing w:before="64"/>
              <w:ind w:left="184" w:right="213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510" w:hRule="atLeast"/>
        </w:trPr>
        <w:tc>
          <w:tcPr>
            <w:tcW w:w="1095" w:type="dxa"/>
          </w:tcPr>
          <w:p>
            <w:pPr>
              <w:pStyle w:val="TableParagraph"/>
              <w:spacing w:before="114"/>
              <w:ind w:left="216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Na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</w:p>
        </w:tc>
        <w:tc>
          <w:tcPr>
            <w:tcW w:w="1053" w:type="dxa"/>
          </w:tcPr>
          <w:p>
            <w:pPr>
              <w:pStyle w:val="TableParagraph"/>
              <w:spacing w:before="114"/>
              <w:ind w:left="184" w:right="220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050" w:type="dxa"/>
          </w:tcPr>
          <w:p>
            <w:pPr>
              <w:pStyle w:val="TableParagraph"/>
              <w:spacing w:before="114"/>
              <w:ind w:righ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117"/>
              <w:ind w:left="215" w:right="243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1064" w:type="dxa"/>
          </w:tcPr>
          <w:p>
            <w:pPr>
              <w:pStyle w:val="TableParagraph"/>
              <w:spacing w:before="117"/>
              <w:ind w:right="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117"/>
              <w:ind w:left="181" w:right="242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033" w:type="dxa"/>
          </w:tcPr>
          <w:p>
            <w:pPr>
              <w:pStyle w:val="TableParagraph"/>
              <w:spacing w:before="117"/>
              <w:ind w:left="184" w:right="213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</w:tr>
      <w:tr>
        <w:trPr>
          <w:trHeight w:val="543" w:hRule="atLeast"/>
        </w:trPr>
        <w:tc>
          <w:tcPr>
            <w:tcW w:w="1095" w:type="dxa"/>
          </w:tcPr>
          <w:p>
            <w:pPr>
              <w:pStyle w:val="TableParagraph"/>
              <w:spacing w:before="147"/>
              <w:ind w:left="212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CaO</w:t>
            </w:r>
          </w:p>
        </w:tc>
        <w:tc>
          <w:tcPr>
            <w:tcW w:w="1053" w:type="dxa"/>
          </w:tcPr>
          <w:p>
            <w:pPr>
              <w:pStyle w:val="TableParagraph"/>
              <w:spacing w:before="147"/>
              <w:ind w:left="184" w:right="220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7"/>
              <w:ind w:righ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159"/>
              <w:ind w:left="215" w:right="243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1064" w:type="dxa"/>
          </w:tcPr>
          <w:p>
            <w:pPr>
              <w:pStyle w:val="TableParagraph"/>
              <w:spacing w:before="159"/>
              <w:ind w:left="184" w:right="242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59"/>
              <w:ind w:left="181" w:right="242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033" w:type="dxa"/>
          </w:tcPr>
          <w:p>
            <w:pPr>
              <w:pStyle w:val="TableParagraph"/>
              <w:spacing w:before="159"/>
              <w:ind w:left="184" w:right="213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</w:tr>
      <w:tr>
        <w:trPr>
          <w:trHeight w:val="549" w:hRule="atLeast"/>
        </w:trPr>
        <w:tc>
          <w:tcPr>
            <w:tcW w:w="1095" w:type="dxa"/>
          </w:tcPr>
          <w:p>
            <w:pPr>
              <w:pStyle w:val="TableParagraph"/>
              <w:spacing w:before="150"/>
              <w:ind w:left="212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MgO</w:t>
            </w:r>
          </w:p>
        </w:tc>
        <w:tc>
          <w:tcPr>
            <w:tcW w:w="1053" w:type="dxa"/>
          </w:tcPr>
          <w:p>
            <w:pPr>
              <w:pStyle w:val="TableParagraph"/>
              <w:spacing w:before="150"/>
              <w:ind w:left="184" w:right="220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0"/>
              <w:ind w:righ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167"/>
              <w:ind w:left="215" w:right="243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1064" w:type="dxa"/>
          </w:tcPr>
          <w:p>
            <w:pPr>
              <w:pStyle w:val="TableParagraph"/>
              <w:spacing w:before="167"/>
              <w:ind w:left="184" w:right="242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064" w:type="dxa"/>
          </w:tcPr>
          <w:p>
            <w:pPr>
              <w:pStyle w:val="TableParagraph"/>
              <w:spacing w:before="167"/>
              <w:ind w:left="181" w:right="242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033" w:type="dxa"/>
          </w:tcPr>
          <w:p>
            <w:pPr>
              <w:pStyle w:val="TableParagraph"/>
              <w:spacing w:before="167"/>
              <w:ind w:left="184" w:right="213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  <w:tr>
        <w:trPr>
          <w:trHeight w:val="562" w:hRule="atLeast"/>
        </w:trPr>
        <w:tc>
          <w:tcPr>
            <w:tcW w:w="1095" w:type="dxa"/>
          </w:tcPr>
          <w:p>
            <w:pPr>
              <w:pStyle w:val="TableParagraph"/>
              <w:spacing w:before="148"/>
              <w:ind w:left="209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MnO</w:t>
            </w:r>
          </w:p>
        </w:tc>
        <w:tc>
          <w:tcPr>
            <w:tcW w:w="1053" w:type="dxa"/>
          </w:tcPr>
          <w:p>
            <w:pPr>
              <w:pStyle w:val="TableParagraph"/>
              <w:spacing w:before="148"/>
              <w:ind w:left="184" w:right="220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050" w:type="dxa"/>
          </w:tcPr>
          <w:p>
            <w:pPr>
              <w:pStyle w:val="TableParagraph"/>
              <w:spacing w:before="148"/>
              <w:ind w:righ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169"/>
              <w:ind w:left="215" w:right="243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064" w:type="dxa"/>
          </w:tcPr>
          <w:p>
            <w:pPr>
              <w:pStyle w:val="TableParagraph"/>
              <w:spacing w:before="169"/>
              <w:ind w:right="5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169"/>
              <w:ind w:left="181" w:right="242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033" w:type="dxa"/>
          </w:tcPr>
          <w:p>
            <w:pPr>
              <w:pStyle w:val="TableParagraph"/>
              <w:spacing w:before="169"/>
              <w:ind w:left="184" w:right="213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  <w:tr>
        <w:trPr>
          <w:trHeight w:val="555" w:hRule="atLeast"/>
        </w:trPr>
        <w:tc>
          <w:tcPr>
            <w:tcW w:w="1095" w:type="dxa"/>
          </w:tcPr>
          <w:p>
            <w:pPr>
              <w:pStyle w:val="TableParagraph"/>
              <w:spacing w:before="158"/>
              <w:ind w:left="211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5</w:t>
            </w:r>
          </w:p>
        </w:tc>
        <w:tc>
          <w:tcPr>
            <w:tcW w:w="1053" w:type="dxa"/>
          </w:tcPr>
          <w:p>
            <w:pPr>
              <w:pStyle w:val="TableParagraph"/>
              <w:spacing w:before="158"/>
              <w:ind w:left="184" w:right="220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050" w:type="dxa"/>
          </w:tcPr>
          <w:p>
            <w:pPr>
              <w:pStyle w:val="TableParagraph"/>
              <w:spacing w:before="158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09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64" w:type="dxa"/>
          </w:tcPr>
          <w:p>
            <w:pPr>
              <w:pStyle w:val="TableParagraph"/>
              <w:spacing w:before="158"/>
              <w:ind w:right="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4" w:type="dxa"/>
          </w:tcPr>
          <w:p>
            <w:pPr>
              <w:pStyle w:val="TableParagraph"/>
              <w:spacing w:before="158"/>
              <w:ind w:left="187" w:right="242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1033" w:type="dxa"/>
          </w:tcPr>
          <w:p>
            <w:pPr>
              <w:pStyle w:val="TableParagraph"/>
              <w:spacing w:before="158"/>
              <w:ind w:left="189" w:right="213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  <w:tr>
        <w:trPr>
          <w:trHeight w:val="424" w:hRule="atLeast"/>
        </w:trPr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48"/>
              <w:ind w:left="214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LOI</w:t>
            </w:r>
          </w:p>
        </w:tc>
        <w:tc>
          <w:tcPr>
            <w:tcW w:w="10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48"/>
              <w:ind w:left="184" w:right="220"/>
              <w:rPr>
                <w:sz w:val="24"/>
              </w:rPr>
            </w:pPr>
            <w:r>
              <w:rPr>
                <w:sz w:val="24"/>
              </w:rPr>
              <w:t>13.68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48"/>
              <w:ind w:righ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48"/>
              <w:ind w:left="215" w:right="243"/>
              <w:rPr>
                <w:sz w:val="24"/>
              </w:rPr>
            </w:pPr>
            <w:r>
              <w:rPr>
                <w:sz w:val="24"/>
              </w:rPr>
              <w:t>13.08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48"/>
              <w:ind w:right="5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48"/>
              <w:ind w:left="184" w:right="213"/>
              <w:rPr>
                <w:sz w:val="24"/>
              </w:rPr>
            </w:pPr>
            <w:r>
              <w:rPr>
                <w:sz w:val="24"/>
              </w:rPr>
              <w:t>11.0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266" w:lineRule="exact"/>
        <w:ind w:left="485"/>
      </w:pPr>
      <w:r>
        <w:rPr/>
        <w:t>A= Okpella</w:t>
      </w:r>
      <w:r>
        <w:rPr>
          <w:spacing w:val="1"/>
        </w:rPr>
        <w:t> </w:t>
      </w:r>
      <w:r>
        <w:rPr/>
        <w:t>clay</w:t>
      </w:r>
    </w:p>
    <w:p>
      <w:pPr>
        <w:pStyle w:val="BodyText"/>
        <w:spacing w:before="5"/>
        <w:ind w:left="485" w:right="1055"/>
      </w:pPr>
      <w:r>
        <w:rPr/>
        <w:t>B</w:t>
      </w:r>
      <w:r>
        <w:rPr>
          <w:spacing w:val="-1"/>
        </w:rPr>
        <w:t> </w:t>
      </w:r>
      <w:r>
        <w:rPr/>
        <w:t>= Akerebiata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C=</w:t>
      </w:r>
      <w:r>
        <w:rPr>
          <w:spacing w:val="-5"/>
        </w:rPr>
        <w:t> </w:t>
      </w:r>
      <w:r>
        <w:rPr/>
        <w:t>Dukku</w:t>
      </w:r>
      <w:r>
        <w:rPr>
          <w:spacing w:val="-4"/>
        </w:rPr>
        <w:t> </w:t>
      </w:r>
      <w:r>
        <w:rPr/>
        <w:t>clay</w:t>
      </w:r>
      <w:r>
        <w:rPr>
          <w:spacing w:val="-12"/>
        </w:rPr>
        <w:t> </w:t>
      </w:r>
      <w:r>
        <w:rPr/>
        <w:t>kebbi</w:t>
      </w:r>
    </w:p>
    <w:p>
      <w:pPr>
        <w:pStyle w:val="BodyText"/>
        <w:ind w:left="485"/>
      </w:pPr>
      <w:r>
        <w:rPr/>
        <w:t>D</w:t>
      </w:r>
      <w:r>
        <w:rPr>
          <w:spacing w:val="-3"/>
        </w:rPr>
        <w:t> </w:t>
      </w:r>
      <w:r>
        <w:rPr/>
        <w:t>=Share</w:t>
      </w:r>
      <w:r>
        <w:rPr>
          <w:spacing w:val="-4"/>
        </w:rPr>
        <w:t> </w:t>
      </w:r>
      <w:r>
        <w:rPr/>
        <w:t>clay</w:t>
      </w:r>
      <w:r>
        <w:rPr>
          <w:spacing w:val="-10"/>
        </w:rPr>
        <w:t> </w:t>
      </w:r>
      <w:r>
        <w:rPr/>
        <w:t>North</w:t>
      </w:r>
      <w:r>
        <w:rPr>
          <w:spacing w:val="1"/>
        </w:rPr>
        <w:t> </w:t>
      </w:r>
      <w:r>
        <w:rPr/>
        <w:t>Bida</w:t>
      </w:r>
      <w:r>
        <w:rPr>
          <w:spacing w:val="-3"/>
        </w:rPr>
        <w:t> </w:t>
      </w:r>
      <w:r>
        <w:rPr/>
        <w:t>Basin</w:t>
      </w:r>
      <w:r>
        <w:rPr>
          <w:spacing w:val="-57"/>
        </w:rPr>
        <w:t> </w:t>
      </w:r>
      <w:r>
        <w:rPr/>
        <w:t>E =</w:t>
      </w:r>
      <w:r>
        <w:rPr>
          <w:spacing w:val="-2"/>
        </w:rPr>
        <w:t> </w:t>
      </w:r>
      <w:r>
        <w:rPr/>
        <w:t>Obudu</w:t>
      </w:r>
      <w:r>
        <w:rPr>
          <w:spacing w:val="-1"/>
        </w:rPr>
        <w:t> </w:t>
      </w:r>
      <w:r>
        <w:rPr/>
        <w:t>clay</w:t>
      </w:r>
    </w:p>
    <w:p>
      <w:pPr>
        <w:spacing w:line="242" w:lineRule="auto" w:before="0"/>
        <w:ind w:left="265" w:right="213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(Omang </w:t>
      </w:r>
      <w:r>
        <w:rPr>
          <w:i/>
          <w:sz w:val="24"/>
        </w:rPr>
        <w:t>et al</w:t>
      </w:r>
      <w:r>
        <w:rPr>
          <w:sz w:val="24"/>
        </w:rPr>
        <w:t>., 2019)</w:t>
      </w:r>
      <w:r>
        <w:rPr>
          <w:spacing w:val="1"/>
          <w:sz w:val="24"/>
        </w:rPr>
        <w:t> </w:t>
      </w:r>
      <w:r>
        <w:rPr>
          <w:sz w:val="24"/>
        </w:rPr>
        <w:t>(Olusola </w:t>
      </w:r>
      <w:r>
        <w:rPr>
          <w:i/>
          <w:sz w:val="24"/>
        </w:rPr>
        <w:t>et al., </w:t>
      </w:r>
      <w:r>
        <w:rPr>
          <w:sz w:val="24"/>
        </w:rPr>
        <w:t>2014)</w:t>
      </w:r>
      <w:r>
        <w:rPr>
          <w:spacing w:val="1"/>
          <w:sz w:val="24"/>
        </w:rPr>
        <w:t> </w:t>
      </w:r>
      <w:r>
        <w:rPr>
          <w:sz w:val="24"/>
        </w:rPr>
        <w:t>(Salihu &amp; Suleiman 2018)</w:t>
      </w:r>
      <w:r>
        <w:rPr>
          <w:spacing w:val="-58"/>
          <w:sz w:val="24"/>
        </w:rPr>
        <w:t> </w:t>
      </w:r>
      <w:r>
        <w:rPr>
          <w:sz w:val="24"/>
        </w:rPr>
        <w:t>(Ojo</w:t>
      </w:r>
      <w:r>
        <w:rPr>
          <w:spacing w:val="-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2011)</w:t>
      </w:r>
    </w:p>
    <w:p>
      <w:pPr>
        <w:pStyle w:val="BodyText"/>
        <w:spacing w:line="275" w:lineRule="exact"/>
        <w:ind w:left="265"/>
      </w:pPr>
      <w:r>
        <w:rPr/>
        <w:t>(Adamu</w:t>
      </w:r>
      <w:r>
        <w:rPr>
          <w:spacing w:val="2"/>
        </w:rPr>
        <w:t> </w:t>
      </w:r>
      <w:r>
        <w:rPr/>
        <w:t>&amp;</w:t>
      </w:r>
      <w:r>
        <w:rPr>
          <w:spacing w:val="-4"/>
        </w:rPr>
        <w:t> </w:t>
      </w:r>
      <w:r>
        <w:rPr/>
        <w:t>Duru,</w:t>
      </w:r>
      <w:r>
        <w:rPr>
          <w:spacing w:val="-1"/>
        </w:rPr>
        <w:t> </w:t>
      </w:r>
      <w:r>
        <w:rPr/>
        <w:t>2020)</w:t>
      </w:r>
    </w:p>
    <w:p>
      <w:pPr>
        <w:spacing w:after="0" w:line="275" w:lineRule="exact"/>
        <w:sectPr>
          <w:type w:val="continuous"/>
          <w:pgSz w:w="11910" w:h="16840"/>
          <w:pgMar w:top="1360" w:bottom="1200" w:left="1680" w:right="1640"/>
          <w:cols w:num="2" w:equalWidth="0">
            <w:col w:w="3601" w:space="40"/>
            <w:col w:w="4949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Heading1"/>
        <w:numPr>
          <w:ilvl w:val="1"/>
          <w:numId w:val="13"/>
        </w:numPr>
        <w:tabs>
          <w:tab w:pos="1026" w:val="left" w:leader="none"/>
        </w:tabs>
        <w:spacing w:line="240" w:lineRule="auto" w:before="90" w:after="0"/>
        <w:ind w:left="1025" w:right="0" w:hanging="721"/>
        <w:jc w:val="both"/>
      </w:pPr>
      <w:bookmarkStart w:name="_TOC_250005" w:id="40"/>
      <w:r>
        <w:rPr/>
        <w:t>Industrial</w:t>
      </w:r>
      <w:r>
        <w:rPr>
          <w:spacing w:val="-1"/>
        </w:rPr>
        <w:t> </w:t>
      </w:r>
      <w:r>
        <w:rPr/>
        <w:t>potentials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Kutigi</w:t>
      </w:r>
      <w:r>
        <w:rPr>
          <w:spacing w:val="-4"/>
        </w:rPr>
        <w:t> </w:t>
      </w:r>
      <w:r>
        <w:rPr/>
        <w:t>clay</w:t>
      </w:r>
      <w:r>
        <w:rPr>
          <w:spacing w:val="-4"/>
        </w:rPr>
        <w:t> </w:t>
      </w:r>
      <w:bookmarkEnd w:id="40"/>
      <w:r>
        <w:rPr/>
        <w:t>deposits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05" w:right="338"/>
        <w:jc w:val="both"/>
      </w:pPr>
      <w:r>
        <w:rPr/>
        <w:t>Generally, there are no universally accepted procedure for characterization and</w:t>
      </w:r>
      <w:r>
        <w:rPr>
          <w:spacing w:val="1"/>
        </w:rPr>
        <w:t> </w:t>
      </w:r>
      <w:r>
        <w:rPr/>
        <w:t>standard industrial specifications of the desired properties of clay. There are many</w:t>
      </w:r>
      <w:r>
        <w:rPr>
          <w:spacing w:val="-57"/>
        </w:rPr>
        <w:t> </w:t>
      </w:r>
      <w:r>
        <w:rPr/>
        <w:t>different specifications outlined by purchasers for many end uses. However, some</w:t>
      </w:r>
      <w:r>
        <w:rPr>
          <w:spacing w:val="1"/>
        </w:rPr>
        <w:t> </w:t>
      </w:r>
      <w:r>
        <w:rPr/>
        <w:t>organizations with the help of industries, have established useful standards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 of the mineralogy and chemical composition of the studied clays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clays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ceramics,</w:t>
      </w:r>
      <w:r>
        <w:rPr>
          <w:spacing w:val="1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cosmetics</w:t>
      </w:r>
      <w:r>
        <w:rPr>
          <w:spacing w:val="-1"/>
        </w:rPr>
        <w:t> </w:t>
      </w:r>
      <w:r>
        <w:rPr/>
        <w:t>industries.</w:t>
      </w:r>
      <w:r>
        <w:rPr>
          <w:spacing w:val="58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shows</w:t>
      </w:r>
      <w:r>
        <w:rPr>
          <w:spacing w:val="1"/>
        </w:rPr>
        <w:t> </w:t>
      </w:r>
      <w:r>
        <w:rPr/>
        <w:t>clearly</w:t>
      </w:r>
      <w:r>
        <w:rPr>
          <w:spacing w:val="-8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studied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570" w:right="603"/>
        <w:jc w:val="center"/>
      </w:pPr>
      <w:r>
        <w:rPr/>
        <w:t>60</w:t>
      </w:r>
    </w:p>
    <w:p>
      <w:pPr>
        <w:spacing w:after="0"/>
        <w:jc w:val="center"/>
        <w:sectPr>
          <w:type w:val="continuous"/>
          <w:pgSz w:w="11910" w:h="16840"/>
          <w:pgMar w:top="1360" w:bottom="1200" w:left="1680" w:right="1640"/>
        </w:sectPr>
      </w:pPr>
    </w:p>
    <w:p>
      <w:pPr>
        <w:pStyle w:val="BodyText"/>
        <w:spacing w:line="477" w:lineRule="auto" w:before="64"/>
        <w:ind w:left="305" w:right="345"/>
        <w:jc w:val="both"/>
      </w:pPr>
      <w:r>
        <w:rPr/>
        <w:t>clays do not meet the specifications of these industries but with beneficiation the</w:t>
      </w:r>
      <w:r>
        <w:rPr>
          <w:spacing w:val="1"/>
        </w:rPr>
        <w:t> </w:t>
      </w:r>
      <w:r>
        <w:rPr/>
        <w:t>study</w:t>
      </w:r>
      <w:r>
        <w:rPr>
          <w:spacing w:val="-11"/>
        </w:rPr>
        <w:t> </w:t>
      </w:r>
      <w:r>
        <w:rPr/>
        <w:t>clay</w:t>
      </w:r>
      <w:r>
        <w:rPr>
          <w:spacing w:val="-5"/>
        </w:rPr>
        <w:t> </w:t>
      </w:r>
      <w:r>
        <w:rPr/>
        <w:t>can</w:t>
      </w:r>
      <w:r>
        <w:rPr>
          <w:spacing w:val="2"/>
        </w:rPr>
        <w:t> </w:t>
      </w:r>
      <w:r>
        <w:rPr/>
        <w:t>find use</w:t>
      </w:r>
      <w:r>
        <w:rPr>
          <w:spacing w:val="-1"/>
        </w:rPr>
        <w:t> </w:t>
      </w:r>
      <w:r>
        <w:rPr/>
        <w:t>in</w:t>
      </w:r>
      <w:r>
        <w:rPr>
          <w:spacing w:val="5"/>
        </w:rPr>
        <w:t> </w:t>
      </w:r>
      <w:r>
        <w:rPr/>
        <w:t>ceramics</w:t>
      </w:r>
      <w:r>
        <w:rPr>
          <w:spacing w:val="2"/>
        </w:rPr>
        <w:t> </w:t>
      </w:r>
      <w:r>
        <w:rPr/>
        <w:t>and paper industries</w:t>
      </w:r>
    </w:p>
    <w:p>
      <w:pPr>
        <w:pStyle w:val="Heading1"/>
        <w:numPr>
          <w:ilvl w:val="2"/>
          <w:numId w:val="13"/>
        </w:numPr>
        <w:tabs>
          <w:tab w:pos="1026" w:val="left" w:leader="none"/>
        </w:tabs>
        <w:spacing w:line="240" w:lineRule="auto" w:before="16" w:after="0"/>
        <w:ind w:left="1025" w:right="0" w:hanging="721"/>
        <w:jc w:val="both"/>
      </w:pPr>
      <w:bookmarkStart w:name="_TOC_250004" w:id="41"/>
      <w:r>
        <w:rPr/>
        <w:t>Uses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bookmarkEnd w:id="41"/>
      <w:r>
        <w:rPr/>
        <w:t>specification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BodyText"/>
        <w:spacing w:line="480" w:lineRule="auto"/>
        <w:ind w:left="305" w:right="343"/>
        <w:jc w:val="both"/>
      </w:pPr>
      <w:r>
        <w:rPr>
          <w:b/>
        </w:rPr>
        <w:t>In paper industry: </w:t>
      </w:r>
      <w:r>
        <w:rPr/>
        <w:t>Kaolin is use for coating and filling paper, as a filler, the</w:t>
      </w:r>
      <w:r>
        <w:rPr>
          <w:spacing w:val="1"/>
        </w:rPr>
        <w:t> </w:t>
      </w:r>
      <w:r>
        <w:rPr/>
        <w:t>Kaolin is mixed with the cellulose fibres in wood pulp. As coating, the Kaolin is</w:t>
      </w:r>
      <w:r>
        <w:rPr>
          <w:spacing w:val="1"/>
        </w:rPr>
        <w:t> </w:t>
      </w:r>
      <w:r>
        <w:rPr/>
        <w:t>mixed with water, adhesives and various additives and coated onto the surface of</w:t>
      </w:r>
      <w:r>
        <w:rPr>
          <w:spacing w:val="1"/>
        </w:rPr>
        <w:t> </w:t>
      </w:r>
      <w:r>
        <w:rPr/>
        <w:t>the paper. This makes the paper sheet smoother, brighter, glossier, more opaque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improves the printability</w:t>
      </w:r>
      <w:r>
        <w:rPr>
          <w:spacing w:val="-10"/>
        </w:rPr>
        <w:t> </w:t>
      </w:r>
      <w:r>
        <w:rPr/>
        <w:t>(Murray, 2006).</w:t>
      </w:r>
    </w:p>
    <w:p>
      <w:pPr>
        <w:pStyle w:val="BodyText"/>
        <w:spacing w:line="480" w:lineRule="auto" w:before="3"/>
        <w:ind w:left="305" w:right="336"/>
        <w:jc w:val="both"/>
      </w:pPr>
      <w:r>
        <w:rPr>
          <w:b/>
        </w:rPr>
        <w:t>Coating: </w:t>
      </w:r>
      <w:r>
        <w:rPr/>
        <w:t>Clay is</w:t>
      </w:r>
      <w:r>
        <w:rPr>
          <w:spacing w:val="1"/>
        </w:rPr>
        <w:t> </w:t>
      </w:r>
      <w:r>
        <w:rPr/>
        <w:t>used as a coating material</w:t>
      </w:r>
      <w:r>
        <w:rPr>
          <w:spacing w:val="60"/>
        </w:rPr>
        <w:t> </w:t>
      </w:r>
      <w:r>
        <w:rPr/>
        <w:t>in high quality white paper to make</w:t>
      </w:r>
      <w:r>
        <w:rPr>
          <w:spacing w:val="1"/>
        </w:rPr>
        <w:t> </w:t>
      </w:r>
      <w:r>
        <w:rPr/>
        <w:t>the surface glazed. It is obvious that clay should be as white as possible.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imparts color and hence is objectionable. Grit is highly objectionable as it will</w:t>
      </w:r>
      <w:r>
        <w:rPr>
          <w:spacing w:val="1"/>
          <w:vertAlign w:val="baseline"/>
        </w:rPr>
        <w:t> </w:t>
      </w:r>
      <w:r>
        <w:rPr>
          <w:vertAlign w:val="baseline"/>
        </w:rPr>
        <w:t>spoil the smoothness of the surface of the paper. CaO will absorb water and will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in crumbling of clayey ingredient of the finished paper on exposure to air.</w:t>
      </w:r>
      <w:r>
        <w:rPr>
          <w:spacing w:val="1"/>
          <w:vertAlign w:val="baseline"/>
        </w:rPr>
        <w:t> </w:t>
      </w:r>
      <w:r>
        <w:rPr>
          <w:vertAlign w:val="baseline"/>
        </w:rPr>
        <w:t>So, both are objectionable. Grain size should be ultra-fine (for very high quality</w:t>
      </w:r>
      <w:r>
        <w:rPr>
          <w:spacing w:val="1"/>
          <w:vertAlign w:val="baseline"/>
        </w:rPr>
        <w:t> </w:t>
      </w:r>
      <w:r>
        <w:rPr>
          <w:vertAlign w:val="baseline"/>
        </w:rPr>
        <w:t>paper below 2 micron size is preferable), and more important is the uniformity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size, because, otherwise, surface of the paper will not be smooth. Besides, fine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particles provide a very large surface area which facilitates retention of the clay</w:t>
      </w:r>
      <w:r>
        <w:rPr>
          <w:spacing w:val="1"/>
          <w:vertAlign w:val="baseline"/>
        </w:rPr>
        <w:t> </w:t>
      </w:r>
      <w:r>
        <w:rPr>
          <w:vertAlign w:val="baseline"/>
        </w:rPr>
        <w:t>(the ratio of the clay added during manufacture to the clay which remains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finished</w:t>
      </w:r>
      <w:r>
        <w:rPr>
          <w:spacing w:val="-1"/>
          <w:vertAlign w:val="baseline"/>
        </w:rPr>
        <w:t> </w:t>
      </w:r>
      <w:r>
        <w:rPr>
          <w:vertAlign w:val="baseline"/>
        </w:rPr>
        <w:t>paper).</w:t>
      </w:r>
    </w:p>
    <w:p>
      <w:pPr>
        <w:pStyle w:val="BodyText"/>
        <w:spacing w:line="480" w:lineRule="auto" w:before="2"/>
        <w:ind w:left="305" w:right="340"/>
        <w:jc w:val="both"/>
      </w:pPr>
      <w:r>
        <w:rPr/>
        <w:t>The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content (35.44%) of Kutigi clay deposit is low as compared to the 37–</w:t>
      </w:r>
      <w:r>
        <w:rPr>
          <w:spacing w:val="1"/>
          <w:vertAlign w:val="baseline"/>
        </w:rPr>
        <w:t> </w:t>
      </w:r>
      <w:r>
        <w:rPr>
          <w:vertAlign w:val="baseline"/>
        </w:rPr>
        <w:t>38%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TiO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fall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specification range (Table 4.6). The Xray diffraction patterns show the</w:t>
      </w:r>
      <w:r>
        <w:rPr>
          <w:spacing w:val="60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low kaolinite with high percentage of quartz.</w:t>
      </w:r>
      <w:r>
        <w:rPr>
          <w:spacing w:val="60"/>
          <w:vertAlign w:val="baseline"/>
        </w:rPr>
        <w:t> </w:t>
      </w:r>
      <w:r>
        <w:rPr>
          <w:vertAlign w:val="baseline"/>
        </w:rPr>
        <w:t>Montmorillonite is not present;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study clay will required the removal of quartz for its usefulness in publication-</w:t>
      </w:r>
      <w:r>
        <w:rPr>
          <w:spacing w:val="-57"/>
          <w:vertAlign w:val="baseline"/>
        </w:rPr>
        <w:t> </w:t>
      </w:r>
      <w:r>
        <w:rPr>
          <w:vertAlign w:val="baseline"/>
        </w:rPr>
        <w:t>grade</w:t>
      </w:r>
      <w:r>
        <w:rPr>
          <w:spacing w:val="-2"/>
          <w:vertAlign w:val="baseline"/>
        </w:rPr>
        <w:t> </w:t>
      </w:r>
      <w:r>
        <w:rPr>
          <w:vertAlign w:val="baseline"/>
        </w:rPr>
        <w:t>paper.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before="1"/>
        <w:ind w:left="570" w:right="603"/>
        <w:jc w:val="center"/>
      </w:pPr>
      <w:r>
        <w:rPr/>
        <w:t>61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Heading1"/>
        <w:ind w:left="147" w:right="603" w:firstLine="0"/>
        <w:jc w:val="center"/>
      </w:pPr>
      <w:r>
        <w:rPr/>
        <w:t>Table</w:t>
      </w:r>
      <w:r>
        <w:rPr>
          <w:spacing w:val="-3"/>
        </w:rPr>
        <w:t> </w:t>
      </w:r>
      <w:r>
        <w:rPr/>
        <w:t>4.6:</w:t>
      </w:r>
      <w:r>
        <w:rPr>
          <w:spacing w:val="-4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Paper</w:t>
      </w:r>
      <w:r>
        <w:rPr>
          <w:spacing w:val="-4"/>
        </w:rPr>
        <w:t> </w:t>
      </w:r>
      <w:r>
        <w:rPr/>
        <w:t>Coating</w:t>
      </w:r>
    </w:p>
    <w:p>
      <w:pPr>
        <w:tabs>
          <w:tab w:pos="1954" w:val="left" w:leader="none"/>
          <w:tab w:pos="6238" w:val="left" w:leader="none"/>
        </w:tabs>
        <w:spacing w:before="0"/>
        <w:ind w:left="0" w:right="603" w:firstLine="0"/>
        <w:jc w:val="center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(Siddiqui</w:t>
      </w:r>
      <w:r>
        <w:rPr>
          <w:b/>
          <w:spacing w:val="-1"/>
          <w:sz w:val="24"/>
          <w:u w:val="single"/>
        </w:rPr>
        <w:t> </w:t>
      </w:r>
      <w:r>
        <w:rPr>
          <w:b/>
          <w:i/>
          <w:sz w:val="24"/>
          <w:u w:val="single"/>
        </w:rPr>
        <w:t>et</w:t>
      </w:r>
      <w:r>
        <w:rPr>
          <w:b/>
          <w:i/>
          <w:spacing w:val="-2"/>
          <w:sz w:val="24"/>
          <w:u w:val="single"/>
        </w:rPr>
        <w:t> </w:t>
      </w:r>
      <w:r>
        <w:rPr>
          <w:b/>
          <w:i/>
          <w:sz w:val="24"/>
          <w:u w:val="single"/>
        </w:rPr>
        <w:t>al.,</w:t>
      </w:r>
      <w:r>
        <w:rPr>
          <w:b/>
          <w:i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2005)</w:t>
        <w:tab/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0"/>
        </w:rPr>
      </w:pPr>
    </w:p>
    <w:tbl>
      <w:tblPr>
        <w:tblW w:w="0" w:type="auto"/>
        <w:jc w:val="left"/>
        <w:tblInd w:w="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1158"/>
        <w:gridCol w:w="1464"/>
        <w:gridCol w:w="1850"/>
      </w:tblGrid>
      <w:tr>
        <w:trPr>
          <w:trHeight w:val="1100" w:hRule="atLeast"/>
        </w:trPr>
        <w:tc>
          <w:tcPr>
            <w:tcW w:w="17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116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Chemical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13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11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27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  <w:tc>
          <w:tcPr>
            <w:tcW w:w="14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4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Coating</w:t>
            </w:r>
          </w:p>
        </w:tc>
        <w:tc>
          <w:tcPr>
            <w:tcW w:w="18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exact"/>
              <w:ind w:left="267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412" w:hRule="atLeast"/>
        </w:trPr>
        <w:tc>
          <w:tcPr>
            <w:tcW w:w="17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116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SiO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1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6" w:lineRule="exact"/>
              <w:ind w:left="214" w:right="364"/>
              <w:rPr>
                <w:sz w:val="24"/>
              </w:rPr>
            </w:pPr>
            <w:r>
              <w:rPr>
                <w:sz w:val="24"/>
              </w:rPr>
              <w:t>46.82</w:t>
            </w:r>
          </w:p>
        </w:tc>
        <w:tc>
          <w:tcPr>
            <w:tcW w:w="14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1" w:lineRule="exact"/>
              <w:ind w:left="343" w:right="279"/>
              <w:rPr>
                <w:sz w:val="24"/>
              </w:rPr>
            </w:pPr>
            <w:r>
              <w:rPr>
                <w:sz w:val="24"/>
              </w:rPr>
              <w:t>45 – 49</w:t>
            </w:r>
          </w:p>
        </w:tc>
        <w:tc>
          <w:tcPr>
            <w:tcW w:w="1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1" w:lineRule="exact"/>
              <w:ind w:left="276" w:right="124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45" w:hRule="atLeast"/>
        </w:trPr>
        <w:tc>
          <w:tcPr>
            <w:tcW w:w="1765" w:type="dxa"/>
          </w:tcPr>
          <w:p>
            <w:pPr>
              <w:pStyle w:val="TableParagraph"/>
              <w:spacing w:before="122"/>
              <w:ind w:left="116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Al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158" w:type="dxa"/>
          </w:tcPr>
          <w:p>
            <w:pPr>
              <w:pStyle w:val="TableParagraph"/>
              <w:spacing w:before="122"/>
              <w:ind w:left="214" w:right="364"/>
              <w:rPr>
                <w:sz w:val="24"/>
              </w:rPr>
            </w:pPr>
            <w:r>
              <w:rPr>
                <w:sz w:val="24"/>
              </w:rPr>
              <w:t>35.44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4"/>
              <w:ind w:left="343" w:right="279"/>
              <w:rPr>
                <w:sz w:val="24"/>
              </w:rPr>
            </w:pPr>
            <w:r>
              <w:rPr>
                <w:sz w:val="24"/>
              </w:rPr>
              <w:t>36 – 38</w:t>
            </w:r>
          </w:p>
        </w:tc>
        <w:tc>
          <w:tcPr>
            <w:tcW w:w="1850" w:type="dxa"/>
          </w:tcPr>
          <w:p>
            <w:pPr>
              <w:pStyle w:val="TableParagraph"/>
              <w:spacing w:before="124"/>
              <w:ind w:left="276" w:right="127"/>
              <w:rPr>
                <w:sz w:val="24"/>
              </w:rPr>
            </w:pPr>
            <w:r>
              <w:rPr>
                <w:sz w:val="24"/>
              </w:rPr>
              <w:t>Slightl deviant</w:t>
            </w:r>
          </w:p>
        </w:tc>
      </w:tr>
      <w:tr>
        <w:trPr>
          <w:trHeight w:val="546" w:hRule="atLeast"/>
        </w:trPr>
        <w:tc>
          <w:tcPr>
            <w:tcW w:w="1765" w:type="dxa"/>
          </w:tcPr>
          <w:p>
            <w:pPr>
              <w:pStyle w:val="TableParagraph"/>
              <w:spacing w:before="123"/>
              <w:ind w:left="116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158" w:type="dxa"/>
          </w:tcPr>
          <w:p>
            <w:pPr>
              <w:pStyle w:val="TableParagraph"/>
              <w:spacing w:before="123"/>
              <w:ind w:left="214" w:right="364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0"/>
              <w:ind w:left="343" w:right="279"/>
              <w:rPr>
                <w:sz w:val="24"/>
              </w:rPr>
            </w:pPr>
            <w:r>
              <w:rPr>
                <w:sz w:val="24"/>
              </w:rPr>
              <w:t>0.5-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1.0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0"/>
              <w:ind w:left="276" w:right="124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46" w:hRule="atLeast"/>
        </w:trPr>
        <w:tc>
          <w:tcPr>
            <w:tcW w:w="1765" w:type="dxa"/>
          </w:tcPr>
          <w:p>
            <w:pPr>
              <w:pStyle w:val="TableParagraph"/>
              <w:spacing w:before="122"/>
              <w:ind w:left="11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</w:p>
        </w:tc>
        <w:tc>
          <w:tcPr>
            <w:tcW w:w="1158" w:type="dxa"/>
          </w:tcPr>
          <w:p>
            <w:pPr>
              <w:pStyle w:val="TableParagraph"/>
              <w:spacing w:before="122"/>
              <w:ind w:left="214" w:right="364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7"/>
              <w:ind w:left="346" w:right="279"/>
              <w:rPr>
                <w:sz w:val="24"/>
              </w:rPr>
            </w:pPr>
            <w:r>
              <w:rPr>
                <w:sz w:val="24"/>
              </w:rPr>
              <w:t>0.5 -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</w:t>
            </w:r>
          </w:p>
        </w:tc>
        <w:tc>
          <w:tcPr>
            <w:tcW w:w="1850" w:type="dxa"/>
          </w:tcPr>
          <w:p>
            <w:pPr>
              <w:pStyle w:val="TableParagraph"/>
              <w:spacing w:before="137"/>
              <w:ind w:left="276" w:right="124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56" w:hRule="atLeast"/>
        </w:trPr>
        <w:tc>
          <w:tcPr>
            <w:tcW w:w="1765" w:type="dxa"/>
          </w:tcPr>
          <w:p>
            <w:pPr>
              <w:pStyle w:val="TableParagraph"/>
              <w:spacing w:before="123"/>
              <w:ind w:left="116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TiO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158" w:type="dxa"/>
          </w:tcPr>
          <w:p>
            <w:pPr>
              <w:pStyle w:val="TableParagraph"/>
              <w:spacing w:before="123"/>
              <w:ind w:left="214" w:right="364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464" w:type="dxa"/>
          </w:tcPr>
          <w:p>
            <w:pPr>
              <w:pStyle w:val="TableParagraph"/>
              <w:spacing w:before="142"/>
              <w:ind w:left="346" w:right="279"/>
              <w:rPr>
                <w:sz w:val="24"/>
              </w:rPr>
            </w:pPr>
            <w:r>
              <w:rPr>
                <w:sz w:val="24"/>
              </w:rPr>
              <w:t>0.5 -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1.3</w:t>
            </w:r>
          </w:p>
        </w:tc>
        <w:tc>
          <w:tcPr>
            <w:tcW w:w="1850" w:type="dxa"/>
          </w:tcPr>
          <w:p>
            <w:pPr>
              <w:pStyle w:val="TableParagraph"/>
              <w:spacing w:before="142"/>
              <w:ind w:left="276" w:right="124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47" w:hRule="atLeast"/>
        </w:trPr>
        <w:tc>
          <w:tcPr>
            <w:tcW w:w="1765" w:type="dxa"/>
          </w:tcPr>
          <w:p>
            <w:pPr>
              <w:pStyle w:val="TableParagraph"/>
              <w:spacing w:before="128"/>
              <w:ind w:left="116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Mineralogical</w:t>
            </w:r>
          </w:p>
        </w:tc>
        <w:tc>
          <w:tcPr>
            <w:tcW w:w="115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47" w:hRule="atLeast"/>
        </w:trPr>
        <w:tc>
          <w:tcPr>
            <w:tcW w:w="1765" w:type="dxa"/>
          </w:tcPr>
          <w:p>
            <w:pPr>
              <w:pStyle w:val="TableParagraph"/>
              <w:spacing w:before="133"/>
              <w:ind w:left="113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115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5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44" w:hRule="atLeast"/>
        </w:trPr>
        <w:tc>
          <w:tcPr>
            <w:tcW w:w="1765" w:type="dxa"/>
          </w:tcPr>
          <w:p>
            <w:pPr>
              <w:pStyle w:val="TableParagraph"/>
              <w:spacing w:before="128"/>
              <w:ind w:left="116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Kaolinite</w:t>
            </w:r>
          </w:p>
        </w:tc>
        <w:tc>
          <w:tcPr>
            <w:tcW w:w="1158" w:type="dxa"/>
          </w:tcPr>
          <w:p>
            <w:pPr>
              <w:pStyle w:val="TableParagraph"/>
              <w:spacing w:before="128"/>
              <w:ind w:left="214" w:right="364"/>
              <w:rPr>
                <w:sz w:val="24"/>
              </w:rPr>
            </w:pPr>
            <w:r>
              <w:rPr>
                <w:sz w:val="24"/>
              </w:rPr>
              <w:t>32.52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8"/>
              <w:ind w:left="343" w:right="279"/>
              <w:rPr>
                <w:sz w:val="24"/>
              </w:rPr>
            </w:pPr>
            <w:r>
              <w:rPr>
                <w:sz w:val="24"/>
              </w:rPr>
              <w:t>93 – 99</w:t>
            </w:r>
          </w:p>
        </w:tc>
        <w:tc>
          <w:tcPr>
            <w:tcW w:w="1850" w:type="dxa"/>
          </w:tcPr>
          <w:p>
            <w:pPr>
              <w:pStyle w:val="TableParagraph"/>
              <w:spacing w:before="128"/>
              <w:ind w:left="276" w:right="127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49" w:hRule="atLeast"/>
        </w:trPr>
        <w:tc>
          <w:tcPr>
            <w:tcW w:w="1765" w:type="dxa"/>
          </w:tcPr>
          <w:p>
            <w:pPr>
              <w:pStyle w:val="TableParagraph"/>
              <w:spacing w:before="130"/>
              <w:ind w:left="116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Quartz</w:t>
            </w:r>
          </w:p>
        </w:tc>
        <w:tc>
          <w:tcPr>
            <w:tcW w:w="1158" w:type="dxa"/>
          </w:tcPr>
          <w:p>
            <w:pPr>
              <w:pStyle w:val="TableParagraph"/>
              <w:spacing w:before="130"/>
              <w:ind w:left="214" w:right="364"/>
              <w:rPr>
                <w:sz w:val="24"/>
              </w:rPr>
            </w:pPr>
            <w:r>
              <w:rPr>
                <w:sz w:val="24"/>
              </w:rPr>
              <w:t>49.98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5"/>
              <w:ind w:left="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1765" w:type="dxa"/>
          </w:tcPr>
          <w:p>
            <w:pPr>
              <w:pStyle w:val="TableParagraph"/>
              <w:spacing w:line="266" w:lineRule="exact" w:before="128"/>
              <w:ind w:left="114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IIIite/Mica</w:t>
            </w:r>
          </w:p>
        </w:tc>
        <w:tc>
          <w:tcPr>
            <w:tcW w:w="1158" w:type="dxa"/>
          </w:tcPr>
          <w:p>
            <w:pPr>
              <w:pStyle w:val="TableParagraph"/>
              <w:spacing w:line="266" w:lineRule="exact" w:before="128"/>
              <w:ind w:left="214" w:right="364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464" w:type="dxa"/>
          </w:tcPr>
          <w:p>
            <w:pPr>
              <w:pStyle w:val="TableParagraph"/>
              <w:spacing w:line="256" w:lineRule="exact" w:before="138"/>
              <w:ind w:left="343" w:right="27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-10</w:t>
            </w:r>
          </w:p>
        </w:tc>
        <w:tc>
          <w:tcPr>
            <w:tcW w:w="1850" w:type="dxa"/>
          </w:tcPr>
          <w:p>
            <w:pPr>
              <w:pStyle w:val="TableParagraph"/>
              <w:spacing w:line="256" w:lineRule="exact" w:before="138"/>
              <w:ind w:left="276" w:right="124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</w:tbl>
    <w:p>
      <w:pPr>
        <w:pStyle w:val="BodyText"/>
        <w:spacing w:before="10"/>
        <w:rPr>
          <w:b/>
          <w:sz w:val="22"/>
        </w:rPr>
      </w:pPr>
      <w:r>
        <w:rPr/>
        <w:pict>
          <v:group style="position:absolute;margin-left:126.849998pt;margin-top:15.604297pt;width:312.650pt;height:1pt;mso-position-horizontal-relative:page;mso-position-vertical-relative:paragraph;z-index:-15706112;mso-wrap-distance-left:0;mso-wrap-distance-right:0" coordorigin="2537,312" coordsize="6253,20">
            <v:line style="position:absolute" from="2537,322" to="4253,322" stroked="true" strokeweight=".95992pt" strokecolor="#000000">
              <v:stroke dashstyle="solid"/>
            </v:line>
            <v:line style="position:absolute" from="4239,322" to="4258,322" stroked="true" strokeweight=".96pt" strokecolor="#000000">
              <v:stroke dashstyle="solid"/>
            </v:line>
            <v:line style="position:absolute" from="4258,322" to="5389,322" stroked="true" strokeweight=".95992pt" strokecolor="#000000">
              <v:stroke dashstyle="solid"/>
            </v:line>
            <v:line style="position:absolute" from="5375,322" to="5394,322" stroked="true" strokeweight=".96pt" strokecolor="#000000">
              <v:stroke dashstyle="solid"/>
            </v:line>
            <v:line style="position:absolute" from="5394,322" to="7088,322" stroked="true" strokeweight=".95992pt" strokecolor="#000000">
              <v:stroke dashstyle="solid"/>
            </v:line>
            <v:line style="position:absolute" from="7074,322" to="7093,322" stroked="true" strokeweight=".96pt" strokecolor="#000000">
              <v:stroke dashstyle="solid"/>
            </v:line>
            <v:line style="position:absolute" from="7093,322" to="8790,322" stroked="true" strokeweight=".95992pt" strokecolor="#000000">
              <v:stroke dashstyle="solid"/>
            </v:lin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305" w:right="350"/>
        <w:jc w:val="both"/>
      </w:pPr>
      <w:r>
        <w:rPr>
          <w:b/>
        </w:rPr>
        <w:t>Filler: </w:t>
      </w:r>
      <w:r>
        <w:rPr/>
        <w:t>It is used in varieties of papers, cardboards, hard boards to impart evenness</w:t>
      </w:r>
      <w:r>
        <w:rPr>
          <w:spacing w:val="-57"/>
        </w:rPr>
        <w:t> </w:t>
      </w:r>
      <w:r>
        <w:rPr/>
        <w:t>to the surface by occupying the interstices between cellulose fibers. Particle size is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critical</w:t>
      </w:r>
      <w:r>
        <w:rPr>
          <w:spacing w:val="-1"/>
        </w:rPr>
        <w:t> </w:t>
      </w:r>
      <w:r>
        <w:rPr/>
        <w:t>parameter coloring</w:t>
      </w:r>
      <w:r>
        <w:rPr>
          <w:spacing w:val="-3"/>
        </w:rPr>
        <w:t> </w:t>
      </w:r>
      <w:r>
        <w:rPr/>
        <w:t>matters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also undesirable</w:t>
      </w:r>
    </w:p>
    <w:p>
      <w:pPr>
        <w:pStyle w:val="BodyText"/>
        <w:spacing w:line="480" w:lineRule="auto"/>
        <w:ind w:left="305" w:right="337"/>
        <w:jc w:val="both"/>
      </w:pPr>
      <w:r>
        <w:rPr/>
        <w:t>The</w:t>
      </w:r>
      <w:r>
        <w:rPr>
          <w:spacing w:val="16"/>
        </w:rPr>
        <w:t> </w:t>
      </w:r>
      <w:r>
        <w:rPr/>
        <w:t>SiO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19"/>
          <w:vertAlign w:val="baseline"/>
        </w:rPr>
        <w:t> </w:t>
      </w:r>
      <w:r>
        <w:rPr>
          <w:vertAlign w:val="baseline"/>
        </w:rPr>
        <w:t>(46.82%)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8"/>
          <w:vertAlign w:val="baseline"/>
        </w:rPr>
        <w:t> </w:t>
      </w:r>
      <w:r>
        <w:rPr>
          <w:vertAlign w:val="baseline"/>
        </w:rPr>
        <w:t>Kutigi</w:t>
      </w:r>
      <w:r>
        <w:rPr>
          <w:spacing w:val="19"/>
          <w:vertAlign w:val="baseline"/>
        </w:rPr>
        <w:t> </w:t>
      </w:r>
      <w:r>
        <w:rPr>
          <w:vertAlign w:val="baseline"/>
        </w:rPr>
        <w:t>clay</w:t>
      </w:r>
      <w:r>
        <w:rPr>
          <w:spacing w:val="9"/>
          <w:vertAlign w:val="baseline"/>
        </w:rPr>
        <w:t> </w:t>
      </w:r>
      <w:r>
        <w:rPr>
          <w:vertAlign w:val="baseline"/>
        </w:rPr>
        <w:t>deposit</w:t>
      </w:r>
      <w:r>
        <w:rPr>
          <w:spacing w:val="19"/>
          <w:vertAlign w:val="baseline"/>
        </w:rPr>
        <w:t> </w:t>
      </w:r>
      <w:r>
        <w:rPr>
          <w:vertAlign w:val="baseline"/>
        </w:rPr>
        <w:t>is</w:t>
      </w:r>
      <w:r>
        <w:rPr>
          <w:spacing w:val="19"/>
          <w:vertAlign w:val="baseline"/>
        </w:rPr>
        <w:t> </w:t>
      </w:r>
      <w:r>
        <w:rPr>
          <w:vertAlign w:val="baseline"/>
        </w:rPr>
        <w:t>in</w:t>
      </w:r>
      <w:r>
        <w:rPr>
          <w:spacing w:val="19"/>
          <w:vertAlign w:val="baseline"/>
        </w:rPr>
        <w:t> </w:t>
      </w:r>
      <w:r>
        <w:rPr>
          <w:vertAlign w:val="baseline"/>
        </w:rPr>
        <w:t>range</w:t>
      </w:r>
      <w:r>
        <w:rPr>
          <w:spacing w:val="18"/>
          <w:vertAlign w:val="baseline"/>
        </w:rPr>
        <w:t> </w:t>
      </w:r>
      <w:r>
        <w:rPr>
          <w:vertAlign w:val="baseline"/>
        </w:rPr>
        <w:t>as</w:t>
      </w:r>
      <w:r>
        <w:rPr>
          <w:spacing w:val="19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46 - 48% SiO</w:t>
      </w:r>
      <w:r>
        <w:rPr>
          <w:vertAlign w:val="subscript"/>
        </w:rPr>
        <w:t>2</w:t>
      </w:r>
      <w:r>
        <w:rPr>
          <w:vertAlign w:val="baseline"/>
        </w:rPr>
        <w:t> content specification.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content (35.44%) of Kutigi kaolin is</w:t>
      </w:r>
      <w:r>
        <w:rPr>
          <w:spacing w:val="1"/>
          <w:vertAlign w:val="baseline"/>
        </w:rPr>
        <w:t> </w:t>
      </w:r>
      <w:r>
        <w:rPr>
          <w:vertAlign w:val="baseline"/>
        </w:rPr>
        <w:t>low as compared to the 37–38%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content specification.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3,</w:t>
      </w:r>
      <w:r>
        <w:rPr>
          <w:vertAlign w:val="baseline"/>
        </w:rPr>
        <w:t> K</w:t>
      </w:r>
      <w:r>
        <w:rPr>
          <w:vertAlign w:val="subscript"/>
        </w:rPr>
        <w:t>2</w:t>
      </w:r>
      <w:r>
        <w:rPr>
          <w:vertAlign w:val="baseline"/>
        </w:rPr>
        <w:t>O and TiO</w:t>
      </w:r>
      <w:r>
        <w:rPr>
          <w:vertAlign w:val="sub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values fall within the specification range (Table 4.7). The mineralogy content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Kutigi clay show the presence of dominant kaolinite content of 32.52% much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0"/>
          <w:vertAlign w:val="baseline"/>
        </w:rPr>
        <w:t> </w:t>
      </w:r>
      <w:r>
        <w:rPr>
          <w:vertAlign w:val="baseline"/>
        </w:rPr>
        <w:t>than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17"/>
          <w:vertAlign w:val="baseline"/>
        </w:rPr>
        <w:t> </w:t>
      </w:r>
      <w:r>
        <w:rPr>
          <w:vertAlign w:val="baseline"/>
        </w:rPr>
        <w:t>specification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90-95%.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vertAlign w:val="baseline"/>
        </w:rPr>
        <w:t>Quartz</w:t>
      </w:r>
      <w:r>
        <w:rPr>
          <w:spacing w:val="15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higher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570" w:right="603"/>
        <w:jc w:val="center"/>
      </w:pPr>
      <w:r>
        <w:rPr/>
        <w:t>62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477" w:lineRule="auto" w:before="64"/>
        <w:ind w:left="305" w:right="346"/>
        <w:jc w:val="both"/>
      </w:pPr>
      <w:r>
        <w:rPr/>
        <w:t>content compared to specification makes it undesirable for paper filler industry. It</w:t>
      </w:r>
      <w:r>
        <w:rPr>
          <w:spacing w:val="1"/>
        </w:rPr>
        <w:t> </w:t>
      </w:r>
      <w:r>
        <w:rPr/>
        <w:t>will require</w:t>
      </w:r>
      <w:r>
        <w:rPr>
          <w:spacing w:val="-3"/>
        </w:rPr>
        <w:t> </w:t>
      </w:r>
      <w:r>
        <w:rPr/>
        <w:t>the removal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quartz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its</w:t>
      </w:r>
      <w:r>
        <w:rPr>
          <w:spacing w:val="2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paper</w:t>
      </w:r>
      <w:r>
        <w:rPr>
          <w:spacing w:val="1"/>
        </w:rPr>
        <w:t> </w:t>
      </w:r>
      <w:r>
        <w:rPr/>
        <w:t>filler</w:t>
      </w:r>
      <w:r>
        <w:rPr>
          <w:spacing w:val="-2"/>
        </w:rPr>
        <w:t> </w:t>
      </w:r>
      <w:r>
        <w:rPr/>
        <w:t>industry.</w:t>
      </w:r>
    </w:p>
    <w:p>
      <w:pPr>
        <w:pStyle w:val="Heading1"/>
        <w:spacing w:before="16"/>
        <w:ind w:left="485" w:firstLine="0"/>
        <w:jc w:val="left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-5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paper</w:t>
      </w:r>
      <w:r>
        <w:rPr>
          <w:spacing w:val="-4"/>
        </w:rPr>
        <w:t> </w:t>
      </w:r>
      <w:r>
        <w:rPr/>
        <w:t>filler</w:t>
      </w:r>
      <w:r>
        <w:rPr>
          <w:spacing w:val="-1"/>
        </w:rPr>
        <w:t> </w:t>
      </w:r>
      <w:r>
        <w:rPr/>
        <w:t>(Siddiqui</w:t>
      </w:r>
      <w:r>
        <w:rPr>
          <w:spacing w:val="-2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2"/>
        </w:rPr>
        <w:t> </w:t>
      </w:r>
      <w:r>
        <w:rPr/>
        <w:t>2005)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806"/>
        <w:gridCol w:w="1869"/>
        <w:gridCol w:w="1741"/>
      </w:tblGrid>
      <w:tr>
        <w:trPr>
          <w:trHeight w:val="1102" w:hRule="atLeast"/>
        </w:trPr>
        <w:tc>
          <w:tcPr>
            <w:tcW w:w="195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/>
              <w:ind w:left="186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Chemical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80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18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/>
              <w:ind w:left="303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</w:tc>
        <w:tc>
          <w:tcPr>
            <w:tcW w:w="18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/>
              <w:ind w:left="354" w:right="243"/>
              <w:rPr>
                <w:b/>
                <w:sz w:val="24"/>
              </w:rPr>
            </w:pPr>
            <w:r>
              <w:rPr>
                <w:b/>
                <w:sz w:val="24"/>
              </w:rPr>
              <w:t>Paper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Filler</w:t>
            </w:r>
          </w:p>
        </w:tc>
        <w:tc>
          <w:tcPr>
            <w:tcW w:w="17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7" w:lineRule="exact"/>
              <w:ind w:left="234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411" w:hRule="atLeast"/>
        </w:trPr>
        <w:tc>
          <w:tcPr>
            <w:tcW w:w="195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188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SiO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8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303" w:right="343"/>
              <w:rPr>
                <w:sz w:val="24"/>
              </w:rPr>
            </w:pPr>
            <w:r>
              <w:rPr>
                <w:sz w:val="24"/>
              </w:rPr>
              <w:t>46.82</w:t>
            </w:r>
          </w:p>
        </w:tc>
        <w:tc>
          <w:tcPr>
            <w:tcW w:w="18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354" w:right="243"/>
              <w:rPr>
                <w:sz w:val="24"/>
              </w:rPr>
            </w:pPr>
            <w:r>
              <w:rPr>
                <w:sz w:val="24"/>
              </w:rPr>
              <w:t>46 – 48</w:t>
            </w:r>
          </w:p>
        </w:tc>
        <w:tc>
          <w:tcPr>
            <w:tcW w:w="17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241" w:right="19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46" w:hRule="atLeast"/>
        </w:trPr>
        <w:tc>
          <w:tcPr>
            <w:tcW w:w="1955" w:type="dxa"/>
          </w:tcPr>
          <w:p>
            <w:pPr>
              <w:pStyle w:val="TableParagraph"/>
              <w:spacing w:before="122"/>
              <w:ind w:left="188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Al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806" w:type="dxa"/>
          </w:tcPr>
          <w:p>
            <w:pPr>
              <w:pStyle w:val="TableParagraph"/>
              <w:spacing w:before="122"/>
              <w:ind w:left="303" w:right="343"/>
              <w:rPr>
                <w:sz w:val="24"/>
              </w:rPr>
            </w:pPr>
            <w:r>
              <w:rPr>
                <w:sz w:val="24"/>
              </w:rPr>
              <w:t>35.44</w:t>
            </w:r>
          </w:p>
        </w:tc>
        <w:tc>
          <w:tcPr>
            <w:tcW w:w="1869" w:type="dxa"/>
          </w:tcPr>
          <w:p>
            <w:pPr>
              <w:pStyle w:val="TableParagraph"/>
              <w:spacing w:before="124"/>
              <w:ind w:left="354" w:right="243"/>
              <w:rPr>
                <w:sz w:val="24"/>
              </w:rPr>
            </w:pPr>
            <w:r>
              <w:rPr>
                <w:sz w:val="24"/>
              </w:rPr>
              <w:t>37 – 38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4"/>
              <w:ind w:left="238" w:right="195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46" w:hRule="atLeast"/>
        </w:trPr>
        <w:tc>
          <w:tcPr>
            <w:tcW w:w="1955" w:type="dxa"/>
          </w:tcPr>
          <w:p>
            <w:pPr>
              <w:pStyle w:val="TableParagraph"/>
              <w:spacing w:before="123"/>
              <w:ind w:left="188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806" w:type="dxa"/>
          </w:tcPr>
          <w:p>
            <w:pPr>
              <w:pStyle w:val="TableParagraph"/>
              <w:spacing w:before="123"/>
              <w:ind w:left="303" w:right="343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869" w:type="dxa"/>
          </w:tcPr>
          <w:p>
            <w:pPr>
              <w:pStyle w:val="TableParagraph"/>
              <w:spacing w:before="131"/>
              <w:ind w:left="354" w:right="243"/>
              <w:rPr>
                <w:sz w:val="24"/>
              </w:rPr>
            </w:pPr>
            <w:r>
              <w:rPr>
                <w:sz w:val="24"/>
              </w:rPr>
              <w:t>0.5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-1.0</w:t>
            </w:r>
          </w:p>
        </w:tc>
        <w:tc>
          <w:tcPr>
            <w:tcW w:w="1741" w:type="dxa"/>
          </w:tcPr>
          <w:p>
            <w:pPr>
              <w:pStyle w:val="TableParagraph"/>
              <w:spacing w:before="131"/>
              <w:ind w:left="241" w:right="19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44" w:hRule="atLeast"/>
        </w:trPr>
        <w:tc>
          <w:tcPr>
            <w:tcW w:w="1955" w:type="dxa"/>
          </w:tcPr>
          <w:p>
            <w:pPr>
              <w:pStyle w:val="TableParagraph"/>
              <w:spacing w:before="122"/>
              <w:ind w:left="188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</w:p>
        </w:tc>
        <w:tc>
          <w:tcPr>
            <w:tcW w:w="1806" w:type="dxa"/>
          </w:tcPr>
          <w:p>
            <w:pPr>
              <w:pStyle w:val="TableParagraph"/>
              <w:spacing w:before="122"/>
              <w:ind w:left="303" w:right="343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869" w:type="dxa"/>
          </w:tcPr>
          <w:p>
            <w:pPr>
              <w:pStyle w:val="TableParagraph"/>
              <w:spacing w:before="136"/>
              <w:ind w:left="351" w:right="243"/>
              <w:rPr>
                <w:sz w:val="24"/>
              </w:rPr>
            </w:pPr>
            <w:r>
              <w:rPr>
                <w:sz w:val="24"/>
              </w:rPr>
              <w:t>0.5 -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</w:t>
            </w:r>
          </w:p>
        </w:tc>
        <w:tc>
          <w:tcPr>
            <w:tcW w:w="1741" w:type="dxa"/>
          </w:tcPr>
          <w:p>
            <w:pPr>
              <w:pStyle w:val="TableParagraph"/>
              <w:spacing w:before="136"/>
              <w:ind w:left="242" w:right="195"/>
              <w:rPr>
                <w:sz w:val="24"/>
              </w:rPr>
            </w:pPr>
            <w:r>
              <w:rPr>
                <w:sz w:val="24"/>
              </w:rPr>
              <w:t>Within range</w:t>
            </w:r>
          </w:p>
        </w:tc>
      </w:tr>
      <w:tr>
        <w:trPr>
          <w:trHeight w:val="556" w:hRule="atLeast"/>
        </w:trPr>
        <w:tc>
          <w:tcPr>
            <w:tcW w:w="1955" w:type="dxa"/>
          </w:tcPr>
          <w:p>
            <w:pPr>
              <w:pStyle w:val="TableParagraph"/>
              <w:spacing w:before="122"/>
              <w:ind w:left="188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TiO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806" w:type="dxa"/>
          </w:tcPr>
          <w:p>
            <w:pPr>
              <w:pStyle w:val="TableParagraph"/>
              <w:spacing w:before="122"/>
              <w:ind w:left="303" w:right="343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869" w:type="dxa"/>
          </w:tcPr>
          <w:p>
            <w:pPr>
              <w:pStyle w:val="TableParagraph"/>
              <w:spacing w:before="143"/>
              <w:ind w:left="351" w:right="243"/>
              <w:rPr>
                <w:sz w:val="24"/>
              </w:rPr>
            </w:pPr>
            <w:r>
              <w:rPr>
                <w:sz w:val="24"/>
              </w:rPr>
              <w:t>0.5 -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1.5</w:t>
            </w:r>
          </w:p>
        </w:tc>
        <w:tc>
          <w:tcPr>
            <w:tcW w:w="1741" w:type="dxa"/>
          </w:tcPr>
          <w:p>
            <w:pPr>
              <w:pStyle w:val="TableParagraph"/>
              <w:spacing w:before="143"/>
              <w:ind w:left="241" w:right="19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46" w:hRule="atLeast"/>
        </w:trPr>
        <w:tc>
          <w:tcPr>
            <w:tcW w:w="1955" w:type="dxa"/>
          </w:tcPr>
          <w:p>
            <w:pPr>
              <w:pStyle w:val="TableParagraph"/>
              <w:spacing w:before="127"/>
              <w:ind w:left="18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Mineralogical</w:t>
            </w:r>
          </w:p>
        </w:tc>
        <w:tc>
          <w:tcPr>
            <w:tcW w:w="180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74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47" w:hRule="atLeast"/>
        </w:trPr>
        <w:tc>
          <w:tcPr>
            <w:tcW w:w="1955" w:type="dxa"/>
          </w:tcPr>
          <w:p>
            <w:pPr>
              <w:pStyle w:val="TableParagraph"/>
              <w:spacing w:before="133"/>
              <w:ind w:left="180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180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74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1955" w:type="dxa"/>
          </w:tcPr>
          <w:p>
            <w:pPr>
              <w:pStyle w:val="TableParagraph"/>
              <w:spacing w:before="128"/>
              <w:ind w:left="188" w:right="298"/>
              <w:rPr>
                <w:b/>
                <w:sz w:val="24"/>
              </w:rPr>
            </w:pPr>
            <w:r>
              <w:rPr>
                <w:b/>
                <w:sz w:val="24"/>
              </w:rPr>
              <w:t>Kaolinite</w:t>
            </w:r>
          </w:p>
        </w:tc>
        <w:tc>
          <w:tcPr>
            <w:tcW w:w="1806" w:type="dxa"/>
          </w:tcPr>
          <w:p>
            <w:pPr>
              <w:pStyle w:val="TableParagraph"/>
              <w:spacing w:before="128"/>
              <w:ind w:left="303" w:right="343"/>
              <w:rPr>
                <w:sz w:val="24"/>
              </w:rPr>
            </w:pPr>
            <w:r>
              <w:rPr>
                <w:sz w:val="24"/>
              </w:rPr>
              <w:t>32.52</w:t>
            </w:r>
          </w:p>
        </w:tc>
        <w:tc>
          <w:tcPr>
            <w:tcW w:w="1869" w:type="dxa"/>
          </w:tcPr>
          <w:p>
            <w:pPr>
              <w:pStyle w:val="TableParagraph"/>
              <w:spacing w:before="128"/>
              <w:ind w:left="354" w:right="239"/>
              <w:rPr>
                <w:sz w:val="24"/>
              </w:rPr>
            </w:pPr>
            <w:r>
              <w:rPr>
                <w:sz w:val="24"/>
              </w:rPr>
              <w:t>90 – 95</w:t>
            </w:r>
          </w:p>
        </w:tc>
        <w:tc>
          <w:tcPr>
            <w:tcW w:w="1741" w:type="dxa"/>
          </w:tcPr>
          <w:p>
            <w:pPr>
              <w:pStyle w:val="TableParagraph"/>
              <w:spacing w:before="128"/>
              <w:ind w:left="243" w:right="195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47" w:hRule="atLeast"/>
        </w:trPr>
        <w:tc>
          <w:tcPr>
            <w:tcW w:w="1955" w:type="dxa"/>
          </w:tcPr>
          <w:p>
            <w:pPr>
              <w:pStyle w:val="TableParagraph"/>
              <w:spacing w:before="132"/>
              <w:ind w:left="188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Quartz</w:t>
            </w:r>
          </w:p>
        </w:tc>
        <w:tc>
          <w:tcPr>
            <w:tcW w:w="1806" w:type="dxa"/>
          </w:tcPr>
          <w:p>
            <w:pPr>
              <w:pStyle w:val="TableParagraph"/>
              <w:spacing w:before="132"/>
              <w:ind w:left="303" w:right="343"/>
              <w:rPr>
                <w:sz w:val="24"/>
              </w:rPr>
            </w:pPr>
            <w:r>
              <w:rPr>
                <w:sz w:val="24"/>
              </w:rPr>
              <w:t>49.98</w:t>
            </w:r>
          </w:p>
        </w:tc>
        <w:tc>
          <w:tcPr>
            <w:tcW w:w="186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74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955" w:type="dxa"/>
          </w:tcPr>
          <w:p>
            <w:pPr>
              <w:pStyle w:val="TableParagraph"/>
              <w:spacing w:line="256" w:lineRule="exact" w:before="129"/>
              <w:ind w:left="182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IIIite/Mica</w:t>
            </w:r>
          </w:p>
        </w:tc>
        <w:tc>
          <w:tcPr>
            <w:tcW w:w="1806" w:type="dxa"/>
          </w:tcPr>
          <w:p>
            <w:pPr>
              <w:pStyle w:val="TableParagraph"/>
              <w:spacing w:line="256" w:lineRule="exact" w:before="129"/>
              <w:ind w:left="303" w:right="343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869" w:type="dxa"/>
          </w:tcPr>
          <w:p>
            <w:pPr>
              <w:pStyle w:val="TableParagraph"/>
              <w:spacing w:line="256" w:lineRule="exact" w:before="129"/>
              <w:ind w:left="354" w:right="239"/>
              <w:rPr>
                <w:sz w:val="24"/>
              </w:rPr>
            </w:pPr>
            <w:r>
              <w:rPr>
                <w:sz w:val="24"/>
              </w:rPr>
              <w:t>5 – 10</w:t>
            </w:r>
          </w:p>
        </w:tc>
        <w:tc>
          <w:tcPr>
            <w:tcW w:w="1741" w:type="dxa"/>
          </w:tcPr>
          <w:p>
            <w:pPr>
              <w:pStyle w:val="TableParagraph"/>
              <w:spacing w:line="256" w:lineRule="exact" w:before="129"/>
              <w:ind w:left="244" w:right="193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</w:tbl>
    <w:p>
      <w:pPr>
        <w:pStyle w:val="BodyText"/>
        <w:spacing w:before="9"/>
        <w:rPr>
          <w:b/>
        </w:rPr>
      </w:pPr>
      <w:r>
        <w:rPr/>
        <w:pict>
          <v:shape style="position:absolute;margin-left:105.599998pt;margin-top:16.714296pt;width:369.3pt;height:.1pt;mso-position-horizontal-relative:page;mso-position-vertical-relative:paragraph;z-index:-15705600;mso-wrap-distance-left:0;mso-wrap-distance-right:0" coordorigin="2112,334" coordsize="7386,0" path="m2112,334l3956,334m3956,334l3975,334m3975,334l5941,334m5941,334l5960,334m5960,334l7784,334m7784,334l7803,334m7803,334l9498,334e" filled="false" stroked="true" strokeweight=".9598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305" w:right="338"/>
        <w:jc w:val="both"/>
      </w:pP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ceramic</w:t>
      </w:r>
      <w:r>
        <w:rPr>
          <w:b/>
          <w:spacing w:val="1"/>
        </w:rPr>
        <w:t> </w:t>
      </w:r>
      <w:r>
        <w:rPr>
          <w:b/>
        </w:rPr>
        <w:t>applications:</w:t>
      </w:r>
      <w:r>
        <w:rPr>
          <w:b/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ceramics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dinnerware,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ware,</w:t>
      </w:r>
      <w:r>
        <w:rPr>
          <w:spacing w:val="1"/>
        </w:rPr>
        <w:t> </w:t>
      </w:r>
      <w:r>
        <w:rPr/>
        <w:t>tile,</w:t>
      </w:r>
      <w:r>
        <w:rPr>
          <w:spacing w:val="1"/>
        </w:rPr>
        <w:t> </w:t>
      </w:r>
      <w:r>
        <w:rPr/>
        <w:t>electrical</w:t>
      </w:r>
      <w:r>
        <w:rPr>
          <w:spacing w:val="60"/>
        </w:rPr>
        <w:t> </w:t>
      </w:r>
      <w:r>
        <w:rPr/>
        <w:t>porcelain,</w:t>
      </w:r>
      <w:r>
        <w:rPr>
          <w:spacing w:val="1"/>
        </w:rPr>
        <w:t> </w:t>
      </w:r>
      <w:r>
        <w:rPr/>
        <w:t>pottery, and refractories.</w:t>
      </w:r>
      <w:r>
        <w:rPr>
          <w:spacing w:val="1"/>
        </w:rPr>
        <w:t> </w:t>
      </w:r>
      <w:r>
        <w:rPr/>
        <w:t>The ceramic properties of clay materials are variable</w:t>
      </w:r>
      <w:r>
        <w:rPr>
          <w:spacing w:val="1"/>
        </w:rPr>
        <w:t> </w:t>
      </w:r>
      <w:r>
        <w:rPr/>
        <w:t>depending on the clay mineral composition and such properties as particle size</w:t>
      </w:r>
      <w:r>
        <w:rPr>
          <w:spacing w:val="1"/>
        </w:rPr>
        <w:t> </w:t>
      </w:r>
      <w:r>
        <w:rPr/>
        <w:t>distribution, presence of organic material, and the non-clay mineral composition.</w:t>
      </w:r>
      <w:r>
        <w:rPr>
          <w:spacing w:val="1"/>
        </w:rPr>
        <w:t> </w:t>
      </w:r>
      <w:r>
        <w:rPr/>
        <w:t>The clay mineral composition is the most important factor determining ceramic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Kaolinite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applications because of its physical and chemical properties that are imparted to</w:t>
      </w:r>
      <w:r>
        <w:rPr>
          <w:spacing w:val="1"/>
        </w:rPr>
        <w:t> </w:t>
      </w:r>
      <w:r>
        <w:rPr/>
        <w:t>ceramic</w:t>
      </w:r>
      <w:r>
        <w:rPr>
          <w:spacing w:val="5"/>
        </w:rPr>
        <w:t> </w:t>
      </w:r>
      <w:r>
        <w:rPr/>
        <w:t>processing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finished</w:t>
      </w:r>
      <w:r>
        <w:rPr>
          <w:spacing w:val="6"/>
        </w:rPr>
        <w:t> </w:t>
      </w:r>
      <w:r>
        <w:rPr/>
        <w:t>products</w:t>
      </w:r>
      <w:r>
        <w:rPr>
          <w:spacing w:val="11"/>
        </w:rPr>
        <w:t> </w:t>
      </w:r>
      <w:r>
        <w:rPr/>
        <w:t>(Murray,</w:t>
      </w:r>
      <w:r>
        <w:rPr>
          <w:spacing w:val="7"/>
        </w:rPr>
        <w:t> </w:t>
      </w:r>
      <w:r>
        <w:rPr/>
        <w:t>2006).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key</w:t>
      </w:r>
      <w:r>
        <w:rPr>
          <w:spacing w:val="-3"/>
        </w:rPr>
        <w:t> </w:t>
      </w:r>
      <w:r>
        <w:rPr/>
        <w:t>to</w:t>
      </w:r>
      <w:r>
        <w:rPr>
          <w:spacing w:val="8"/>
        </w:rPr>
        <w:t> </w:t>
      </w:r>
      <w:r>
        <w:rPr/>
        <w:t>ceramic</w:t>
      </w:r>
      <w:r>
        <w:rPr>
          <w:spacing w:val="6"/>
        </w:rPr>
        <w:t> </w:t>
      </w:r>
      <w:r>
        <w:rPr/>
        <w:t>use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570" w:right="603"/>
        <w:jc w:val="center"/>
      </w:pPr>
      <w:r>
        <w:rPr/>
        <w:t>63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480" w:lineRule="auto" w:before="67"/>
        <w:ind w:left="305" w:right="332"/>
        <w:jc w:val="both"/>
      </w:pPr>
      <w:r>
        <w:rPr/>
        <w:t>is low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content and a good fired brightness and casting rate (Siddiqui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2005). Kutigi clay 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content is within the range of specification (Table 4.8).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mineralogical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suitable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ceramic.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Kutigi</w:t>
      </w:r>
      <w:r>
        <w:rPr>
          <w:spacing w:val="1"/>
          <w:vertAlign w:val="baseline"/>
        </w:rPr>
        <w:t> </w:t>
      </w:r>
      <w:r>
        <w:rPr>
          <w:vertAlign w:val="baseline"/>
        </w:rPr>
        <w:t>clay</w:t>
      </w:r>
      <w:r>
        <w:rPr>
          <w:spacing w:val="1"/>
          <w:vertAlign w:val="baseline"/>
        </w:rPr>
        <w:t> </w:t>
      </w:r>
      <w:r>
        <w:rPr>
          <w:vertAlign w:val="baseline"/>
        </w:rPr>
        <w:t>deposit</w:t>
      </w:r>
      <w:r>
        <w:rPr>
          <w:spacing w:val="1"/>
          <w:vertAlign w:val="baseline"/>
        </w:rPr>
        <w:t> </w:t>
      </w:r>
      <w:r>
        <w:rPr>
          <w:vertAlign w:val="baseline"/>
        </w:rPr>
        <w:t>does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conform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range.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geotechnical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shrinkage</w:t>
      </w:r>
      <w:r>
        <w:rPr>
          <w:spacing w:val="1"/>
          <w:vertAlign w:val="baseline"/>
        </w:rPr>
        <w:t> </w:t>
      </w:r>
      <w:r>
        <w:rPr>
          <w:vertAlign w:val="baseline"/>
        </w:rPr>
        <w:t>limit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specifications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-3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porcelain</w:t>
      </w:r>
      <w:r>
        <w:rPr>
          <w:spacing w:val="1"/>
          <w:vertAlign w:val="baseline"/>
        </w:rPr>
        <w:t> </w:t>
      </w:r>
      <w:r>
        <w:rPr>
          <w:vertAlign w:val="baseline"/>
        </w:rPr>
        <w:t>and wall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floor tiles.</w:t>
      </w:r>
    </w:p>
    <w:p>
      <w:pPr>
        <w:pStyle w:val="Heading1"/>
        <w:spacing w:line="357" w:lineRule="auto" w:before="8" w:after="18"/>
        <w:ind w:left="2225" w:right="1884" w:hanging="301"/>
      </w:pPr>
      <w:r>
        <w:rPr/>
        <w:t>Table</w:t>
      </w:r>
      <w:r>
        <w:rPr>
          <w:spacing w:val="-4"/>
        </w:rPr>
        <w:t> </w:t>
      </w:r>
      <w:r>
        <w:rPr/>
        <w:t>4.8:</w:t>
      </w:r>
      <w:r>
        <w:rPr>
          <w:spacing w:val="-6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ceramics</w:t>
      </w:r>
      <w:r>
        <w:rPr>
          <w:spacing w:val="-58"/>
        </w:rPr>
        <w:t> </w:t>
      </w:r>
      <w:r>
        <w:rPr/>
        <w:t>(Siddiqui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2005)</w:t>
      </w:r>
      <w:r>
        <w:rPr>
          <w:spacing w:val="-3"/>
        </w:rPr>
        <w:t> </w:t>
      </w:r>
      <w:r>
        <w:rPr/>
        <w:t>&amp; (Ike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2021)</w:t>
      </w:r>
    </w:p>
    <w:tbl>
      <w:tblPr>
        <w:tblW w:w="0" w:type="auto"/>
        <w:jc w:val="left"/>
        <w:tblInd w:w="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  <w:gridCol w:w="1843"/>
        <w:gridCol w:w="1622"/>
        <w:gridCol w:w="1990"/>
      </w:tblGrid>
      <w:tr>
        <w:trPr>
          <w:trHeight w:val="1103" w:hRule="atLeast"/>
        </w:trPr>
        <w:tc>
          <w:tcPr>
            <w:tcW w:w="24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92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Chemical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184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Composition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197" w:right="495"/>
              <w:rPr>
                <w:b/>
                <w:sz w:val="24"/>
              </w:rPr>
            </w:pPr>
            <w:r>
              <w:rPr>
                <w:b/>
                <w:sz w:val="24"/>
              </w:rPr>
              <w:t>This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Study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6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71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Ceramics</w:t>
            </w: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right="6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9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ind w:left="286" w:right="143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413" w:hRule="atLeast"/>
        </w:trPr>
        <w:tc>
          <w:tcPr>
            <w:tcW w:w="24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96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SiO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46.82</w:t>
            </w:r>
          </w:p>
        </w:tc>
        <w:tc>
          <w:tcPr>
            <w:tcW w:w="16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-50</w:t>
            </w:r>
          </w:p>
        </w:tc>
        <w:tc>
          <w:tcPr>
            <w:tcW w:w="19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289" w:right="143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50" w:hRule="atLeast"/>
        </w:trPr>
        <w:tc>
          <w:tcPr>
            <w:tcW w:w="2491" w:type="dxa"/>
          </w:tcPr>
          <w:p>
            <w:pPr>
              <w:pStyle w:val="TableParagraph"/>
              <w:spacing w:before="128"/>
              <w:ind w:left="197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Al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1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35.44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1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36 – 37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1"/>
              <w:ind w:left="289" w:right="143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52" w:hRule="atLeast"/>
        </w:trPr>
        <w:tc>
          <w:tcPr>
            <w:tcW w:w="2491" w:type="dxa"/>
          </w:tcPr>
          <w:p>
            <w:pPr>
              <w:pStyle w:val="TableParagraph"/>
              <w:spacing w:before="129"/>
              <w:ind w:left="196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Fe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2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2"/>
              <w:ind w:left="498"/>
              <w:jc w:val="left"/>
              <w:rPr>
                <w:sz w:val="24"/>
              </w:rPr>
            </w:pPr>
            <w:r>
              <w:rPr>
                <w:sz w:val="24"/>
              </w:rPr>
              <w:t>0.6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2"/>
              <w:ind w:left="289" w:right="143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52" w:hRule="atLeast"/>
        </w:trPr>
        <w:tc>
          <w:tcPr>
            <w:tcW w:w="2491" w:type="dxa"/>
          </w:tcPr>
          <w:p>
            <w:pPr>
              <w:pStyle w:val="TableParagraph"/>
              <w:spacing w:before="129"/>
              <w:ind w:left="197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  <w:vertAlign w:val="baseline"/>
              </w:rPr>
              <w:t>O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2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2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1.2 – 2.7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2"/>
              <w:ind w:left="289" w:right="143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50" w:hRule="atLeast"/>
        </w:trPr>
        <w:tc>
          <w:tcPr>
            <w:tcW w:w="2491" w:type="dxa"/>
          </w:tcPr>
          <w:p>
            <w:pPr>
              <w:pStyle w:val="TableParagraph"/>
              <w:spacing w:before="127"/>
              <w:ind w:left="197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TiO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2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2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0.02 – 0.1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2"/>
              <w:ind w:left="289" w:right="139"/>
              <w:rPr>
                <w:sz w:val="24"/>
              </w:rPr>
            </w:pPr>
            <w:r>
              <w:rPr>
                <w:sz w:val="24"/>
              </w:rPr>
              <w:t>Within range</w:t>
            </w:r>
          </w:p>
        </w:tc>
      </w:tr>
      <w:tr>
        <w:trPr>
          <w:trHeight w:val="547" w:hRule="atLeast"/>
        </w:trPr>
        <w:tc>
          <w:tcPr>
            <w:tcW w:w="2491" w:type="dxa"/>
          </w:tcPr>
          <w:p>
            <w:pPr>
              <w:pStyle w:val="TableParagraph"/>
              <w:spacing w:before="128"/>
              <w:ind w:left="196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LOL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3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13.68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3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11.2 – 12.5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3"/>
              <w:ind w:left="289" w:right="143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823" w:hRule="atLeast"/>
        </w:trPr>
        <w:tc>
          <w:tcPr>
            <w:tcW w:w="2491" w:type="dxa"/>
          </w:tcPr>
          <w:p>
            <w:pPr>
              <w:pStyle w:val="TableParagraph"/>
              <w:spacing w:before="133"/>
              <w:ind w:left="329" w:hanging="188"/>
              <w:jc w:val="lef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MINERALOGICAL</w:t>
            </w:r>
            <w:r>
              <w:rPr>
                <w:b/>
                <w:spacing w:val="1"/>
                <w:w w:val="95"/>
                <w:sz w:val="24"/>
              </w:rPr>
              <w:t> </w:t>
            </w:r>
            <w:r>
              <w:rPr>
                <w:b/>
                <w:sz w:val="24"/>
              </w:rPr>
              <w:t>COMPOSITION</w:t>
            </w:r>
          </w:p>
        </w:tc>
        <w:tc>
          <w:tcPr>
            <w:tcW w:w="184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2491" w:type="dxa"/>
          </w:tcPr>
          <w:p>
            <w:pPr>
              <w:pStyle w:val="TableParagraph"/>
              <w:spacing w:before="140"/>
              <w:ind w:left="196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Kaolinite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8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32.52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8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61.60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8"/>
              <w:ind w:left="289" w:right="137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51" w:hRule="atLeast"/>
        </w:trPr>
        <w:tc>
          <w:tcPr>
            <w:tcW w:w="2491" w:type="dxa"/>
          </w:tcPr>
          <w:p>
            <w:pPr>
              <w:pStyle w:val="TableParagraph"/>
              <w:spacing w:before="136"/>
              <w:ind w:left="194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Quartz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7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49.98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7"/>
              <w:ind w:left="271" w:right="333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7"/>
              <w:ind w:left="289" w:right="137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49" w:hRule="atLeast"/>
        </w:trPr>
        <w:tc>
          <w:tcPr>
            <w:tcW w:w="2491" w:type="dxa"/>
          </w:tcPr>
          <w:p>
            <w:pPr>
              <w:pStyle w:val="TableParagraph"/>
              <w:spacing w:before="128"/>
              <w:ind w:left="188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IIIite/Mica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8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62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spacing w:before="128"/>
              <w:ind w:left="289" w:right="132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49" w:hRule="atLeast"/>
        </w:trPr>
        <w:tc>
          <w:tcPr>
            <w:tcW w:w="2491" w:type="dxa"/>
          </w:tcPr>
          <w:p>
            <w:pPr>
              <w:pStyle w:val="TableParagraph"/>
              <w:spacing w:before="135"/>
              <w:ind w:left="197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GEOTECHNICAL</w:t>
            </w:r>
          </w:p>
        </w:tc>
        <w:tc>
          <w:tcPr>
            <w:tcW w:w="184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553" w:hRule="atLeast"/>
        </w:trPr>
        <w:tc>
          <w:tcPr>
            <w:tcW w:w="2491" w:type="dxa"/>
          </w:tcPr>
          <w:p>
            <w:pPr>
              <w:pStyle w:val="TableParagraph"/>
              <w:spacing w:before="140"/>
              <w:ind w:left="192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Liquid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limit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8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23.65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8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26.88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8"/>
              <w:ind w:left="289" w:right="143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50" w:hRule="atLeast"/>
        </w:trPr>
        <w:tc>
          <w:tcPr>
            <w:tcW w:w="2491" w:type="dxa"/>
          </w:tcPr>
          <w:p>
            <w:pPr>
              <w:pStyle w:val="TableParagraph"/>
              <w:spacing w:before="136"/>
              <w:ind w:left="197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Plasticity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limit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7"/>
              <w:ind w:left="505"/>
              <w:jc w:val="left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7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15.51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7"/>
              <w:ind w:left="289" w:right="143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51" w:hRule="atLeast"/>
        </w:trPr>
        <w:tc>
          <w:tcPr>
            <w:tcW w:w="2491" w:type="dxa"/>
          </w:tcPr>
          <w:p>
            <w:pPr>
              <w:pStyle w:val="TableParagraph"/>
              <w:spacing w:before="137"/>
              <w:ind w:left="190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Plasticity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8"/>
              <w:ind w:left="565"/>
              <w:jc w:val="left"/>
              <w:rPr>
                <w:sz w:val="24"/>
              </w:rPr>
            </w:pPr>
            <w:r>
              <w:rPr>
                <w:sz w:val="24"/>
              </w:rPr>
              <w:t>6.63</w:t>
            </w:r>
          </w:p>
        </w:tc>
        <w:tc>
          <w:tcPr>
            <w:tcW w:w="1622" w:type="dxa"/>
          </w:tcPr>
          <w:p>
            <w:pPr>
              <w:pStyle w:val="TableParagraph"/>
              <w:spacing w:before="128"/>
              <w:ind w:left="508"/>
              <w:jc w:val="left"/>
              <w:rPr>
                <w:sz w:val="24"/>
              </w:rPr>
            </w:pPr>
            <w:r>
              <w:rPr>
                <w:sz w:val="24"/>
              </w:rPr>
              <w:t>10.38</w:t>
            </w:r>
          </w:p>
        </w:tc>
        <w:tc>
          <w:tcPr>
            <w:tcW w:w="1990" w:type="dxa"/>
          </w:tcPr>
          <w:p>
            <w:pPr>
              <w:pStyle w:val="TableParagraph"/>
              <w:spacing w:before="128"/>
              <w:ind w:left="289" w:right="137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705" w:hRule="atLeast"/>
        </w:trPr>
        <w:tc>
          <w:tcPr>
            <w:tcW w:w="24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40"/>
              <w:ind w:left="194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Shrinkage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limit</w:t>
            </w: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3.76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-6.6</w:t>
            </w:r>
          </w:p>
        </w:tc>
        <w:tc>
          <w:tcPr>
            <w:tcW w:w="16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8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0.25 – 6.2</w:t>
            </w:r>
          </w:p>
        </w:tc>
        <w:tc>
          <w:tcPr>
            <w:tcW w:w="199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8"/>
              <w:ind w:left="289" w:right="139"/>
              <w:rPr>
                <w:sz w:val="24"/>
              </w:rPr>
            </w:pPr>
            <w:r>
              <w:rPr>
                <w:sz w:val="24"/>
              </w:rPr>
              <w:t>Within range</w:t>
            </w:r>
          </w:p>
        </w:tc>
      </w:tr>
      <w:tr>
        <w:trPr>
          <w:trHeight w:val="552" w:hRule="atLeast"/>
        </w:trPr>
        <w:tc>
          <w:tcPr>
            <w:tcW w:w="2491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843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22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90" w:type="dxa"/>
            <w:tcBorders>
              <w:top w:val="single" w:sz="8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480" w:lineRule="auto" w:before="64"/>
        <w:ind w:left="305" w:right="340"/>
        <w:jc w:val="both"/>
      </w:pPr>
      <w:r>
        <w:rPr>
          <w:b/>
        </w:rPr>
        <w:t>In</w:t>
      </w:r>
      <w:r>
        <w:rPr>
          <w:b/>
          <w:spacing w:val="1"/>
        </w:rPr>
        <w:t> </w:t>
      </w:r>
      <w:r>
        <w:rPr>
          <w:b/>
        </w:rPr>
        <w:t>pharmaceutical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cosmetic</w:t>
      </w:r>
      <w:r>
        <w:rPr>
          <w:b/>
          <w:spacing w:val="1"/>
        </w:rPr>
        <w:t> </w:t>
      </w:r>
      <w:r>
        <w:rPr>
          <w:b/>
        </w:rPr>
        <w:t>industry:</w:t>
      </w:r>
      <w:r>
        <w:rPr>
          <w:b/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 or cosmetic purposes are usually merged as one, although the aim</w:t>
      </w:r>
      <w:r>
        <w:rPr>
          <w:spacing w:val="1"/>
        </w:rPr>
        <w:t> </w:t>
      </w:r>
      <w:r>
        <w:rPr/>
        <w:t>and purpose for use are different (López-Galindo </w:t>
      </w:r>
      <w:r>
        <w:rPr>
          <w:i/>
        </w:rPr>
        <w:t>et al</w:t>
      </w:r>
      <w:r>
        <w:rPr/>
        <w:t>., 2007). In pharmaceutical</w:t>
      </w:r>
      <w:r>
        <w:rPr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absorptive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gastro-intestinal</w:t>
      </w:r>
      <w:r>
        <w:rPr>
          <w:spacing w:val="1"/>
        </w:rPr>
        <w:t> </w:t>
      </w:r>
      <w:r>
        <w:rPr/>
        <w:t>disorders,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tablet</w:t>
      </w:r>
      <w:r>
        <w:rPr>
          <w:spacing w:val="60"/>
        </w:rPr>
        <w:t> </w:t>
      </w:r>
      <w:r>
        <w:rPr/>
        <w:t>or</w:t>
      </w:r>
      <w:r>
        <w:rPr>
          <w:spacing w:val="-57"/>
        </w:rPr>
        <w:t> </w:t>
      </w:r>
      <w:r>
        <w:rPr/>
        <w:t>capsule diluent, as a suspending agent, in poultices and for dusting in surgical</w:t>
      </w:r>
      <w:r>
        <w:rPr>
          <w:spacing w:val="1"/>
        </w:rPr>
        <w:t> </w:t>
      </w:r>
      <w:r>
        <w:rPr/>
        <w:t>operations, as an absorptive to absorb toxins and harmful bacteria in addition to</w:t>
      </w:r>
      <w:r>
        <w:rPr>
          <w:spacing w:val="1"/>
        </w:rPr>
        <w:t> </w:t>
      </w:r>
      <w:r>
        <w:rPr/>
        <w:t>forming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soothing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coating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inflamed</w:t>
      </w:r>
      <w:r>
        <w:rPr>
          <w:spacing w:val="1"/>
        </w:rPr>
        <w:t> </w:t>
      </w:r>
      <w:r>
        <w:rPr/>
        <w:t>mucous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digestive tract. Kaolin is used as a suspending agent for pectin in the well-known</w:t>
      </w:r>
      <w:r>
        <w:rPr>
          <w:spacing w:val="1"/>
        </w:rPr>
        <w:t> </w:t>
      </w:r>
      <w:r>
        <w:rPr/>
        <w:t>product kaopectate. Kaolin is also commonly used as a diluent in capsules and</w:t>
      </w:r>
      <w:r>
        <w:rPr>
          <w:spacing w:val="1"/>
        </w:rPr>
        <w:t> </w:t>
      </w:r>
      <w:r>
        <w:rPr/>
        <w:t>tablets. In tablets, it aids in making the tablet strong and dense when the tablet is</w:t>
      </w:r>
      <w:r>
        <w:rPr>
          <w:spacing w:val="1"/>
        </w:rPr>
        <w:t> </w:t>
      </w:r>
      <w:r>
        <w:rPr/>
        <w:t>compressed</w:t>
      </w:r>
      <w:r>
        <w:rPr>
          <w:spacing w:val="-1"/>
        </w:rPr>
        <w:t> </w:t>
      </w:r>
      <w:r>
        <w:rPr/>
        <w:t>(Murray,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line="480" w:lineRule="auto" w:before="2"/>
        <w:ind w:left="305" w:right="335"/>
        <w:jc w:val="both"/>
      </w:pPr>
      <w:r>
        <w:rPr/>
        <w:t>In the cosmetic industry kaolin is use mostly in baby powder and body powder.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other</w:t>
      </w:r>
      <w:r>
        <w:rPr>
          <w:spacing w:val="9"/>
        </w:rPr>
        <w:t> </w:t>
      </w:r>
      <w:r>
        <w:rPr/>
        <w:t>major</w:t>
      </w:r>
      <w:r>
        <w:rPr>
          <w:spacing w:val="11"/>
        </w:rPr>
        <w:t> </w:t>
      </w:r>
      <w:r>
        <w:rPr/>
        <w:t>use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kaolin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cosmetics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face</w:t>
      </w:r>
      <w:r>
        <w:rPr>
          <w:spacing w:val="8"/>
        </w:rPr>
        <w:t> </w:t>
      </w:r>
      <w:r>
        <w:rPr/>
        <w:t>packs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masks.</w:t>
      </w:r>
      <w:r>
        <w:rPr>
          <w:spacing w:val="11"/>
        </w:rPr>
        <w:t> </w:t>
      </w:r>
      <w:r>
        <w:rPr/>
        <w:t>Up</w:t>
      </w:r>
      <w:r>
        <w:rPr>
          <w:spacing w:val="14"/>
        </w:rPr>
        <w:t> </w:t>
      </w:r>
      <w:r>
        <w:rPr/>
        <w:t>to</w:t>
      </w:r>
      <w:r>
        <w:rPr>
          <w:spacing w:val="11"/>
        </w:rPr>
        <w:t> </w:t>
      </w:r>
      <w:r>
        <w:rPr/>
        <w:t>5%</w:t>
      </w:r>
      <w:r>
        <w:rPr>
          <w:spacing w:val="-57"/>
        </w:rPr>
        <w:t> </w:t>
      </w:r>
      <w:r>
        <w:rPr/>
        <w:t>of the formulation can be a fine, particle size kaolin. A recent use of kaolin is in</w:t>
      </w:r>
      <w:r>
        <w:rPr>
          <w:spacing w:val="1"/>
        </w:rPr>
        <w:t> </w:t>
      </w:r>
      <w:r>
        <w:rPr/>
        <w:t>the formulation of a hair conditioner. The kaolin adds body to fine hair, which</w:t>
      </w:r>
      <w:r>
        <w:rPr>
          <w:spacing w:val="1"/>
        </w:rPr>
        <w:t> </w:t>
      </w:r>
      <w:r>
        <w:rPr/>
        <w:t>increases the apparent hair volume (Murray, 2006). For these uses very careful</w:t>
      </w:r>
      <w:r>
        <w:rPr>
          <w:spacing w:val="1"/>
        </w:rPr>
        <w:t> </w:t>
      </w:r>
      <w:r>
        <w:rPr/>
        <w:t>sterilization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heavily</w:t>
      </w:r>
      <w:r>
        <w:rPr>
          <w:spacing w:val="1"/>
        </w:rPr>
        <w:t> </w:t>
      </w:r>
      <w:r>
        <w:rPr/>
        <w:t>contaminated</w:t>
      </w:r>
      <w:r>
        <w:rPr>
          <w:spacing w:val="61"/>
        </w:rPr>
        <w:t> </w:t>
      </w:r>
      <w:r>
        <w:rPr/>
        <w:t>with</w:t>
      </w:r>
      <w:r>
        <w:rPr>
          <w:spacing w:val="1"/>
        </w:rPr>
        <w:t> </w:t>
      </w:r>
      <w:r>
        <w:rPr/>
        <w:t>pathogenic micro-organisms. Clay for medicinal purpose must be free from the</w:t>
      </w:r>
      <w:r>
        <w:rPr>
          <w:spacing w:val="1"/>
        </w:rPr>
        <w:t> </w:t>
      </w:r>
      <w:r>
        <w:rPr/>
        <w:t>toxic substances like lead, arsenic and other heavy metals.</w:t>
      </w:r>
      <w:r>
        <w:rPr>
          <w:spacing w:val="60"/>
        </w:rPr>
        <w:t> </w:t>
      </w:r>
      <w:r>
        <w:rPr/>
        <w:t>Most of the major</w:t>
      </w:r>
      <w:r>
        <w:rPr>
          <w:spacing w:val="1"/>
        </w:rPr>
        <w:t> </w:t>
      </w:r>
      <w:r>
        <w:rPr/>
        <w:t>oxide content of Kutigi clay are slightly deviant from specification range, and the</w:t>
      </w:r>
      <w:r>
        <w:rPr>
          <w:spacing w:val="1"/>
        </w:rPr>
        <w:t> </w:t>
      </w:r>
      <w:r>
        <w:rPr/>
        <w:t>mineralogy</w:t>
      </w:r>
      <w:r>
        <w:rPr>
          <w:spacing w:val="-9"/>
        </w:rPr>
        <w:t> </w:t>
      </w:r>
      <w:r>
        <w:rPr/>
        <w:t>is</w:t>
      </w:r>
      <w:r>
        <w:rPr>
          <w:spacing w:val="1"/>
        </w:rPr>
        <w:t> </w:t>
      </w:r>
      <w:r>
        <w:rPr/>
        <w:t>not suitable</w:t>
      </w:r>
      <w:r>
        <w:rPr>
          <w:spacing w:val="-2"/>
        </w:rPr>
        <w:t> </w:t>
      </w:r>
      <w:r>
        <w:rPr/>
        <w:t>for Pharmaceutics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cosmetics</w:t>
      </w:r>
      <w:r>
        <w:rPr>
          <w:spacing w:val="1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0"/>
        <w:ind w:left="570" w:right="603"/>
        <w:jc w:val="center"/>
      </w:pPr>
      <w:r>
        <w:rPr/>
        <w:t>65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Heading1"/>
        <w:ind w:left="2465" w:right="494" w:hanging="2161"/>
        <w:jc w:val="left"/>
      </w:pPr>
      <w:r>
        <w:rPr/>
        <w:t>Table</w:t>
      </w:r>
      <w:r>
        <w:rPr>
          <w:spacing w:val="-5"/>
        </w:rPr>
        <w:t> </w:t>
      </w:r>
      <w:r>
        <w:rPr/>
        <w:t>4.9:</w:t>
      </w:r>
      <w:r>
        <w:rPr>
          <w:spacing w:val="-7"/>
        </w:rPr>
        <w:t> </w:t>
      </w:r>
      <w:r>
        <w:rPr/>
        <w:t>Industrial</w:t>
      </w:r>
      <w:r>
        <w:rPr>
          <w:spacing w:val="-4"/>
        </w:rPr>
        <w:t> </w:t>
      </w:r>
      <w:r>
        <w:rPr/>
        <w:t>specification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Pharmaceutics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cosmetics</w:t>
      </w:r>
      <w:r>
        <w:rPr>
          <w:spacing w:val="-5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(Lopez-Galindo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574"/>
        <w:gridCol w:w="2241"/>
        <w:gridCol w:w="1937"/>
      </w:tblGrid>
      <w:tr>
        <w:trPr>
          <w:trHeight w:val="551" w:hRule="atLeast"/>
        </w:trPr>
        <w:tc>
          <w:tcPr>
            <w:tcW w:w="17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45" w:right="244"/>
              <w:rPr>
                <w:sz w:val="24"/>
              </w:rPr>
            </w:pPr>
            <w:r>
              <w:rPr>
                <w:sz w:val="24"/>
              </w:rPr>
              <w:t>Chemical</w:t>
            </w:r>
          </w:p>
          <w:p>
            <w:pPr>
              <w:pStyle w:val="TableParagraph"/>
              <w:spacing w:line="263" w:lineRule="exact" w:before="9"/>
              <w:ind w:left="246" w:right="244"/>
              <w:rPr>
                <w:sz w:val="24"/>
              </w:rPr>
            </w:pPr>
            <w:r>
              <w:rPr>
                <w:sz w:val="24"/>
              </w:rPr>
              <w:t>Composition</w:t>
            </w:r>
          </w:p>
        </w:tc>
        <w:tc>
          <w:tcPr>
            <w:tcW w:w="15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45" w:right="24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22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36" w:right="160"/>
              <w:rPr>
                <w:sz w:val="24"/>
              </w:rPr>
            </w:pPr>
            <w:r>
              <w:rPr>
                <w:sz w:val="24"/>
              </w:rPr>
              <w:t>Pharmaceutics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63" w:lineRule="exact" w:before="9"/>
              <w:ind w:left="234" w:right="160"/>
              <w:rPr>
                <w:sz w:val="24"/>
              </w:rPr>
            </w:pPr>
            <w:r>
              <w:rPr>
                <w:sz w:val="24"/>
              </w:rPr>
              <w:t>cosmetics</w:t>
            </w:r>
          </w:p>
        </w:tc>
        <w:tc>
          <w:tcPr>
            <w:tcW w:w="19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63" w:right="213"/>
              <w:rPr>
                <w:sz w:val="24"/>
              </w:rPr>
            </w:pPr>
            <w:r>
              <w:rPr>
                <w:sz w:val="24"/>
              </w:rPr>
              <w:t>Remark</w:t>
            </w:r>
          </w:p>
        </w:tc>
      </w:tr>
      <w:tr>
        <w:trPr>
          <w:trHeight w:val="410" w:hRule="atLeast"/>
        </w:trPr>
        <w:tc>
          <w:tcPr>
            <w:tcW w:w="17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1" w:lineRule="exact"/>
              <w:ind w:left="660"/>
              <w:jc w:val="left"/>
              <w:rPr>
                <w:sz w:val="24"/>
              </w:rPr>
            </w:pPr>
            <w:r>
              <w:rPr>
                <w:sz w:val="24"/>
              </w:rPr>
              <w:t>SiO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1" w:lineRule="exact"/>
              <w:ind w:left="243" w:right="240"/>
              <w:rPr>
                <w:sz w:val="24"/>
              </w:rPr>
            </w:pPr>
            <w:r>
              <w:rPr>
                <w:sz w:val="24"/>
              </w:rPr>
              <w:t>46.82</w:t>
            </w:r>
          </w:p>
        </w:tc>
        <w:tc>
          <w:tcPr>
            <w:tcW w:w="22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579"/>
              <w:jc w:val="left"/>
              <w:rPr>
                <w:sz w:val="24"/>
              </w:rPr>
            </w:pPr>
            <w:r>
              <w:rPr>
                <w:sz w:val="24"/>
              </w:rPr>
              <w:t>44.62 -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46.4</w:t>
            </w:r>
          </w:p>
        </w:tc>
        <w:tc>
          <w:tcPr>
            <w:tcW w:w="1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1" w:lineRule="exact"/>
              <w:ind w:left="163" w:right="209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553" w:hRule="atLeast"/>
        </w:trPr>
        <w:tc>
          <w:tcPr>
            <w:tcW w:w="1772" w:type="dxa"/>
          </w:tcPr>
          <w:p>
            <w:pPr>
              <w:pStyle w:val="TableParagraph"/>
              <w:spacing w:before="129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7"/>
              <w:ind w:left="243" w:right="240"/>
              <w:rPr>
                <w:sz w:val="24"/>
              </w:rPr>
            </w:pPr>
            <w:r>
              <w:rPr>
                <w:sz w:val="24"/>
              </w:rPr>
              <w:t>35.44</w:t>
            </w:r>
          </w:p>
        </w:tc>
        <w:tc>
          <w:tcPr>
            <w:tcW w:w="2241" w:type="dxa"/>
          </w:tcPr>
          <w:p>
            <w:pPr>
              <w:pStyle w:val="TableParagraph"/>
              <w:spacing w:before="124"/>
              <w:ind w:left="588"/>
              <w:jc w:val="left"/>
              <w:rPr>
                <w:sz w:val="24"/>
              </w:rPr>
            </w:pPr>
            <w:r>
              <w:rPr>
                <w:sz w:val="24"/>
              </w:rPr>
              <w:t>38.1 – 39.5</w:t>
            </w:r>
          </w:p>
        </w:tc>
        <w:tc>
          <w:tcPr>
            <w:tcW w:w="1937" w:type="dxa"/>
          </w:tcPr>
          <w:p>
            <w:pPr>
              <w:pStyle w:val="TableParagraph"/>
              <w:spacing w:before="127"/>
              <w:ind w:left="163" w:right="218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50" w:hRule="atLeast"/>
        </w:trPr>
        <w:tc>
          <w:tcPr>
            <w:tcW w:w="1772" w:type="dxa"/>
          </w:tcPr>
          <w:p>
            <w:pPr>
              <w:pStyle w:val="TableParagraph"/>
              <w:spacing w:before="126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Fe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6"/>
              <w:ind w:left="243" w:right="240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2241" w:type="dxa"/>
          </w:tcPr>
          <w:p>
            <w:pPr>
              <w:pStyle w:val="TableParagraph"/>
              <w:spacing w:before="123"/>
              <w:ind w:left="708"/>
              <w:jc w:val="left"/>
              <w:rPr>
                <w:sz w:val="24"/>
              </w:rPr>
            </w:pPr>
            <w:r>
              <w:rPr>
                <w:sz w:val="24"/>
              </w:rPr>
              <w:t>0.1 – 0.2</w:t>
            </w:r>
          </w:p>
        </w:tc>
        <w:tc>
          <w:tcPr>
            <w:tcW w:w="1937" w:type="dxa"/>
          </w:tcPr>
          <w:p>
            <w:pPr>
              <w:pStyle w:val="TableParagraph"/>
              <w:spacing w:before="126"/>
              <w:ind w:left="163" w:right="218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deviant</w:t>
            </w:r>
          </w:p>
        </w:tc>
      </w:tr>
      <w:tr>
        <w:trPr>
          <w:trHeight w:val="545" w:hRule="atLeast"/>
        </w:trPr>
        <w:tc>
          <w:tcPr>
            <w:tcW w:w="1772" w:type="dxa"/>
          </w:tcPr>
          <w:p>
            <w:pPr>
              <w:pStyle w:val="TableParagraph"/>
              <w:spacing w:before="124"/>
              <w:ind w:left="605"/>
              <w:jc w:val="left"/>
              <w:rPr>
                <w:sz w:val="24"/>
              </w:rPr>
            </w:pPr>
            <w:r>
              <w:rPr>
                <w:sz w:val="24"/>
              </w:rPr>
              <w:t>MgO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7"/>
              <w:ind w:left="243" w:right="240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2241" w:type="dxa"/>
          </w:tcPr>
          <w:p>
            <w:pPr>
              <w:pStyle w:val="TableParagraph"/>
              <w:spacing w:before="124"/>
              <w:ind w:left="728"/>
              <w:jc w:val="left"/>
              <w:rPr>
                <w:sz w:val="24"/>
              </w:rPr>
            </w:pPr>
            <w:r>
              <w:rPr>
                <w:sz w:val="24"/>
              </w:rPr>
              <w:t>0.1 -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0.2</w:t>
            </w:r>
          </w:p>
        </w:tc>
        <w:tc>
          <w:tcPr>
            <w:tcW w:w="1937" w:type="dxa"/>
          </w:tcPr>
          <w:p>
            <w:pPr>
              <w:pStyle w:val="TableParagraph"/>
              <w:spacing w:before="127"/>
              <w:ind w:left="163" w:right="213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52" w:hRule="atLeast"/>
        </w:trPr>
        <w:tc>
          <w:tcPr>
            <w:tcW w:w="1772" w:type="dxa"/>
          </w:tcPr>
          <w:p>
            <w:pPr>
              <w:pStyle w:val="TableParagraph"/>
              <w:spacing w:before="132"/>
              <w:ind w:left="638"/>
              <w:jc w:val="left"/>
              <w:rPr>
                <w:sz w:val="24"/>
              </w:rPr>
            </w:pPr>
            <w:r>
              <w:rPr>
                <w:sz w:val="24"/>
              </w:rPr>
              <w:t>CaO</w:t>
            </w:r>
          </w:p>
        </w:tc>
        <w:tc>
          <w:tcPr>
            <w:tcW w:w="1574" w:type="dxa"/>
          </w:tcPr>
          <w:p>
            <w:pPr>
              <w:pStyle w:val="TableParagraph"/>
              <w:spacing w:before="134"/>
              <w:ind w:left="243" w:right="240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2241" w:type="dxa"/>
          </w:tcPr>
          <w:p>
            <w:pPr>
              <w:pStyle w:val="TableParagraph"/>
              <w:spacing w:before="134"/>
              <w:ind w:left="708"/>
              <w:jc w:val="left"/>
              <w:rPr>
                <w:sz w:val="24"/>
              </w:rPr>
            </w:pPr>
            <w:r>
              <w:rPr>
                <w:sz w:val="24"/>
              </w:rPr>
              <w:t>0.1 – 0.2</w:t>
            </w:r>
          </w:p>
        </w:tc>
        <w:tc>
          <w:tcPr>
            <w:tcW w:w="1937" w:type="dxa"/>
          </w:tcPr>
          <w:p>
            <w:pPr>
              <w:pStyle w:val="TableParagraph"/>
              <w:spacing w:before="134"/>
              <w:ind w:left="163" w:right="213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52" w:hRule="atLeast"/>
        </w:trPr>
        <w:tc>
          <w:tcPr>
            <w:tcW w:w="1772" w:type="dxa"/>
          </w:tcPr>
          <w:p>
            <w:pPr>
              <w:pStyle w:val="TableParagraph"/>
              <w:spacing w:before="131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Na2O</w:t>
            </w:r>
          </w:p>
        </w:tc>
        <w:tc>
          <w:tcPr>
            <w:tcW w:w="1574" w:type="dxa"/>
          </w:tcPr>
          <w:p>
            <w:pPr>
              <w:pStyle w:val="TableParagraph"/>
              <w:spacing w:before="134"/>
              <w:ind w:left="243" w:right="240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241" w:type="dxa"/>
          </w:tcPr>
          <w:p>
            <w:pPr>
              <w:pStyle w:val="TableParagraph"/>
              <w:spacing w:before="131"/>
              <w:ind w:left="174" w:right="160"/>
              <w:rPr>
                <w:sz w:val="24"/>
              </w:rPr>
            </w:pPr>
            <w:r>
              <w:rPr>
                <w:sz w:val="24"/>
              </w:rPr>
              <w:t>0 – 0.1</w:t>
            </w:r>
          </w:p>
        </w:tc>
        <w:tc>
          <w:tcPr>
            <w:tcW w:w="1937" w:type="dxa"/>
          </w:tcPr>
          <w:p>
            <w:pPr>
              <w:pStyle w:val="TableParagraph"/>
              <w:spacing w:before="134"/>
              <w:ind w:left="163" w:right="213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59" w:hRule="atLeast"/>
        </w:trPr>
        <w:tc>
          <w:tcPr>
            <w:tcW w:w="1772" w:type="dxa"/>
          </w:tcPr>
          <w:p>
            <w:pPr>
              <w:pStyle w:val="TableParagraph"/>
              <w:spacing w:before="134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O</w:t>
            </w:r>
          </w:p>
        </w:tc>
        <w:tc>
          <w:tcPr>
            <w:tcW w:w="1574" w:type="dxa"/>
          </w:tcPr>
          <w:p>
            <w:pPr>
              <w:pStyle w:val="TableParagraph"/>
              <w:spacing w:before="134"/>
              <w:ind w:left="243" w:right="240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2241" w:type="dxa"/>
          </w:tcPr>
          <w:p>
            <w:pPr>
              <w:pStyle w:val="TableParagraph"/>
              <w:spacing w:before="131"/>
              <w:ind w:left="174" w:right="160"/>
              <w:rPr>
                <w:sz w:val="24"/>
              </w:rPr>
            </w:pPr>
            <w:r>
              <w:rPr>
                <w:sz w:val="24"/>
              </w:rPr>
              <w:t>0 – 0.2</w:t>
            </w:r>
          </w:p>
        </w:tc>
        <w:tc>
          <w:tcPr>
            <w:tcW w:w="1937" w:type="dxa"/>
          </w:tcPr>
          <w:p>
            <w:pPr>
              <w:pStyle w:val="TableParagraph"/>
              <w:spacing w:before="134"/>
              <w:ind w:left="163" w:right="213"/>
              <w:rPr>
                <w:sz w:val="24"/>
              </w:rPr>
            </w:pPr>
            <w:r>
              <w:rPr>
                <w:sz w:val="24"/>
              </w:rPr>
              <w:t>deviant</w:t>
            </w:r>
          </w:p>
        </w:tc>
      </w:tr>
      <w:tr>
        <w:trPr>
          <w:trHeight w:val="550" w:hRule="atLeast"/>
        </w:trPr>
        <w:tc>
          <w:tcPr>
            <w:tcW w:w="1772" w:type="dxa"/>
          </w:tcPr>
          <w:p>
            <w:pPr>
              <w:pStyle w:val="TableParagraph"/>
              <w:spacing w:before="127"/>
              <w:ind w:left="624"/>
              <w:jc w:val="left"/>
              <w:rPr>
                <w:sz w:val="24"/>
              </w:rPr>
            </w:pPr>
            <w:r>
              <w:rPr>
                <w:sz w:val="24"/>
              </w:rPr>
              <w:t>TiO</w:t>
            </w:r>
            <w:r>
              <w:rPr>
                <w:sz w:val="24"/>
                <w:vertAlign w:val="subscript"/>
              </w:rPr>
              <w:t>2</w:t>
            </w:r>
          </w:p>
        </w:tc>
        <w:tc>
          <w:tcPr>
            <w:tcW w:w="1574" w:type="dxa"/>
          </w:tcPr>
          <w:p>
            <w:pPr>
              <w:pStyle w:val="TableParagraph"/>
              <w:spacing w:before="127"/>
              <w:ind w:left="243" w:right="240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2241" w:type="dxa"/>
          </w:tcPr>
          <w:p>
            <w:pPr>
              <w:pStyle w:val="TableParagraph"/>
              <w:spacing w:before="124"/>
              <w:ind w:left="174" w:right="160"/>
              <w:rPr>
                <w:sz w:val="24"/>
              </w:rPr>
            </w:pPr>
            <w:r>
              <w:rPr>
                <w:sz w:val="24"/>
              </w:rPr>
              <w:t>0 – 1.4</w:t>
            </w:r>
          </w:p>
        </w:tc>
        <w:tc>
          <w:tcPr>
            <w:tcW w:w="1937" w:type="dxa"/>
          </w:tcPr>
          <w:p>
            <w:pPr>
              <w:pStyle w:val="TableParagraph"/>
              <w:spacing w:before="127"/>
              <w:ind w:left="163" w:right="209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  <w:tr>
        <w:trPr>
          <w:trHeight w:val="420" w:hRule="atLeast"/>
        </w:trPr>
        <w:tc>
          <w:tcPr>
            <w:tcW w:w="17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23"/>
              <w:ind w:left="624"/>
              <w:jc w:val="left"/>
              <w:rPr>
                <w:sz w:val="24"/>
              </w:rPr>
            </w:pPr>
            <w:r>
              <w:rPr>
                <w:sz w:val="24"/>
              </w:rPr>
              <w:t>LOL</w:t>
            </w:r>
          </w:p>
        </w:tc>
        <w:tc>
          <w:tcPr>
            <w:tcW w:w="15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128"/>
              <w:ind w:left="243" w:right="240"/>
              <w:rPr>
                <w:sz w:val="24"/>
              </w:rPr>
            </w:pPr>
            <w:r>
              <w:rPr>
                <w:sz w:val="24"/>
              </w:rPr>
              <w:t>13.68</w:t>
            </w:r>
          </w:p>
        </w:tc>
        <w:tc>
          <w:tcPr>
            <w:tcW w:w="22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4" w:lineRule="exact" w:before="126"/>
              <w:ind w:left="588"/>
              <w:jc w:val="left"/>
              <w:rPr>
                <w:sz w:val="24"/>
              </w:rPr>
            </w:pPr>
            <w:r>
              <w:rPr>
                <w:sz w:val="24"/>
              </w:rPr>
              <w:t>13.8 – 13.9</w:t>
            </w:r>
          </w:p>
        </w:tc>
        <w:tc>
          <w:tcPr>
            <w:tcW w:w="1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2" w:lineRule="exact" w:before="128"/>
              <w:ind w:left="163" w:right="209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32"/>
        <w:ind w:left="570" w:right="603"/>
        <w:jc w:val="center"/>
      </w:pPr>
      <w:r>
        <w:rPr/>
        <w:t>66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Heading1"/>
        <w:ind w:left="552" w:right="603" w:firstLine="0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4"/>
        </w:numPr>
        <w:tabs>
          <w:tab w:pos="1865" w:val="left" w:leader="none"/>
          <w:tab w:pos="1866" w:val="left" w:leader="none"/>
        </w:tabs>
        <w:spacing w:line="240" w:lineRule="auto" w:before="0" w:after="0"/>
        <w:ind w:left="1865" w:right="0" w:hanging="1561"/>
        <w:jc w:val="both"/>
      </w:pPr>
      <w:bookmarkStart w:name="_TOC_250003" w:id="42"/>
      <w:r>
        <w:rPr/>
        <w:t>CONCLUSION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42"/>
      <w:r>
        <w:rPr/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4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</w:pPr>
      <w:bookmarkStart w:name="_TOC_250002" w:id="43"/>
      <w:bookmarkEnd w:id="43"/>
      <w:r>
        <w:rPr/>
        <w:t>Conclusion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305" w:right="338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mineralogical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geochemical properties of Kutigi clay deposits with the aim of determining its</w:t>
      </w:r>
      <w:r>
        <w:rPr>
          <w:spacing w:val="1"/>
        </w:rPr>
        <w:t> </w:t>
      </w:r>
      <w:r>
        <w:rPr/>
        <w:t>industrial application. Results from field study revealed the stratigraphic position</w:t>
      </w:r>
      <w:r>
        <w:rPr>
          <w:spacing w:val="1"/>
        </w:rPr>
        <w:t> </w:t>
      </w:r>
      <w:r>
        <w:rPr/>
        <w:t>of the study clay to be a bed within the Enagi siltstone formation and occurs as</w:t>
      </w:r>
      <w:r>
        <w:rPr>
          <w:spacing w:val="1"/>
        </w:rPr>
        <w:t> </w:t>
      </w:r>
      <w:r>
        <w:rPr/>
        <w:t>irregular</w:t>
      </w:r>
      <w:r>
        <w:rPr>
          <w:spacing w:val="-3"/>
        </w:rPr>
        <w:t> </w:t>
      </w:r>
      <w:r>
        <w:rPr/>
        <w:t>lenticular</w:t>
      </w:r>
      <w:r>
        <w:rPr>
          <w:spacing w:val="-2"/>
        </w:rPr>
        <w:t> </w:t>
      </w:r>
      <w:r>
        <w:rPr/>
        <w:t>structures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sandstones,</w:t>
      </w:r>
      <w:r>
        <w:rPr>
          <w:spacing w:val="-1"/>
        </w:rPr>
        <w:t> </w:t>
      </w:r>
      <w:r>
        <w:rPr/>
        <w:t>siltstones and</w:t>
      </w:r>
      <w:r>
        <w:rPr>
          <w:spacing w:val="-1"/>
        </w:rPr>
        <w:t> </w:t>
      </w:r>
      <w:r>
        <w:rPr/>
        <w:t>ironstones.</w:t>
      </w:r>
    </w:p>
    <w:p>
      <w:pPr>
        <w:pStyle w:val="BodyText"/>
        <w:spacing w:line="480" w:lineRule="auto" w:before="3"/>
        <w:ind w:left="305" w:right="345"/>
        <w:jc w:val="both"/>
      </w:pPr>
      <w:r>
        <w:rPr/>
        <w:t>The clay is generally milky white to pure white in colour, fine to medium grained</w:t>
      </w:r>
      <w:r>
        <w:rPr>
          <w:spacing w:val="1"/>
        </w:rPr>
        <w:t> </w:t>
      </w:r>
      <w:r>
        <w:rPr/>
        <w:t>in texture and feels very smooth to less gritty when rubbed between the fingers.</w:t>
      </w:r>
      <w:r>
        <w:rPr>
          <w:spacing w:val="1"/>
        </w:rPr>
        <w:t> </w:t>
      </w:r>
      <w:r>
        <w:rPr/>
        <w:t>The smoothness and the grittiness can be attributed to the presence of quartz</w:t>
      </w:r>
      <w:r>
        <w:rPr>
          <w:spacing w:val="1"/>
        </w:rPr>
        <w:t> </w:t>
      </w:r>
      <w:r>
        <w:rPr/>
        <w:t>residuals in the deposit. Results of physical properties analyses indicate a liquid</w:t>
      </w:r>
      <w:r>
        <w:rPr>
          <w:spacing w:val="1"/>
        </w:rPr>
        <w:t> </w:t>
      </w:r>
      <w:r>
        <w:rPr/>
        <w:t>limit,</w:t>
      </w:r>
      <w:r>
        <w:rPr>
          <w:spacing w:val="7"/>
        </w:rPr>
        <w:t> </w:t>
      </w:r>
      <w:r>
        <w:rPr/>
        <w:t>plastic</w:t>
      </w:r>
      <w:r>
        <w:rPr>
          <w:spacing w:val="7"/>
        </w:rPr>
        <w:t> </w:t>
      </w:r>
      <w:r>
        <w:rPr/>
        <w:t>limit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plasticity</w:t>
      </w:r>
      <w:r>
        <w:rPr>
          <w:spacing w:val="-5"/>
        </w:rPr>
        <w:t> </w:t>
      </w:r>
      <w:r>
        <w:rPr/>
        <w:t>index</w:t>
      </w:r>
      <w:r>
        <w:rPr>
          <w:spacing w:val="11"/>
        </w:rPr>
        <w:t> </w:t>
      </w:r>
      <w:r>
        <w:rPr/>
        <w:t>values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clays</w:t>
      </w:r>
      <w:r>
        <w:rPr>
          <w:spacing w:val="7"/>
        </w:rPr>
        <w:t> </w:t>
      </w:r>
      <w:r>
        <w:rPr/>
        <w:t>range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/>
        <w:t>16.20</w:t>
      </w:r>
      <w:r>
        <w:rPr>
          <w:spacing w:val="8"/>
        </w:rPr>
        <w:t> </w:t>
      </w:r>
      <w:r>
        <w:rPr/>
        <w:t>to</w:t>
      </w:r>
    </w:p>
    <w:p>
      <w:pPr>
        <w:pStyle w:val="BodyText"/>
        <w:spacing w:line="480" w:lineRule="auto"/>
        <w:ind w:left="305" w:right="340"/>
        <w:jc w:val="both"/>
      </w:pPr>
      <w:r>
        <w:rPr/>
        <w:t>32.25 %, 9.00 to 27.00 % and 2.28 to 10.56 % respectively. This shows that the</w:t>
      </w:r>
      <w:r>
        <w:rPr>
          <w:spacing w:val="1"/>
        </w:rPr>
        <w:t> </w:t>
      </w:r>
      <w:r>
        <w:rPr/>
        <w:t>clays are generally of low to medium compressibility, low swelling and low to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plasticity.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low</w:t>
      </w:r>
      <w:r>
        <w:rPr>
          <w:spacing w:val="1"/>
        </w:rPr>
        <w:t> </w:t>
      </w:r>
      <w:r>
        <w:rPr/>
        <w:t>shrinkage</w:t>
      </w:r>
      <w:r>
        <w:rPr>
          <w:spacing w:val="3"/>
        </w:rPr>
        <w:t> </w:t>
      </w:r>
      <w:r>
        <w:rPr/>
        <w:t>values</w:t>
      </w:r>
      <w:r>
        <w:rPr>
          <w:spacing w:val="3"/>
        </w:rPr>
        <w:t> </w:t>
      </w:r>
      <w:r>
        <w:rPr/>
        <w:t>shrinkage</w:t>
      </w:r>
      <w:r>
        <w:rPr>
          <w:spacing w:val="-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63"/>
        </w:rPr>
        <w:t> </w:t>
      </w:r>
      <w:r>
        <w:rPr/>
        <w:t>3.76</w:t>
      </w:r>
      <w:r>
        <w:rPr>
          <w:spacing w:val="6"/>
        </w:rPr>
        <w:t> </w:t>
      </w:r>
      <w:r>
        <w:rPr/>
        <w:t>%,</w:t>
      </w:r>
      <w:r>
        <w:rPr>
          <w:spacing w:val="3"/>
        </w:rPr>
        <w:t> </w:t>
      </w:r>
      <w:r>
        <w:rPr/>
        <w:t>3.99</w:t>
      </w:r>
      <w:r>
        <w:rPr>
          <w:spacing w:val="2"/>
        </w:rPr>
        <w:t> </w:t>
      </w:r>
      <w:r>
        <w:rPr/>
        <w:t>%,</w:t>
      </w:r>
    </w:p>
    <w:p>
      <w:pPr>
        <w:pStyle w:val="BodyText"/>
        <w:spacing w:line="480" w:lineRule="auto" w:before="1"/>
        <w:ind w:left="305" w:right="338"/>
        <w:jc w:val="both"/>
      </w:pPr>
      <w:r>
        <w:rPr/>
        <w:t>4.78 %, 5.05 %, 4.28 %, 5.79 %, 6.6%, and 6 % respectively suggest that the clay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suitable raw</w:t>
      </w:r>
      <w:r>
        <w:rPr>
          <w:spacing w:val="-1"/>
        </w:rPr>
        <w:t> </w:t>
      </w:r>
      <w:r>
        <w:rPr/>
        <w:t>material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58"/>
        </w:rPr>
        <w:t> </w:t>
      </w:r>
      <w:r>
        <w:rPr/>
        <w:t>ceramics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industries.</w:t>
      </w:r>
    </w:p>
    <w:p>
      <w:pPr>
        <w:pStyle w:val="BodyText"/>
        <w:spacing w:line="480" w:lineRule="auto"/>
        <w:ind w:left="305" w:right="342" w:firstLine="59"/>
        <w:jc w:val="both"/>
      </w:pPr>
      <w:r>
        <w:rPr/>
        <w:t>Clay minerals found in the deposits are Kaolinite and Dickite. Quartz constitutes</w:t>
      </w:r>
      <w:r>
        <w:rPr>
          <w:spacing w:val="1"/>
        </w:rPr>
        <w:t> </w:t>
      </w:r>
      <w:r>
        <w:rPr/>
        <w:t>the highest non-clay mineral content in the deposit with an average content value</w:t>
      </w:r>
      <w:r>
        <w:rPr>
          <w:spacing w:val="1"/>
        </w:rPr>
        <w:t> </w:t>
      </w:r>
      <w:r>
        <w:rPr/>
        <w:t>of 49.98%. The high quartz content does not make them industrially useful unless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beneficiation.</w:t>
      </w:r>
    </w:p>
    <w:p>
      <w:pPr>
        <w:pStyle w:val="BodyText"/>
        <w:spacing w:line="480" w:lineRule="auto"/>
        <w:ind w:left="305" w:right="336"/>
        <w:jc w:val="both"/>
      </w:pPr>
      <w:r>
        <w:rPr/>
        <w:t>The chemical composition shows high</w:t>
      </w:r>
      <w:r>
        <w:rPr>
          <w:spacing w:val="1"/>
        </w:rPr>
        <w:t> </w:t>
      </w:r>
      <w:r>
        <w:rPr/>
        <w:t>content value of SiO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 Al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vertAlign w:val="baseline"/>
        </w:rPr>
        <w:t>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 46.82% and 35.44% respectively and minor compounds range of</w:t>
      </w:r>
      <w:r>
        <w:rPr>
          <w:spacing w:val="1"/>
          <w:vertAlign w:val="baseline"/>
        </w:rPr>
        <w:t> </w:t>
      </w:r>
      <w:r>
        <w:rPr>
          <w:vertAlign w:val="baseline"/>
        </w:rPr>
        <w:t>MgO</w:t>
      </w:r>
      <w:r>
        <w:rPr>
          <w:spacing w:val="1"/>
          <w:vertAlign w:val="baseline"/>
        </w:rPr>
        <w:t> </w:t>
      </w:r>
      <w:r>
        <w:rPr>
          <w:vertAlign w:val="baseline"/>
        </w:rPr>
        <w:t>(0.28</w:t>
      </w:r>
      <w:r>
        <w:rPr>
          <w:spacing w:val="17"/>
          <w:vertAlign w:val="baseline"/>
        </w:rPr>
        <w:t> </w:t>
      </w:r>
      <w:r>
        <w:rPr>
          <w:vertAlign w:val="baseline"/>
        </w:rPr>
        <w:t>-0.35),</w:t>
      </w:r>
      <w:r>
        <w:rPr>
          <w:spacing w:val="23"/>
          <w:vertAlign w:val="baseline"/>
        </w:rPr>
        <w:t> </w:t>
      </w:r>
      <w:r>
        <w:rPr>
          <w:vertAlign w:val="baseline"/>
        </w:rPr>
        <w:t>Fe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vertAlign w:val="subscript"/>
        </w:rPr>
        <w:t>3</w:t>
      </w:r>
      <w:r>
        <w:rPr>
          <w:spacing w:val="25"/>
          <w:vertAlign w:val="baseline"/>
        </w:rPr>
        <w:t> </w:t>
      </w:r>
      <w:r>
        <w:rPr>
          <w:vertAlign w:val="baseline"/>
        </w:rPr>
        <w:t>(0.51-</w:t>
      </w:r>
      <w:r>
        <w:rPr>
          <w:spacing w:val="17"/>
          <w:vertAlign w:val="baseline"/>
        </w:rPr>
        <w:t> </w:t>
      </w:r>
      <w:r>
        <w:rPr>
          <w:vertAlign w:val="baseline"/>
        </w:rPr>
        <w:t>1.59),</w:t>
      </w:r>
      <w:r>
        <w:rPr>
          <w:spacing w:val="18"/>
          <w:vertAlign w:val="baseline"/>
        </w:rPr>
        <w:t> </w:t>
      </w:r>
      <w:r>
        <w:rPr>
          <w:vertAlign w:val="baseline"/>
        </w:rPr>
        <w:t>CaO</w:t>
      </w:r>
      <w:r>
        <w:rPr>
          <w:spacing w:val="17"/>
          <w:vertAlign w:val="baseline"/>
        </w:rPr>
        <w:t> </w:t>
      </w:r>
      <w:r>
        <w:rPr>
          <w:vertAlign w:val="baseline"/>
        </w:rPr>
        <w:t>(0.03–0.62),</w:t>
      </w:r>
      <w:r>
        <w:rPr>
          <w:spacing w:val="2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20"/>
          <w:vertAlign w:val="baseline"/>
        </w:rPr>
        <w:t> </w:t>
      </w:r>
      <w:r>
        <w:rPr>
          <w:vertAlign w:val="baseline"/>
        </w:rPr>
        <w:t>(0.40-1.06),</w:t>
      </w:r>
      <w:r>
        <w:rPr>
          <w:spacing w:val="18"/>
          <w:vertAlign w:val="baseline"/>
        </w:rPr>
        <w:t> </w:t>
      </w:r>
      <w:r>
        <w:rPr>
          <w:vertAlign w:val="baseline"/>
        </w:rPr>
        <w:t>TiO</w:t>
      </w:r>
      <w:r>
        <w:rPr>
          <w:vertAlign w:val="sub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(0.45–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570" w:right="603"/>
        <w:jc w:val="center"/>
      </w:pPr>
      <w:r>
        <w:rPr/>
        <w:t>67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475" w:lineRule="auto" w:before="67"/>
        <w:ind w:left="305" w:right="343"/>
        <w:jc w:val="both"/>
      </w:pPr>
      <w:r>
        <w:rPr/>
        <w:t>0.90), and Na</w:t>
      </w:r>
      <w:r>
        <w:rPr>
          <w:vertAlign w:val="subscript"/>
        </w:rPr>
        <w:t>2</w:t>
      </w:r>
      <w:r>
        <w:rPr>
          <w:vertAlign w:val="baseline"/>
        </w:rPr>
        <w:t>O (0.68 –2.14) which are within acceptable limits for paper coating</w:t>
      </w:r>
      <w:r>
        <w:rPr>
          <w:spacing w:val="1"/>
          <w:vertAlign w:val="baseline"/>
        </w:rPr>
        <w:t> </w:t>
      </w:r>
      <w:r>
        <w:rPr>
          <w:vertAlign w:val="baseline"/>
        </w:rPr>
        <w:t>paper</w:t>
      </w:r>
      <w:r>
        <w:rPr>
          <w:spacing w:val="-2"/>
          <w:vertAlign w:val="baseline"/>
        </w:rPr>
        <w:t> </w:t>
      </w:r>
      <w:r>
        <w:rPr>
          <w:vertAlign w:val="baseline"/>
        </w:rPr>
        <w:t>filler.</w:t>
      </w:r>
    </w:p>
    <w:p>
      <w:pPr>
        <w:pStyle w:val="BodyText"/>
        <w:spacing w:line="480" w:lineRule="auto" w:before="7"/>
        <w:ind w:left="305" w:right="338"/>
        <w:jc w:val="both"/>
      </w:pPr>
      <w:r>
        <w:rPr/>
        <w:t>The comparison of the physical properties, mineralogy and chemical composition</w:t>
      </w:r>
      <w:r>
        <w:rPr>
          <w:spacing w:val="1"/>
        </w:rPr>
        <w:t> </w:t>
      </w:r>
      <w:r>
        <w:rPr/>
        <w:t>of the study clay with the specifications of some</w:t>
      </w:r>
      <w:r>
        <w:rPr>
          <w:spacing w:val="60"/>
        </w:rPr>
        <w:t> </w:t>
      </w:r>
      <w:r>
        <w:rPr/>
        <w:t>Industrial clay shows that they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2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for most</w:t>
      </w:r>
      <w:r>
        <w:rPr>
          <w:spacing w:val="5"/>
        </w:rPr>
        <w:t> </w:t>
      </w:r>
      <w:r>
        <w:rPr/>
        <w:t>Industry</w:t>
      </w:r>
      <w:r>
        <w:rPr>
          <w:spacing w:val="-9"/>
        </w:rPr>
        <w:t> </w:t>
      </w:r>
      <w:r>
        <w:rPr/>
        <w:t>unless with beneficiation.</w:t>
      </w:r>
    </w:p>
    <w:p>
      <w:pPr>
        <w:pStyle w:val="Heading1"/>
        <w:spacing w:before="9"/>
        <w:ind w:left="305" w:firstLine="0"/>
      </w:pPr>
      <w:bookmarkStart w:name="_TOC_250001" w:id="44"/>
      <w:r>
        <w:rPr/>
        <w:t>5.2    </w:t>
      </w:r>
      <w:r>
        <w:rPr>
          <w:spacing w:val="51"/>
        </w:rPr>
        <w:t> </w:t>
      </w:r>
      <w:bookmarkEnd w:id="44"/>
      <w:r>
        <w:rPr/>
        <w:t>Recommendations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305" w:right="352"/>
        <w:jc w:val="both"/>
      </w:pPr>
      <w:r>
        <w:rPr/>
        <w:t>Paper industry should be encouraged to begin exploitation of the clay deposit also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ceramics industry</w:t>
      </w:r>
      <w:r>
        <w:rPr>
          <w:spacing w:val="-5"/>
        </w:rPr>
        <w:t> </w:t>
      </w:r>
      <w:r>
        <w:rPr/>
        <w:t>can be</w:t>
      </w:r>
      <w:r>
        <w:rPr>
          <w:spacing w:val="-2"/>
        </w:rPr>
        <w:t> </w:t>
      </w:r>
      <w:r>
        <w:rPr/>
        <w:t>approached to utilize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deposit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570" w:right="603"/>
        <w:jc w:val="center"/>
      </w:pPr>
      <w:r>
        <w:rPr/>
        <w:t>68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Heading1"/>
        <w:ind w:left="1073" w:right="234" w:firstLine="0"/>
        <w:jc w:val="center"/>
      </w:pPr>
      <w:bookmarkStart w:name="_TOC_250000" w:id="45"/>
      <w:bookmarkEnd w:id="45"/>
      <w:r>
        <w:rPr/>
        <w:t>REFERENCES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276" w:lineRule="auto"/>
        <w:ind w:left="1025" w:right="318" w:hanging="718"/>
        <w:jc w:val="both"/>
      </w:pPr>
      <w:r>
        <w:rPr/>
        <w:t>Abuh, M. A., Abia-Bassey, N., Udeinya, T. C., Nwannewuihe, H. U., Abong, A.</w:t>
      </w:r>
      <w:r>
        <w:rPr>
          <w:spacing w:val="1"/>
        </w:rPr>
        <w:t> </w:t>
      </w:r>
      <w:r>
        <w:rPr/>
        <w:t>A., &amp;</w:t>
      </w:r>
      <w:r>
        <w:rPr>
          <w:spacing w:val="1"/>
        </w:rPr>
        <w:t> </w:t>
      </w:r>
      <w:r>
        <w:rPr/>
        <w:t>Akpomie,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 Adiabo</w:t>
      </w:r>
      <w:r>
        <w:rPr>
          <w:spacing w:val="1"/>
        </w:rPr>
        <w:t> </w:t>
      </w:r>
      <w:r>
        <w:rPr/>
        <w:t>clay in</w:t>
      </w:r>
      <w:r>
        <w:rPr>
          <w:spacing w:val="1"/>
        </w:rPr>
        <w:t> </w:t>
      </w:r>
      <w:r>
        <w:rPr/>
        <w:t>Calabar municipal of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South-South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Pacific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Science and Technology</w:t>
      </w:r>
      <w:r>
        <w:rPr/>
        <w:t>,</w:t>
      </w:r>
      <w:r>
        <w:rPr>
          <w:spacing w:val="37"/>
        </w:rPr>
        <w:t> </w:t>
      </w:r>
      <w:r>
        <w:rPr/>
        <w:t>15(1), 63–75.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276" w:lineRule="auto" w:before="1"/>
        <w:ind w:left="1025" w:right="319" w:hanging="718"/>
        <w:jc w:val="both"/>
      </w:pPr>
      <w:r>
        <w:rPr/>
        <w:t>Adamu. C. I., &amp; Duru, C. C. (2020). Composition geotechnical characteristics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 for industrial use of some clay bodies in obudu and its</w:t>
      </w:r>
      <w:r>
        <w:rPr>
          <w:spacing w:val="1"/>
        </w:rPr>
        <w:t> </w:t>
      </w:r>
      <w:r>
        <w:rPr/>
        <w:t>environs southeastern Nigeria.</w:t>
      </w:r>
      <w:r>
        <w:rPr>
          <w:spacing w:val="1"/>
        </w:rPr>
        <w:t> </w:t>
      </w:r>
      <w:r>
        <w:rPr>
          <w:i/>
        </w:rPr>
        <w:t>Geotech</w:t>
      </w:r>
      <w:r>
        <w:rPr>
          <w:i/>
          <w:spacing w:val="1"/>
        </w:rPr>
        <w:t> </w:t>
      </w:r>
      <w:r>
        <w:rPr>
          <w:i/>
        </w:rPr>
        <w:t>Geology</w:t>
      </w:r>
      <w:r>
        <w:rPr>
          <w:i/>
          <w:spacing w:val="1"/>
        </w:rPr>
        <w:t> </w:t>
      </w:r>
      <w:r>
        <w:rPr>
          <w:i/>
        </w:rPr>
        <w:t>Engineer</w:t>
      </w:r>
      <w:r>
        <w:rPr/>
        <w:t>.</w:t>
      </w:r>
      <w:r>
        <w:rPr>
          <w:spacing w:val="1"/>
        </w:rPr>
        <w:t> </w:t>
      </w:r>
      <w:r>
        <w:rPr/>
        <w:t>doi.org/10.1007/s10706-020-01424-0.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0"/>
        <w:ind w:left="1013" w:right="339" w:hanging="706"/>
        <w:jc w:val="both"/>
        <w:rPr>
          <w:sz w:val="24"/>
        </w:rPr>
      </w:pPr>
      <w:r>
        <w:rPr>
          <w:sz w:val="24"/>
        </w:rPr>
        <w:t>Adegoke,</w:t>
      </w:r>
      <w:r>
        <w:rPr>
          <w:spacing w:val="1"/>
          <w:sz w:val="24"/>
        </w:rPr>
        <w:t> </w:t>
      </w:r>
      <w:r>
        <w:rPr>
          <w:sz w:val="24"/>
        </w:rPr>
        <w:t>O.S.</w:t>
      </w:r>
      <w:r>
        <w:rPr>
          <w:spacing w:val="1"/>
          <w:sz w:val="24"/>
        </w:rPr>
        <w:t> </w:t>
      </w:r>
      <w:r>
        <w:rPr>
          <w:sz w:val="24"/>
        </w:rPr>
        <w:t>(1979).</w:t>
      </w:r>
      <w:r>
        <w:rPr>
          <w:spacing w:val="1"/>
          <w:sz w:val="24"/>
        </w:rPr>
        <w:t> </w:t>
      </w:r>
      <w:r>
        <w:rPr>
          <w:sz w:val="24"/>
        </w:rPr>
        <w:t>Eocene</w:t>
      </w:r>
      <w:r>
        <w:rPr>
          <w:spacing w:val="1"/>
          <w:sz w:val="24"/>
        </w:rPr>
        <w:t> </w:t>
      </w:r>
      <w:r>
        <w:rPr>
          <w:sz w:val="24"/>
        </w:rPr>
        <w:t>Stratigraphy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Southern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Bureau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Recherches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Geologiques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et Minieres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69, 3-48.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013" w:right="319" w:hanging="706"/>
        <w:jc w:val="both"/>
        <w:rPr>
          <w:sz w:val="24"/>
        </w:rPr>
      </w:pPr>
      <w:r>
        <w:rPr>
          <w:sz w:val="24"/>
        </w:rPr>
        <w:t>Adeleye, D. R. (1971). </w:t>
      </w:r>
      <w:r>
        <w:rPr>
          <w:i/>
          <w:sz w:val="24"/>
        </w:rPr>
        <w:t>Stratigraphy and Sedimentation of the upper Cretaceous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PhD.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60"/>
          <w:sz w:val="24"/>
        </w:rPr>
        <w:t> </w:t>
      </w:r>
      <w:r>
        <w:rPr>
          <w:sz w:val="24"/>
        </w:rPr>
        <w:t>University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7"/>
        <w:rPr>
          <w:sz w:val="27"/>
        </w:rPr>
      </w:pPr>
    </w:p>
    <w:p>
      <w:pPr>
        <w:spacing w:line="273" w:lineRule="auto" w:before="0"/>
        <w:ind w:left="1013" w:right="340" w:hanging="706"/>
        <w:jc w:val="both"/>
        <w:rPr>
          <w:sz w:val="24"/>
        </w:rPr>
      </w:pPr>
      <w:r>
        <w:rPr>
          <w:sz w:val="24"/>
        </w:rPr>
        <w:t>Adeleye, D. R. (1973). Origin of Ironstones: an example from Middle – Niger</w:t>
      </w:r>
      <w:r>
        <w:rPr>
          <w:spacing w:val="1"/>
          <w:sz w:val="24"/>
        </w:rPr>
        <w:t> </w:t>
      </w:r>
      <w:r>
        <w:rPr>
          <w:sz w:val="24"/>
        </w:rPr>
        <w:t>valley,</w:t>
      </w:r>
      <w:r>
        <w:rPr>
          <w:spacing w:val="26"/>
          <w:sz w:val="24"/>
        </w:rPr>
        <w:t> </w:t>
      </w:r>
      <w:r>
        <w:rPr>
          <w:sz w:val="24"/>
        </w:rPr>
        <w:t>Nigeria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Sedimentary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Petrology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43(13),</w:t>
      </w:r>
      <w:r>
        <w:rPr>
          <w:spacing w:val="-1"/>
          <w:sz w:val="24"/>
        </w:rPr>
        <w:t> </w:t>
      </w:r>
      <w:r>
        <w:rPr>
          <w:sz w:val="24"/>
        </w:rPr>
        <w:t>709</w:t>
      </w:r>
      <w:r>
        <w:rPr>
          <w:spacing w:val="-1"/>
          <w:sz w:val="24"/>
        </w:rPr>
        <w:t> </w:t>
      </w:r>
      <w:r>
        <w:rPr>
          <w:sz w:val="24"/>
        </w:rPr>
        <w:t>– 727.</w:t>
      </w:r>
    </w:p>
    <w:p>
      <w:pPr>
        <w:pStyle w:val="BodyText"/>
        <w:spacing w:before="2"/>
        <w:rPr>
          <w:sz w:val="28"/>
        </w:rPr>
      </w:pPr>
    </w:p>
    <w:p>
      <w:pPr>
        <w:tabs>
          <w:tab w:pos="2465" w:val="left" w:leader="none"/>
        </w:tabs>
        <w:spacing w:line="273" w:lineRule="auto" w:before="0"/>
        <w:ind w:left="1013" w:right="320" w:hanging="706"/>
        <w:jc w:val="both"/>
        <w:rPr>
          <w:sz w:val="24"/>
        </w:rPr>
      </w:pPr>
      <w:r>
        <w:rPr>
          <w:sz w:val="24"/>
        </w:rPr>
        <w:t>Adeleye, D. R. (1989). </w:t>
      </w:r>
      <w:r>
        <w:rPr>
          <w:i/>
          <w:sz w:val="24"/>
        </w:rPr>
        <w:t>The Geology of the middle Niger Basin: </w:t>
      </w:r>
      <w:r>
        <w:rPr>
          <w:sz w:val="24"/>
        </w:rPr>
        <w:t>C. A. Kogbe</w:t>
      </w:r>
      <w:r>
        <w:rPr>
          <w:spacing w:val="1"/>
          <w:sz w:val="24"/>
        </w:rPr>
        <w:t> </w:t>
      </w:r>
      <w:r>
        <w:rPr>
          <w:sz w:val="24"/>
        </w:rPr>
        <w:t>(Editor),</w:t>
        <w:tab/>
        <w:t>Geology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ed.).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Jos,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Nigeria: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Rock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view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publishing Ltd, 335-339</w:t>
      </w:r>
    </w:p>
    <w:p>
      <w:pPr>
        <w:pStyle w:val="BodyText"/>
        <w:spacing w:before="11"/>
        <w:rPr>
          <w:sz w:val="27"/>
        </w:rPr>
      </w:pPr>
    </w:p>
    <w:p>
      <w:pPr>
        <w:spacing w:line="273" w:lineRule="auto" w:before="0"/>
        <w:ind w:left="1013" w:right="324" w:hanging="706"/>
        <w:jc w:val="both"/>
        <w:rPr>
          <w:sz w:val="24"/>
        </w:rPr>
      </w:pPr>
      <w:r>
        <w:rPr>
          <w:sz w:val="24"/>
        </w:rPr>
        <w:t>Adeleye,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Dessauvagie,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(1972).</w:t>
      </w:r>
      <w:r>
        <w:rPr>
          <w:spacing w:val="1"/>
          <w:sz w:val="24"/>
        </w:rPr>
        <w:t> </w:t>
      </w:r>
      <w:r>
        <w:rPr>
          <w:i/>
          <w:sz w:val="24"/>
        </w:rPr>
        <w:t>Stratigraphy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embayment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Geology.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Ibadan</w:t>
      </w:r>
      <w:r>
        <w:rPr>
          <w:spacing w:val="2"/>
          <w:sz w:val="24"/>
        </w:rPr>
        <w:t> </w:t>
      </w:r>
      <w:r>
        <w:rPr>
          <w:sz w:val="24"/>
        </w:rPr>
        <w:t>Press, 181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43"/>
          <w:sz w:val="24"/>
        </w:rPr>
        <w:t> </w:t>
      </w:r>
      <w:r>
        <w:rPr>
          <w:sz w:val="24"/>
        </w:rPr>
        <w:t>186.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6" w:lineRule="auto"/>
        <w:ind w:left="1013" w:right="319" w:hanging="706"/>
        <w:jc w:val="both"/>
      </w:pPr>
      <w:r>
        <w:rPr/>
        <w:t>Adeniyi, J. O. (1985). Ground total magnetic intensity in part of Nupe basin and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adjacent</w:t>
      </w:r>
      <w:r>
        <w:rPr>
          <w:spacing w:val="61"/>
        </w:rPr>
        <w:t> </w:t>
      </w:r>
      <w:r>
        <w:rPr/>
        <w:t>Basement</w:t>
      </w:r>
      <w:r>
        <w:rPr>
          <w:spacing w:val="61"/>
        </w:rPr>
        <w:t> </w:t>
      </w:r>
      <w:r>
        <w:rPr/>
        <w:t>Complex,</w:t>
      </w:r>
      <w:r>
        <w:rPr>
          <w:spacing w:val="61"/>
        </w:rPr>
        <w:t> </w:t>
      </w:r>
      <w:r>
        <w:rPr/>
        <w:t>Niger</w:t>
      </w:r>
      <w:r>
        <w:rPr>
          <w:spacing w:val="61"/>
        </w:rPr>
        <w:t> </w:t>
      </w:r>
      <w:r>
        <w:rPr/>
        <w:t>State,</w:t>
      </w:r>
      <w:r>
        <w:rPr>
          <w:spacing w:val="61"/>
        </w:rPr>
        <w:t> </w:t>
      </w:r>
      <w:r>
        <w:rPr/>
        <w:t>Nigeria.</w:t>
      </w:r>
      <w:r>
        <w:rPr>
          <w:spacing w:val="61"/>
        </w:rPr>
        <w:t> </w:t>
      </w:r>
      <w:r>
        <w:rPr>
          <w:i/>
        </w:rPr>
        <w:t>Nigerian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Applied Science</w:t>
      </w:r>
      <w:r>
        <w:rPr/>
        <w:t>, 3(2), 67 – 78.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1013" w:right="319" w:hanging="706"/>
        <w:jc w:val="both"/>
      </w:pPr>
      <w:r>
        <w:rPr/>
        <w:t>Adeniyi, J.O. (1986). Polynomial regional surfaces and two – dimensional models</w:t>
      </w:r>
      <w:r>
        <w:rPr>
          <w:spacing w:val="1"/>
        </w:rPr>
        <w:t> </w:t>
      </w:r>
      <w:r>
        <w:rPr/>
        <w:t>in parts ofthe Nupe Basin</w:t>
      </w:r>
      <w:r>
        <w:rPr>
          <w:spacing w:val="1"/>
        </w:rPr>
        <w:t> </w:t>
      </w:r>
      <w:r>
        <w:rPr/>
        <w:t>and the adjacent</w:t>
      </w:r>
      <w:r>
        <w:rPr>
          <w:spacing w:val="1"/>
        </w:rPr>
        <w:t> </w:t>
      </w:r>
      <w:r>
        <w:rPr/>
        <w:t>Basement Complex,</w:t>
      </w:r>
      <w:r>
        <w:rPr>
          <w:spacing w:val="60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58"/>
        </w:rPr>
        <w:t> </w:t>
      </w:r>
      <w:r>
        <w:rPr>
          <w:i/>
        </w:rPr>
        <w:t>Nigerian</w:t>
      </w:r>
      <w:r>
        <w:rPr>
          <w:i/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 4(2),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– 34.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 w:before="1"/>
        <w:ind w:left="1013" w:right="337" w:hanging="706"/>
        <w:jc w:val="both"/>
      </w:pPr>
      <w:r>
        <w:rPr/>
        <w:t>Aguzzi,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Sandri,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Cerezo,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Carazo,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Viseras,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>
          <w:i/>
        </w:rPr>
        <w:t>Clay</w:t>
      </w:r>
      <w:r>
        <w:rPr>
          <w:i/>
          <w:spacing w:val="1"/>
        </w:rPr>
        <w:t> </w:t>
      </w:r>
      <w:r>
        <w:rPr>
          <w:i/>
        </w:rPr>
        <w:t>Minerals</w:t>
      </w:r>
      <w:r>
        <w:rPr/>
        <w:t>,</w:t>
      </w:r>
      <w:r>
        <w:rPr>
          <w:spacing w:val="-1"/>
        </w:rPr>
        <w:t> </w:t>
      </w:r>
      <w:r>
        <w:rPr/>
        <w:t>7(10), 22-36.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20" w:right="339" w:hanging="708"/>
        <w:jc w:val="both"/>
      </w:pPr>
      <w:r>
        <w:rPr/>
        <w:t>Akande, S. O., Ojo, O. J., &amp; Erdtmann, B. D. (2005). Paleoenvironments, Organic</w:t>
      </w:r>
      <w:r>
        <w:rPr>
          <w:spacing w:val="-57"/>
        </w:rPr>
        <w:t> </w:t>
      </w:r>
      <w:r>
        <w:rPr/>
        <w:t>Petrology</w:t>
      </w:r>
      <w:r>
        <w:rPr>
          <w:spacing w:val="13"/>
        </w:rPr>
        <w:t> </w:t>
      </w:r>
      <w:r>
        <w:rPr/>
        <w:t>and</w:t>
      </w:r>
      <w:r>
        <w:rPr>
          <w:spacing w:val="20"/>
        </w:rPr>
        <w:t> </w:t>
      </w:r>
      <w:r>
        <w:rPr/>
        <w:t>Rock</w:t>
      </w:r>
      <w:r>
        <w:rPr>
          <w:spacing w:val="18"/>
        </w:rPr>
        <w:t> </w:t>
      </w:r>
      <w:r>
        <w:rPr/>
        <w:t>Eval</w:t>
      </w:r>
      <w:r>
        <w:rPr>
          <w:spacing w:val="21"/>
        </w:rPr>
        <w:t> </w:t>
      </w:r>
      <w:r>
        <w:rPr/>
        <w:t>studies</w:t>
      </w:r>
      <w:r>
        <w:rPr>
          <w:spacing w:val="19"/>
        </w:rPr>
        <w:t> </w:t>
      </w:r>
      <w:r>
        <w:rPr/>
        <w:t>on</w:t>
      </w:r>
      <w:r>
        <w:rPr>
          <w:spacing w:val="23"/>
        </w:rPr>
        <w:t> </w:t>
      </w:r>
      <w:r>
        <w:rPr/>
        <w:t>source</w:t>
      </w:r>
      <w:r>
        <w:rPr>
          <w:spacing w:val="19"/>
        </w:rPr>
        <w:t> </w:t>
      </w:r>
      <w:r>
        <w:rPr/>
        <w:t>rock</w:t>
      </w:r>
      <w:r>
        <w:rPr>
          <w:spacing w:val="25"/>
        </w:rPr>
        <w:t> </w:t>
      </w:r>
      <w:r>
        <w:rPr/>
        <w:t>facies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Campanian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570" w:right="603"/>
        <w:jc w:val="center"/>
      </w:pPr>
      <w:r>
        <w:rPr/>
        <w:t>69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spacing w:line="276" w:lineRule="auto" w:before="67"/>
        <w:ind w:left="1013" w:right="0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Maastrichtian Patti</w:t>
      </w:r>
      <w:r>
        <w:rPr>
          <w:spacing w:val="43"/>
          <w:sz w:val="24"/>
        </w:rPr>
        <w:t> </w:t>
      </w:r>
      <w:r>
        <w:rPr>
          <w:sz w:val="24"/>
        </w:rPr>
        <w:t>Formation,</w:t>
      </w:r>
      <w:r>
        <w:rPr>
          <w:spacing w:val="8"/>
          <w:sz w:val="24"/>
        </w:rPr>
        <w:t> </w:t>
      </w:r>
      <w:r>
        <w:rPr>
          <w:sz w:val="24"/>
        </w:rPr>
        <w:t>southern</w:t>
      </w:r>
      <w:r>
        <w:rPr>
          <w:spacing w:val="9"/>
          <w:sz w:val="24"/>
        </w:rPr>
        <w:t> </w:t>
      </w:r>
      <w:r>
        <w:rPr>
          <w:sz w:val="24"/>
        </w:rPr>
        <w:t>Bida</w:t>
      </w:r>
      <w:r>
        <w:rPr>
          <w:spacing w:val="7"/>
          <w:sz w:val="24"/>
        </w:rPr>
        <w:t> </w:t>
      </w:r>
      <w:r>
        <w:rPr>
          <w:sz w:val="24"/>
        </w:rPr>
        <w:t>basin,</w:t>
      </w:r>
      <w:r>
        <w:rPr>
          <w:spacing w:val="9"/>
          <w:sz w:val="24"/>
        </w:rPr>
        <w:t> </w:t>
      </w:r>
      <w:r>
        <w:rPr>
          <w:sz w:val="24"/>
        </w:rPr>
        <w:t>Nigeria.</w:t>
      </w:r>
      <w:r>
        <w:rPr>
          <w:spacing w:val="1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Earth Sciences</w:t>
      </w:r>
      <w:r>
        <w:rPr>
          <w:sz w:val="24"/>
        </w:rPr>
        <w:t>, 41, 394-406.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013" w:right="318" w:hanging="706"/>
        <w:jc w:val="both"/>
        <w:rPr>
          <w:sz w:val="24"/>
        </w:rPr>
      </w:pPr>
      <w:r>
        <w:rPr>
          <w:sz w:val="24"/>
        </w:rPr>
        <w:t>Akhirevbulu, O. E., Amadasun, C. V. O., Ogunbajo, M. I., &amp; Ujuanbi, O. (2010).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Mineralogy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Clay</w:t>
      </w:r>
      <w:r>
        <w:rPr>
          <w:spacing w:val="60"/>
          <w:sz w:val="24"/>
        </w:rPr>
        <w:t> </w:t>
      </w:r>
      <w:r>
        <w:rPr>
          <w:sz w:val="24"/>
        </w:rPr>
        <w:t>Occurrences</w:t>
      </w:r>
      <w:r>
        <w:rPr>
          <w:spacing w:val="60"/>
          <w:sz w:val="24"/>
        </w:rPr>
        <w:t> </w:t>
      </w:r>
      <w:r>
        <w:rPr>
          <w:sz w:val="24"/>
        </w:rPr>
        <w:t>around</w:t>
      </w:r>
      <w:r>
        <w:rPr>
          <w:spacing w:val="60"/>
          <w:sz w:val="24"/>
        </w:rPr>
        <w:t> </w:t>
      </w:r>
      <w:r>
        <w:rPr>
          <w:sz w:val="24"/>
        </w:rPr>
        <w:t>Kutigi</w:t>
      </w:r>
      <w:r>
        <w:rPr>
          <w:spacing w:val="1"/>
          <w:sz w:val="24"/>
        </w:rPr>
        <w:t> </w:t>
      </w:r>
      <w:r>
        <w:rPr>
          <w:sz w:val="24"/>
        </w:rPr>
        <w:t>Central Bida Basin, Nigeria. </w:t>
      </w:r>
      <w:r>
        <w:rPr>
          <w:i/>
          <w:sz w:val="24"/>
        </w:rPr>
        <w:t>Ethiopian Journal of Environmental 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 3(3).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0"/>
        <w:ind w:left="1013" w:right="320" w:hanging="706"/>
        <w:jc w:val="both"/>
        <w:rPr>
          <w:sz w:val="24"/>
        </w:rPr>
      </w:pPr>
      <w:r>
        <w:rPr>
          <w:sz w:val="24"/>
        </w:rPr>
        <w:t>Akhirevbulu, O. E. &amp; Ogunbajo, M.</w:t>
      </w:r>
      <w:r>
        <w:rPr>
          <w:spacing w:val="1"/>
          <w:sz w:val="24"/>
        </w:rPr>
        <w:t> </w:t>
      </w:r>
      <w:r>
        <w:rPr>
          <w:sz w:val="24"/>
        </w:rPr>
        <w:t>I. (2011).</w:t>
      </w:r>
      <w:r>
        <w:rPr>
          <w:spacing w:val="60"/>
          <w:sz w:val="24"/>
        </w:rPr>
        <w:t> </w:t>
      </w:r>
      <w:r>
        <w:rPr>
          <w:sz w:val="24"/>
        </w:rPr>
        <w:t>The Geotechnical Properties of</w:t>
      </w:r>
      <w:r>
        <w:rPr>
          <w:spacing w:val="1"/>
          <w:sz w:val="24"/>
        </w:rPr>
        <w:t> </w:t>
      </w:r>
      <w:r>
        <w:rPr>
          <w:sz w:val="24"/>
        </w:rPr>
        <w:t>Clay</w:t>
      </w:r>
      <w:r>
        <w:rPr>
          <w:spacing w:val="1"/>
          <w:sz w:val="24"/>
        </w:rPr>
        <w:t> </w:t>
      </w:r>
      <w:r>
        <w:rPr>
          <w:sz w:val="24"/>
        </w:rPr>
        <w:t>Occurrences around Kutigi Central Bida Basin, Nigeria. </w:t>
      </w:r>
      <w:r>
        <w:rPr>
          <w:i/>
          <w:sz w:val="24"/>
        </w:rPr>
        <w:t>Ethiopian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4(1),</w:t>
      </w:r>
      <w:r>
        <w:rPr>
          <w:spacing w:val="1"/>
          <w:sz w:val="24"/>
        </w:rPr>
        <w:t> </w:t>
      </w:r>
      <w:r>
        <w:rPr>
          <w:sz w:val="24"/>
        </w:rPr>
        <w:t>doi:10.4314/ejesm.v4i1.3.</w:t>
      </w:r>
    </w:p>
    <w:p>
      <w:pPr>
        <w:pStyle w:val="BodyText"/>
        <w:spacing w:before="1"/>
        <w:rPr>
          <w:sz w:val="25"/>
        </w:rPr>
      </w:pPr>
    </w:p>
    <w:p>
      <w:pPr>
        <w:spacing w:line="276" w:lineRule="auto" w:before="1"/>
        <w:ind w:left="1013" w:right="319" w:hanging="706"/>
        <w:jc w:val="both"/>
        <w:rPr>
          <w:sz w:val="24"/>
        </w:rPr>
      </w:pPr>
      <w:r>
        <w:rPr>
          <w:sz w:val="24"/>
        </w:rPr>
        <w:t>Alabi,</w:t>
      </w:r>
      <w:r>
        <w:rPr>
          <w:spacing w:val="1"/>
          <w:sz w:val="24"/>
        </w:rPr>
        <w:t> </w:t>
      </w:r>
      <w:r>
        <w:rPr>
          <w:sz w:val="24"/>
        </w:rPr>
        <w:t>A. A. (2005). </w:t>
      </w:r>
      <w:r>
        <w:rPr>
          <w:i/>
          <w:sz w:val="24"/>
        </w:rPr>
        <w:t>Exploration and reserve estimation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clay-A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case study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Kutigi clay deposit of Bida Basin</w:t>
      </w:r>
      <w:r>
        <w:rPr>
          <w:sz w:val="24"/>
        </w:rPr>
        <w:t>. Unpublished MTech Thesis, Federal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Technology</w:t>
      </w:r>
      <w:r>
        <w:rPr>
          <w:spacing w:val="-8"/>
          <w:sz w:val="24"/>
        </w:rPr>
        <w:t> </w:t>
      </w:r>
      <w:r>
        <w:rPr>
          <w:sz w:val="24"/>
        </w:rPr>
        <w:t>Minna, Nigeria.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0"/>
        <w:ind w:left="1013" w:right="314" w:hanging="706"/>
        <w:jc w:val="both"/>
        <w:rPr>
          <w:sz w:val="24"/>
        </w:rPr>
      </w:pPr>
      <w:r>
        <w:rPr>
          <w:sz w:val="24"/>
        </w:rPr>
        <w:t>Alabi,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Mineralogy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Geochemical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Clay</w:t>
      </w:r>
      <w:r>
        <w:rPr>
          <w:spacing w:val="1"/>
          <w:sz w:val="24"/>
        </w:rPr>
        <w:t> </w:t>
      </w:r>
      <w:r>
        <w:rPr>
          <w:sz w:val="24"/>
        </w:rPr>
        <w:t>Occurrence in Central</w:t>
      </w:r>
      <w:r>
        <w:rPr>
          <w:spacing w:val="1"/>
          <w:sz w:val="24"/>
        </w:rPr>
        <w:t> </w:t>
      </w:r>
      <w:r>
        <w:rPr>
          <w:sz w:val="24"/>
        </w:rPr>
        <w:t>Bida</w:t>
      </w:r>
      <w:r>
        <w:rPr>
          <w:spacing w:val="1"/>
          <w:sz w:val="24"/>
        </w:rPr>
        <w:t> </w:t>
      </w:r>
      <w:r>
        <w:rPr>
          <w:sz w:val="24"/>
        </w:rPr>
        <w:t>Basin</w:t>
      </w:r>
      <w:r>
        <w:rPr>
          <w:spacing w:val="1"/>
          <w:sz w:val="24"/>
        </w:rPr>
        <w:t> </w:t>
      </w:r>
      <w:r>
        <w:rPr>
          <w:sz w:val="24"/>
        </w:rPr>
        <w:t>Northwestern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Research, </w:t>
      </w:r>
      <w:r>
        <w:rPr>
          <w:sz w:val="24"/>
        </w:rPr>
        <w:t>5(20).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013" w:right="317" w:hanging="706"/>
        <w:jc w:val="both"/>
        <w:rPr>
          <w:sz w:val="24"/>
        </w:rPr>
      </w:pPr>
      <w:r>
        <w:rPr>
          <w:sz w:val="24"/>
        </w:rPr>
        <w:t>Alabi,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Provenance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Deposits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 Bida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Nigeria.</w:t>
      </w:r>
      <w:r>
        <w:rPr>
          <w:i/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61"/>
          <w:sz w:val="24"/>
        </w:rPr>
        <w:t> </w:t>
      </w:r>
      <w:r>
        <w:rPr>
          <w:sz w:val="24"/>
        </w:rPr>
        <w:t>PhD,</w:t>
      </w:r>
      <w:r>
        <w:rPr>
          <w:spacing w:val="61"/>
          <w:sz w:val="24"/>
        </w:rPr>
        <w:t> </w:t>
      </w:r>
      <w:r>
        <w:rPr>
          <w:sz w:val="24"/>
        </w:rPr>
        <w:t>Ahmadu</w:t>
      </w:r>
      <w:r>
        <w:rPr>
          <w:spacing w:val="6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Zaria,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13" w:right="338" w:hanging="706"/>
        <w:jc w:val="both"/>
      </w:pPr>
      <w:r>
        <w:rPr/>
        <w:t>Alabi A. A., Garba, I., Danbatta, U. A., &amp; Najime, T.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Depositional</w:t>
      </w:r>
      <w:r>
        <w:rPr>
          <w:spacing w:val="1"/>
        </w:rPr>
        <w:t> </w:t>
      </w:r>
      <w:r>
        <w:rPr/>
        <w:t>Environment and Paleo-redox</w:t>
      </w:r>
      <w:r>
        <w:rPr>
          <w:spacing w:val="1"/>
        </w:rPr>
        <w:t> </w:t>
      </w:r>
      <w:r>
        <w:rPr/>
        <w:t>Indicator of the</w:t>
      </w:r>
      <w:r>
        <w:rPr>
          <w:spacing w:val="1"/>
        </w:rPr>
        <w:t> </w:t>
      </w:r>
      <w:r>
        <w:rPr/>
        <w:t>Maastrichian-Campanian</w:t>
      </w:r>
      <w:r>
        <w:rPr>
          <w:spacing w:val="1"/>
        </w:rPr>
        <w:t> </w:t>
      </w:r>
      <w:r>
        <w:rPr/>
        <w:t>Clay in Central Bida Basin, NW Nigeria: Insight from Geochemistry and</w:t>
      </w:r>
      <w:r>
        <w:rPr>
          <w:spacing w:val="1"/>
        </w:rPr>
        <w:t> </w:t>
      </w:r>
      <w:r>
        <w:rPr/>
        <w:t>Sedimentology.</w:t>
      </w:r>
      <w:r>
        <w:rPr>
          <w:spacing w:val="60"/>
        </w:rPr>
        <w:t> </w:t>
      </w:r>
      <w:r>
        <w:rPr>
          <w:i/>
        </w:rPr>
        <w:t>Journal of Geosciences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61"/>
        </w:rPr>
        <w:t> </w:t>
      </w:r>
      <w:r>
        <w:rPr>
          <w:i/>
        </w:rPr>
        <w:t>Geomatics,   </w:t>
      </w:r>
      <w:r>
        <w:rPr/>
        <w:t>6(3),   147-</w:t>
      </w:r>
      <w:r>
        <w:rPr>
          <w:spacing w:val="-57"/>
        </w:rPr>
        <w:t> </w:t>
      </w:r>
      <w:r>
        <w:rPr/>
        <w:t>152,</w:t>
      </w:r>
      <w:r>
        <w:rPr>
          <w:spacing w:val="-1"/>
        </w:rPr>
        <w:t> </w:t>
      </w:r>
      <w:r>
        <w:rPr/>
        <w:t>doi: 10.12691/jgg-6-3-5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/>
        <w:ind w:left="1013" w:right="316" w:hanging="706"/>
        <w:jc w:val="both"/>
      </w:pPr>
      <w:r>
        <w:rPr/>
        <w:t>Alvarez</w:t>
      </w:r>
      <w:r>
        <w:rPr>
          <w:spacing w:val="1"/>
        </w:rPr>
        <w:t> </w:t>
      </w:r>
      <w:r>
        <w:rPr/>
        <w:t>Acevedo,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Rocha,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Bertolino,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C.</w:t>
      </w:r>
      <w:r>
        <w:rPr>
          <w:spacing w:val="61"/>
        </w:rPr>
        <w:t> </w:t>
      </w:r>
      <w:r>
        <w:rPr/>
        <w:t>(2017).</w:t>
      </w:r>
      <w:r>
        <w:rPr>
          <w:spacing w:val="1"/>
        </w:rPr>
        <w:t> </w:t>
      </w:r>
      <w:r>
        <w:rPr/>
        <w:t>Mineralogical Characterization of Natural Clays from Brazilian Southeast</w:t>
      </w:r>
      <w:r>
        <w:rPr>
          <w:spacing w:val="1"/>
        </w:rPr>
        <w:t> </w:t>
      </w:r>
      <w:r>
        <w:rPr/>
        <w:t>Region for Industrial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>
          <w:i/>
        </w:rPr>
        <w:t>Ceramica</w:t>
      </w:r>
      <w:r>
        <w:rPr/>
        <w:t>,</w:t>
      </w:r>
      <w:r>
        <w:rPr>
          <w:spacing w:val="1"/>
        </w:rPr>
        <w:t> </w:t>
      </w:r>
      <w:r>
        <w:rPr/>
        <w:t>63,</w:t>
      </w:r>
      <w:r>
        <w:rPr>
          <w:spacing w:val="1"/>
        </w:rPr>
        <w:t> </w:t>
      </w:r>
      <w:r>
        <w:rPr/>
        <w:t>253-262,</w:t>
      </w:r>
      <w:r>
        <w:rPr>
          <w:spacing w:val="1"/>
        </w:rPr>
        <w:t> </w:t>
      </w:r>
      <w:r>
        <w:rPr/>
        <w:t>doi.org/10.1590/0366-69132017633662045.</w:t>
      </w:r>
    </w:p>
    <w:p>
      <w:pPr>
        <w:pStyle w:val="BodyText"/>
        <w:spacing w:before="2"/>
        <w:rPr>
          <w:sz w:val="27"/>
        </w:rPr>
      </w:pPr>
    </w:p>
    <w:p>
      <w:pPr>
        <w:spacing w:line="278" w:lineRule="auto" w:before="1"/>
        <w:ind w:left="1025" w:right="336" w:hanging="718"/>
        <w:jc w:val="both"/>
        <w:rPr>
          <w:sz w:val="24"/>
        </w:rPr>
      </w:pPr>
      <w:r>
        <w:rPr>
          <w:sz w:val="24"/>
        </w:rPr>
        <w:t>Al Ani, T., &amp; Sarapää, O. (2008). Clay and clay mineralogy. </w:t>
      </w:r>
      <w:r>
        <w:rPr>
          <w:i/>
          <w:sz w:val="24"/>
        </w:rPr>
        <w:t>Geological Survey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Finland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M19/3232/2008/41, Espoo.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3" w:lineRule="auto" w:before="1"/>
        <w:ind w:left="1025" w:right="340" w:hanging="718"/>
        <w:jc w:val="both"/>
      </w:pPr>
      <w:r>
        <w:rPr/>
        <w:t>Arora, K. R. (2008). Soil mechanics and foundation engineering, (7t</w:t>
      </w:r>
      <w:r>
        <w:rPr>
          <w:vertAlign w:val="superscript"/>
        </w:rPr>
        <w:t>h</w:t>
      </w:r>
      <w:r>
        <w:rPr>
          <w:vertAlign w:val="baseline"/>
        </w:rPr>
        <w:t> ed.). Delhi,</w:t>
      </w:r>
      <w:r>
        <w:rPr>
          <w:spacing w:val="1"/>
          <w:vertAlign w:val="baseline"/>
        </w:rPr>
        <w:t> </w:t>
      </w:r>
      <w:r>
        <w:rPr>
          <w:vertAlign w:val="baseline"/>
        </w:rPr>
        <w:t>India:</w:t>
      </w:r>
      <w:r>
        <w:rPr>
          <w:spacing w:val="-1"/>
          <w:vertAlign w:val="baseline"/>
        </w:rPr>
        <w:t> </w:t>
      </w:r>
      <w:r>
        <w:rPr>
          <w:vertAlign w:val="baseline"/>
        </w:rPr>
        <w:t>Nai</w:t>
      </w:r>
      <w:r>
        <w:rPr>
          <w:spacing w:val="5"/>
          <w:vertAlign w:val="baseline"/>
        </w:rPr>
        <w:t> </w:t>
      </w:r>
      <w:r>
        <w:rPr>
          <w:vertAlign w:val="baseline"/>
        </w:rPr>
        <w:t>Sarak.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6" w:lineRule="auto"/>
        <w:ind w:left="1027" w:right="336" w:hanging="718"/>
        <w:jc w:val="both"/>
      </w:pPr>
      <w:r>
        <w:rPr/>
        <w:t>Asamoah, R. B., Nyanyan kson, E., Annan, E., Agyei</w:t>
      </w:r>
      <w:r>
        <w:rPr>
          <w:spacing w:val="60"/>
        </w:rPr>
        <w:t> </w:t>
      </w:r>
      <w:r>
        <w:rPr/>
        <w:t>–Tuffour, B., Efafavi1, J.</w:t>
      </w:r>
      <w:r>
        <w:rPr>
          <w:spacing w:val="1"/>
        </w:rPr>
        <w:t> </w:t>
      </w:r>
      <w:r>
        <w:rPr/>
        <w:t>K.,</w:t>
      </w:r>
      <w:r>
        <w:rPr>
          <w:spacing w:val="28"/>
        </w:rPr>
        <w:t> </w:t>
      </w:r>
      <w:r>
        <w:rPr/>
        <w:t>Kan-Dapaah,</w:t>
      </w:r>
      <w:r>
        <w:rPr>
          <w:spacing w:val="29"/>
        </w:rPr>
        <w:t> </w:t>
      </w:r>
      <w:r>
        <w:rPr/>
        <w:t>K.,</w:t>
      </w:r>
      <w:r>
        <w:rPr>
          <w:spacing w:val="31"/>
        </w:rPr>
        <w:t> </w:t>
      </w:r>
      <w:r>
        <w:rPr/>
        <w:t>Apalangya-alangya.,</w:t>
      </w:r>
      <w:r>
        <w:rPr>
          <w:spacing w:val="31"/>
        </w:rPr>
        <w:t> </w:t>
      </w:r>
      <w:r>
        <w:rPr/>
        <w:t>V.</w:t>
      </w:r>
      <w:r>
        <w:rPr>
          <w:spacing w:val="31"/>
        </w:rPr>
        <w:t> </w:t>
      </w:r>
      <w:r>
        <w:rPr/>
        <w:t>A.,</w:t>
      </w:r>
      <w:r>
        <w:rPr>
          <w:spacing w:val="35"/>
        </w:rPr>
        <w:t> </w:t>
      </w:r>
      <w:r>
        <w:rPr/>
        <w:t>Damoah</w:t>
      </w:r>
      <w:r>
        <w:rPr>
          <w:spacing w:val="29"/>
        </w:rPr>
        <w:t> </w:t>
      </w:r>
      <w:r>
        <w:rPr/>
        <w:t>amoah,</w:t>
      </w:r>
      <w:r>
        <w:rPr>
          <w:spacing w:val="35"/>
        </w:rPr>
        <w:t> </w:t>
      </w:r>
      <w:r>
        <w:rPr/>
        <w:t>L.</w:t>
      </w:r>
      <w:r>
        <w:rPr>
          <w:spacing w:val="32"/>
        </w:rPr>
        <w:t> </w:t>
      </w:r>
      <w:r>
        <w:rPr/>
        <w:t>N.,</w:t>
      </w:r>
    </w:p>
    <w:p>
      <w:pPr>
        <w:pStyle w:val="BodyText"/>
        <w:spacing w:before="220"/>
        <w:ind w:left="570" w:right="603"/>
        <w:jc w:val="center"/>
      </w:pPr>
      <w:r>
        <w:rPr/>
        <w:t>70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276" w:lineRule="auto" w:before="67"/>
        <w:ind w:left="1025" w:right="319"/>
        <w:jc w:val="both"/>
      </w:pPr>
      <w:r>
        <w:rPr/>
        <w:t>Dodoo –Arhin, D.,</w:t>
      </w:r>
      <w:r>
        <w:rPr>
          <w:spacing w:val="1"/>
        </w:rPr>
        <w:t> </w:t>
      </w:r>
      <w:r>
        <w:rPr/>
        <w:t>Tiburuburu,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Kwofie,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K.,</w:t>
      </w:r>
      <w:r>
        <w:rPr>
          <w:spacing w:val="60"/>
        </w:rPr>
        <w:t> </w:t>
      </w:r>
      <w:r>
        <w:rPr/>
        <w:t>Onwona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Agyeman, B., &amp; Yaya, A. (2018). Industrial applications of clay materials</w:t>
      </w:r>
      <w:r>
        <w:rPr>
          <w:spacing w:val="1"/>
        </w:rPr>
        <w:t> </w:t>
      </w:r>
      <w:r>
        <w:rPr/>
        <w:t>from Ghana (A Review). </w:t>
      </w:r>
      <w:r>
        <w:rPr>
          <w:i/>
        </w:rPr>
        <w:t>Oriental Journal of Chemistry, </w:t>
      </w:r>
      <w:r>
        <w:rPr/>
        <w:t>34(4) 1719-1734,</w:t>
      </w:r>
      <w:r>
        <w:rPr>
          <w:spacing w:val="1"/>
        </w:rPr>
        <w:t> </w:t>
      </w:r>
      <w:r>
        <w:rPr/>
        <w:t>doi:org/10.13005/ojc/340403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76" w:lineRule="auto"/>
        <w:ind w:left="1025" w:right="345" w:hanging="718"/>
        <w:jc w:val="both"/>
      </w:pPr>
      <w:r>
        <w:rPr/>
        <w:t>Asantewah,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Korankye,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Darko,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Dodd,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>
          <w:i/>
        </w:rPr>
        <w:t>Toxicology</w:t>
      </w:r>
      <w:r>
        <w:rPr>
          <w:i/>
          <w:spacing w:val="1"/>
        </w:rPr>
        <w:t> </w:t>
      </w:r>
      <w:r>
        <w:rPr>
          <w:i/>
        </w:rPr>
        <w:t>Reports</w:t>
      </w:r>
      <w:r>
        <w:rPr/>
        <w:t>,</w:t>
      </w:r>
      <w:r>
        <w:rPr>
          <w:spacing w:val="-1"/>
        </w:rPr>
        <w:t> </w:t>
      </w:r>
      <w:r>
        <w:rPr/>
        <w:t>134,</w:t>
      </w:r>
      <w:r>
        <w:rPr>
          <w:spacing w:val="35"/>
        </w:rPr>
        <w:t> </w:t>
      </w:r>
      <w:r>
        <w:rPr/>
        <w:t>644–651.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1"/>
        <w:ind w:right="37"/>
        <w:jc w:val="center"/>
      </w:pPr>
      <w:r>
        <w:rPr/>
        <w:t>Balaras,</w:t>
      </w:r>
      <w:r>
        <w:rPr>
          <w:spacing w:val="38"/>
        </w:rPr>
        <w:t> </w:t>
      </w:r>
      <w:r>
        <w:rPr/>
        <w:t>C.</w:t>
      </w:r>
      <w:r>
        <w:rPr>
          <w:spacing w:val="38"/>
        </w:rPr>
        <w:t> </w:t>
      </w:r>
      <w:r>
        <w:rPr/>
        <w:t>A.,</w:t>
      </w:r>
      <w:r>
        <w:rPr>
          <w:spacing w:val="38"/>
        </w:rPr>
        <w:t> </w:t>
      </w:r>
      <w:r>
        <w:rPr/>
        <w:t>Droutsa,</w:t>
      </w:r>
      <w:r>
        <w:rPr>
          <w:spacing w:val="41"/>
        </w:rPr>
        <w:t> </w:t>
      </w:r>
      <w:r>
        <w:rPr/>
        <w:t>K.,</w:t>
      </w:r>
      <w:r>
        <w:rPr>
          <w:spacing w:val="38"/>
        </w:rPr>
        <w:t> </w:t>
      </w:r>
      <w:r>
        <w:rPr/>
        <w:t>Argiriou,</w:t>
      </w:r>
      <w:r>
        <w:rPr>
          <w:spacing w:val="39"/>
        </w:rPr>
        <w:t> </w:t>
      </w:r>
      <w:r>
        <w:rPr/>
        <w:t>A.</w:t>
      </w:r>
      <w:r>
        <w:rPr>
          <w:spacing w:val="39"/>
        </w:rPr>
        <w:t> </w:t>
      </w:r>
      <w:r>
        <w:rPr/>
        <w:t>A.,</w:t>
      </w:r>
      <w:r>
        <w:rPr>
          <w:spacing w:val="38"/>
        </w:rPr>
        <w:t> </w:t>
      </w:r>
      <w:r>
        <w:rPr/>
        <w:t>&amp;</w:t>
      </w:r>
      <w:r>
        <w:rPr>
          <w:spacing w:val="36"/>
        </w:rPr>
        <w:t> </w:t>
      </w:r>
      <w:r>
        <w:rPr/>
        <w:t>Asimakopoulos,</w:t>
      </w:r>
      <w:r>
        <w:rPr>
          <w:spacing w:val="39"/>
        </w:rPr>
        <w:t> </w:t>
      </w:r>
      <w:r>
        <w:rPr/>
        <w:t>D.</w:t>
      </w:r>
      <w:r>
        <w:rPr>
          <w:spacing w:val="38"/>
        </w:rPr>
        <w:t> </w:t>
      </w:r>
      <w:r>
        <w:rPr/>
        <w:t>N.</w:t>
      </w:r>
      <w:r>
        <w:rPr>
          <w:spacing w:val="36"/>
        </w:rPr>
        <w:t> </w:t>
      </w:r>
      <w:r>
        <w:rPr/>
        <w:t>(2000).</w:t>
      </w:r>
    </w:p>
    <w:p>
      <w:pPr>
        <w:spacing w:before="40"/>
        <w:ind w:left="1025" w:right="0" w:firstLine="0"/>
        <w:jc w:val="both"/>
        <w:rPr>
          <w:sz w:val="24"/>
        </w:rPr>
      </w:pPr>
      <w:r>
        <w:rPr>
          <w:i/>
          <w:sz w:val="24"/>
        </w:rPr>
        <w:t>Energy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buildings,</w:t>
      </w:r>
      <w:r>
        <w:rPr>
          <w:i/>
          <w:spacing w:val="-1"/>
          <w:sz w:val="24"/>
        </w:rPr>
        <w:t> </w:t>
      </w:r>
      <w:r>
        <w:rPr>
          <w:sz w:val="24"/>
        </w:rPr>
        <w:t>31(2),</w:t>
      </w:r>
      <w:r>
        <w:rPr>
          <w:spacing w:val="-2"/>
          <w:sz w:val="24"/>
        </w:rPr>
        <w:t> </w:t>
      </w:r>
      <w:r>
        <w:rPr>
          <w:sz w:val="24"/>
        </w:rPr>
        <w:t>143-54.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 w:before="1"/>
        <w:ind w:left="1025" w:right="331" w:hanging="718"/>
        <w:jc w:val="both"/>
      </w:pPr>
      <w:r>
        <w:rPr/>
        <w:t>Barshad, I. (1966). Effect of a variation in precipitation on the nature of clay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formation in soils from acid and basic igneous rocks.</w:t>
      </w:r>
      <w:r>
        <w:rPr>
          <w:spacing w:val="60"/>
        </w:rPr>
        <w:t> </w:t>
      </w:r>
      <w:r>
        <w:rPr/>
        <w:t>In: Heller,</w:t>
      </w:r>
      <w:r>
        <w:rPr>
          <w:spacing w:val="1"/>
        </w:rPr>
        <w:t> </w:t>
      </w:r>
      <w:r>
        <w:rPr/>
        <w:t>L., Weiss, A. (Eds.),</w:t>
      </w:r>
      <w:r>
        <w:rPr>
          <w:spacing w:val="1"/>
        </w:rPr>
        <w:t> </w:t>
      </w:r>
      <w:r>
        <w:rPr/>
        <w:t>Proceedings of the International Clay Conference,</w:t>
      </w:r>
      <w:r>
        <w:rPr>
          <w:spacing w:val="1"/>
        </w:rPr>
        <w:t> </w:t>
      </w:r>
      <w:r>
        <w:rPr/>
        <w:t>Jerusalem, Israel Program for Scientific Translation, Jerusalem, 1, 167–</w:t>
      </w:r>
      <w:r>
        <w:rPr>
          <w:spacing w:val="1"/>
        </w:rPr>
        <w:t> </w:t>
      </w:r>
      <w:r>
        <w:rPr/>
        <w:t>173.</w:t>
      </w:r>
    </w:p>
    <w:p>
      <w:pPr>
        <w:pStyle w:val="BodyText"/>
        <w:spacing w:before="3"/>
        <w:rPr>
          <w:sz w:val="27"/>
        </w:rPr>
      </w:pPr>
    </w:p>
    <w:p>
      <w:pPr>
        <w:spacing w:line="273" w:lineRule="auto" w:before="1"/>
        <w:ind w:left="1025" w:right="340" w:hanging="718"/>
        <w:jc w:val="both"/>
        <w:rPr>
          <w:sz w:val="24"/>
        </w:rPr>
      </w:pPr>
      <w:r>
        <w:rPr>
          <w:sz w:val="24"/>
        </w:rPr>
        <w:t>Benneth,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Settling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kaolinite</w:t>
      </w:r>
      <w:r>
        <w:rPr>
          <w:spacing w:val="1"/>
          <w:sz w:val="24"/>
        </w:rPr>
        <w:t> </w:t>
      </w:r>
      <w:r>
        <w:rPr>
          <w:sz w:val="24"/>
        </w:rPr>
        <w:t>clay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flocculants.</w:t>
      </w:r>
      <w:r>
        <w:rPr>
          <w:spacing w:val="-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9(1),</w:t>
      </w:r>
      <w:r>
        <w:rPr>
          <w:spacing w:val="-1"/>
          <w:sz w:val="24"/>
        </w:rPr>
        <w:t> </w:t>
      </w:r>
      <w:r>
        <w:rPr>
          <w:sz w:val="24"/>
        </w:rPr>
        <w:t>212–218.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76" w:lineRule="auto"/>
        <w:ind w:left="1025" w:right="318" w:hanging="718"/>
        <w:jc w:val="both"/>
      </w:pPr>
      <w:r>
        <w:rPr/>
        <w:t>Bergaya, F., Theng B. K. G., &amp; Lagaly G. (2006). Handbook of Clay Science.</w:t>
      </w:r>
      <w:r>
        <w:rPr>
          <w:spacing w:val="1"/>
        </w:rPr>
        <w:t> </w:t>
      </w:r>
      <w:r>
        <w:rPr/>
        <w:t>Developments in Clay Science Series. </w:t>
      </w:r>
      <w:r>
        <w:rPr>
          <w:i/>
        </w:rPr>
        <w:t>Geological Magazine, </w:t>
      </w:r>
      <w:r>
        <w:rPr/>
        <w:t>145(03), xxi-</w:t>
      </w:r>
      <w:r>
        <w:rPr>
          <w:spacing w:val="1"/>
        </w:rPr>
        <w:t> </w:t>
      </w:r>
      <w:r>
        <w:rPr/>
        <w:t>1224,</w:t>
      </w:r>
      <w:r>
        <w:rPr>
          <w:spacing w:val="-1"/>
        </w:rPr>
        <w:t> </w:t>
      </w:r>
      <w:r>
        <w:rPr/>
        <w:t>doi: 10.1017/S001675680800438X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3" w:lineRule="auto"/>
        <w:ind w:left="1025" w:right="316" w:hanging="718"/>
        <w:jc w:val="both"/>
      </w:pPr>
      <w:r>
        <w:rPr/>
        <w:t>Bergaya, F., &amp; Lagaly, G. (2013). Clays and Clay Minerals, and Clay Science.</w:t>
      </w:r>
      <w:r>
        <w:rPr>
          <w:spacing w:val="1"/>
        </w:rPr>
        <w:t> </w:t>
      </w:r>
      <w:r>
        <w:rPr>
          <w:i/>
        </w:rPr>
        <w:t>Developments in</w:t>
      </w:r>
      <w:r>
        <w:rPr>
          <w:i/>
          <w:spacing w:val="1"/>
        </w:rPr>
        <w:t> </w:t>
      </w:r>
      <w:r>
        <w:rPr>
          <w:i/>
        </w:rPr>
        <w:t>Clay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1-19,</w:t>
      </w:r>
      <w:r>
        <w:rPr>
          <w:spacing w:val="1"/>
        </w:rPr>
        <w:t> </w:t>
      </w:r>
      <w:r>
        <w:rPr/>
        <w:t>doi:10.1016/S1572-</w:t>
      </w:r>
      <w:r>
        <w:rPr>
          <w:spacing w:val="1"/>
        </w:rPr>
        <w:t> </w:t>
      </w:r>
      <w:r>
        <w:rPr/>
        <w:t>4352(05)01001-9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1025" w:right="341" w:hanging="718"/>
        <w:jc w:val="both"/>
        <w:rPr>
          <w:sz w:val="24"/>
        </w:rPr>
      </w:pPr>
      <w:r>
        <w:rPr>
          <w:sz w:val="24"/>
        </w:rPr>
        <w:t>Braide, P. S. (1992a). Alluvial fan depositional model in tBida Basin.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Geology Nigeria, </w:t>
      </w:r>
      <w:r>
        <w:rPr>
          <w:sz w:val="24"/>
        </w:rPr>
        <w:t>28(1), 65</w:t>
      </w:r>
      <w:r>
        <w:rPr>
          <w:spacing w:val="-1"/>
          <w:sz w:val="24"/>
        </w:rPr>
        <w:t> </w:t>
      </w:r>
      <w:r>
        <w:rPr>
          <w:sz w:val="24"/>
        </w:rPr>
        <w:t>–73.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right="35"/>
        <w:jc w:val="center"/>
      </w:pPr>
      <w:r>
        <w:rPr/>
        <w:t>Braide,</w:t>
      </w:r>
      <w:r>
        <w:rPr>
          <w:spacing w:val="4"/>
        </w:rPr>
        <w:t> </w:t>
      </w:r>
      <w:r>
        <w:rPr/>
        <w:t>P.</w:t>
      </w:r>
      <w:r>
        <w:rPr>
          <w:spacing w:val="7"/>
        </w:rPr>
        <w:t> </w:t>
      </w:r>
      <w:r>
        <w:rPr/>
        <w:t>S.</w:t>
      </w:r>
      <w:r>
        <w:rPr>
          <w:spacing w:val="6"/>
        </w:rPr>
        <w:t> </w:t>
      </w:r>
      <w:r>
        <w:rPr/>
        <w:t>(1992b).</w:t>
      </w:r>
      <w:r>
        <w:rPr>
          <w:spacing w:val="7"/>
        </w:rPr>
        <w:t> </w:t>
      </w:r>
      <w:r>
        <w:rPr/>
        <w:t>Syntectonic</w:t>
      </w:r>
      <w:r>
        <w:rPr>
          <w:spacing w:val="4"/>
        </w:rPr>
        <w:t> </w:t>
      </w:r>
      <w:r>
        <w:rPr/>
        <w:t>fluvial</w:t>
      </w:r>
      <w:r>
        <w:rPr>
          <w:spacing w:val="5"/>
        </w:rPr>
        <w:t> </w:t>
      </w:r>
      <w:r>
        <w:rPr/>
        <w:t>sedimentation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central</w:t>
      </w:r>
      <w:r>
        <w:rPr>
          <w:spacing w:val="5"/>
        </w:rPr>
        <w:t> </w:t>
      </w:r>
      <w:r>
        <w:rPr/>
        <w:t>Bida</w:t>
      </w:r>
      <w:r>
        <w:rPr>
          <w:spacing w:val="3"/>
        </w:rPr>
        <w:t> </w:t>
      </w:r>
      <w:r>
        <w:rPr/>
        <w:t>Basin.</w:t>
      </w:r>
    </w:p>
    <w:p>
      <w:pPr>
        <w:spacing w:before="41"/>
        <w:ind w:left="1025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Geology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Nigeria, </w:t>
      </w:r>
      <w:r>
        <w:rPr>
          <w:sz w:val="24"/>
        </w:rPr>
        <w:t>28(1), 55</w:t>
      </w:r>
      <w:r>
        <w:rPr>
          <w:spacing w:val="3"/>
          <w:sz w:val="24"/>
        </w:rPr>
        <w:t> </w:t>
      </w:r>
      <w:r>
        <w:rPr>
          <w:sz w:val="24"/>
        </w:rPr>
        <w:t>–64.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3" w:lineRule="auto"/>
        <w:ind w:left="1025" w:right="316" w:hanging="718"/>
        <w:jc w:val="both"/>
      </w:pPr>
      <w:r>
        <w:rPr/>
        <w:t>Bundy, W. M. (1993). The diverse industrial applications of kaolin. In H. H.</w:t>
      </w:r>
      <w:r>
        <w:rPr>
          <w:spacing w:val="1"/>
        </w:rPr>
        <w:t> </w:t>
      </w:r>
      <w:r>
        <w:rPr/>
        <w:t>Murray,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Bundy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Harvey,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>
          <w:i/>
        </w:rPr>
        <w:t>Kaolin</w:t>
      </w:r>
      <w:r>
        <w:rPr>
          <w:i/>
          <w:spacing w:val="1"/>
        </w:rPr>
        <w:t> </w:t>
      </w:r>
      <w:r>
        <w:rPr>
          <w:i/>
        </w:rPr>
        <w:t>Genesis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Utilization </w:t>
      </w:r>
      <w:r>
        <w:rPr/>
        <w:t>(Pp. 43–73). New</w:t>
      </w:r>
      <w:r>
        <w:rPr>
          <w:spacing w:val="-1"/>
        </w:rPr>
        <w:t> </w:t>
      </w:r>
      <w:r>
        <w:rPr/>
        <w:t>York: science</w:t>
      </w:r>
      <w:r>
        <w:rPr>
          <w:spacing w:val="-2"/>
        </w:rPr>
        <w:t> </w:t>
      </w:r>
      <w:r>
        <w:rPr/>
        <w:t>press</w:t>
      </w:r>
    </w:p>
    <w:p>
      <w:pPr>
        <w:pStyle w:val="BodyText"/>
        <w:spacing w:before="3"/>
        <w:rPr>
          <w:sz w:val="28"/>
        </w:rPr>
      </w:pPr>
    </w:p>
    <w:p>
      <w:pPr>
        <w:spacing w:line="273" w:lineRule="auto" w:before="1"/>
        <w:ind w:left="1025" w:right="345" w:hanging="718"/>
        <w:jc w:val="both"/>
        <w:rPr>
          <w:sz w:val="24"/>
        </w:rPr>
      </w:pPr>
      <w:r>
        <w:rPr>
          <w:sz w:val="24"/>
        </w:rPr>
        <w:t>Chatterjee, K. K. (2009). </w:t>
      </w:r>
      <w:r>
        <w:rPr>
          <w:i/>
          <w:sz w:val="24"/>
        </w:rPr>
        <w:t>Uses of industrial minerals, rocks, and freshwater</w:t>
      </w:r>
      <w:r>
        <w:rPr>
          <w:sz w:val="24"/>
        </w:rPr>
        <w:t>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Nova</w:t>
      </w:r>
      <w:r>
        <w:rPr>
          <w:spacing w:val="-1"/>
          <w:sz w:val="24"/>
        </w:rPr>
        <w:t> </w:t>
      </w:r>
      <w:r>
        <w:rPr>
          <w:sz w:val="24"/>
        </w:rPr>
        <w:t>science.</w:t>
      </w:r>
    </w:p>
    <w:p>
      <w:pPr>
        <w:pStyle w:val="BodyText"/>
        <w:spacing w:before="10"/>
        <w:rPr>
          <w:sz w:val="27"/>
        </w:rPr>
      </w:pPr>
    </w:p>
    <w:p>
      <w:pPr>
        <w:spacing w:line="276" w:lineRule="auto" w:before="0"/>
        <w:ind w:left="1025" w:right="345" w:hanging="718"/>
        <w:jc w:val="both"/>
        <w:rPr>
          <w:sz w:val="24"/>
        </w:rPr>
      </w:pPr>
      <w:r>
        <w:rPr>
          <w:sz w:val="24"/>
        </w:rPr>
        <w:t>Choy, J. H., Choi, S. J., Oh, J. M., &amp; Park, T. (2007). Clay.</w:t>
      </w:r>
      <w:r>
        <w:rPr>
          <w:spacing w:val="1"/>
          <w:sz w:val="24"/>
        </w:rPr>
        <w:t> </w:t>
      </w:r>
      <w:r>
        <w:rPr>
          <w:i/>
          <w:sz w:val="24"/>
        </w:rPr>
        <w:t>Applied Clay Science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36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22-32.</w:t>
      </w:r>
    </w:p>
    <w:p>
      <w:pPr>
        <w:pStyle w:val="BodyText"/>
        <w:rPr>
          <w:sz w:val="26"/>
        </w:rPr>
      </w:pPr>
    </w:p>
    <w:p>
      <w:pPr>
        <w:pStyle w:val="BodyText"/>
        <w:spacing w:before="209"/>
        <w:ind w:left="570" w:right="603"/>
        <w:jc w:val="center"/>
      </w:pPr>
      <w:r>
        <w:rPr/>
        <w:t>71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273" w:lineRule="auto" w:before="67"/>
        <w:ind w:left="1025" w:right="320" w:hanging="718"/>
        <w:jc w:val="both"/>
      </w:pPr>
      <w:r>
        <w:rPr/>
        <w:t>Dondi,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Raimondo,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 Zanelli,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(2014). Clay and bodies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ceramic</w:t>
      </w:r>
      <w:r>
        <w:rPr>
          <w:spacing w:val="1"/>
        </w:rPr>
        <w:t> </w:t>
      </w:r>
      <w:r>
        <w:rPr/>
        <w:t>tiles: Reprisal and techbological classification. </w:t>
      </w:r>
      <w:r>
        <w:rPr>
          <w:i/>
        </w:rPr>
        <w:t>Applied Clay Science, </w:t>
      </w:r>
      <w:r>
        <w:rPr/>
        <w:t>96,</w:t>
      </w:r>
      <w:r>
        <w:rPr>
          <w:spacing w:val="1"/>
        </w:rPr>
        <w:t> </w:t>
      </w:r>
      <w:r>
        <w:rPr/>
        <w:t>91–109,</w:t>
      </w:r>
      <w:r>
        <w:rPr>
          <w:spacing w:val="-1"/>
        </w:rPr>
        <w:t> </w:t>
      </w:r>
      <w:r>
        <w:rPr/>
        <w:t>doi:10.1016/jclay.2014.01.013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6" w:lineRule="auto" w:before="1"/>
        <w:ind w:left="1025" w:right="337" w:hanging="718"/>
        <w:jc w:val="both"/>
      </w:pPr>
      <w:r>
        <w:rPr/>
        <w:t>Emamifar, A. (2011). Advances in nanocomposite technology. </w:t>
      </w:r>
      <w:r>
        <w:rPr>
          <w:i/>
        </w:rPr>
        <w:t>IntechOpen, </w:t>
      </w:r>
      <w:r>
        <w:rPr/>
        <w:t>1, 12-</w:t>
      </w:r>
      <w:r>
        <w:rPr>
          <w:spacing w:val="1"/>
        </w:rPr>
        <w:t> </w:t>
      </w:r>
      <w:r>
        <w:rPr/>
        <w:t>15.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25" w:right="336" w:hanging="718"/>
        <w:jc w:val="both"/>
      </w:pPr>
      <w:r>
        <w:rPr/>
        <w:t>Galan, E., Aparicio, P., González, I., &amp; Miras, R. A. (1998). Contribution of</w:t>
      </w:r>
      <w:r>
        <w:rPr>
          <w:spacing w:val="1"/>
        </w:rPr>
        <w:t> </w:t>
      </w:r>
      <w:r>
        <w:rPr/>
        <w:t>multivariate</w:t>
      </w:r>
      <w:r>
        <w:rPr>
          <w:spacing w:val="61"/>
        </w:rPr>
        <w:t> </w:t>
      </w:r>
      <w:r>
        <w:rPr/>
        <w:t>analysis to the correlation of some properties of kaolin with</w:t>
      </w:r>
      <w:r>
        <w:rPr>
          <w:spacing w:val="1"/>
        </w:rPr>
        <w:t> </w:t>
      </w:r>
      <w:r>
        <w:rPr/>
        <w:t>its mineralogical 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>
          <w:i/>
        </w:rPr>
        <w:t>Clay</w:t>
      </w:r>
      <w:r>
        <w:rPr>
          <w:i/>
          <w:spacing w:val="1"/>
        </w:rPr>
        <w:t> </w:t>
      </w:r>
      <w:r>
        <w:rPr>
          <w:i/>
        </w:rPr>
        <w:t>Minerals.</w:t>
      </w:r>
      <w:r>
        <w:rPr>
          <w:i/>
          <w:spacing w:val="60"/>
        </w:rPr>
        <w:t> </w:t>
      </w:r>
      <w:r>
        <w:rPr/>
        <w:t>33,</w:t>
      </w:r>
      <w:r>
        <w:rPr>
          <w:spacing w:val="60"/>
        </w:rPr>
        <w:t> </w:t>
      </w:r>
      <w:r>
        <w:rPr/>
        <w:t>65-75.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10.1180/000985598545435.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3" w:lineRule="auto"/>
        <w:ind w:left="1025" w:right="312" w:hanging="718"/>
        <w:jc w:val="both"/>
      </w:pPr>
      <w:r>
        <w:rPr/>
        <w:t>Galan, E., Brigitte, M., &amp; Theng, B. (2013). Structure and mineralogy of clay</w:t>
      </w:r>
      <w:r>
        <w:rPr>
          <w:spacing w:val="1"/>
        </w:rPr>
        <w:t> </w:t>
      </w:r>
      <w:r>
        <w:rPr/>
        <w:t>minerals. </w:t>
      </w:r>
      <w:r>
        <w:rPr>
          <w:i/>
        </w:rPr>
        <w:t>Developments in Clay Science</w:t>
      </w:r>
      <w:r>
        <w:rPr/>
        <w:t>. 5, 21-81, doi:10.1016/B978-0-</w:t>
      </w:r>
      <w:r>
        <w:rPr>
          <w:spacing w:val="1"/>
        </w:rPr>
        <w:t> </w:t>
      </w:r>
      <w:r>
        <w:rPr/>
        <w:t>08-098258-8.00002-X.</w:t>
      </w:r>
    </w:p>
    <w:p>
      <w:pPr>
        <w:pStyle w:val="BodyText"/>
        <w:spacing w:before="1"/>
        <w:rPr>
          <w:sz w:val="28"/>
        </w:rPr>
      </w:pPr>
    </w:p>
    <w:p>
      <w:pPr>
        <w:spacing w:line="276" w:lineRule="auto" w:before="0"/>
        <w:ind w:left="1025" w:right="339" w:hanging="718"/>
        <w:jc w:val="both"/>
        <w:rPr>
          <w:sz w:val="24"/>
        </w:rPr>
      </w:pPr>
      <w:r>
        <w:rPr>
          <w:sz w:val="24"/>
        </w:rPr>
        <w:t>Galan, E., &amp; Ferrell, R. E. (2013). Genesis of clay minerals. </w:t>
      </w:r>
      <w:r>
        <w:rPr>
          <w:i/>
          <w:sz w:val="24"/>
        </w:rPr>
        <w:t>Developments in clay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-1"/>
          <w:sz w:val="24"/>
        </w:rPr>
        <w:t> </w:t>
      </w:r>
      <w:r>
        <w:rPr>
          <w:sz w:val="24"/>
        </w:rPr>
        <w:t>doi:10.1016/B978-0-08-098258-8.00003-1.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right="47"/>
        <w:jc w:val="center"/>
      </w:pPr>
      <w:r>
        <w:rPr/>
        <w:t>Galan,</w:t>
      </w:r>
      <w:r>
        <w:rPr>
          <w:spacing w:val="37"/>
        </w:rPr>
        <w:t> </w:t>
      </w:r>
      <w:r>
        <w:rPr/>
        <w:t>E.</w:t>
      </w:r>
      <w:r>
        <w:rPr>
          <w:spacing w:val="40"/>
        </w:rPr>
        <w:t> </w:t>
      </w:r>
      <w:r>
        <w:rPr/>
        <w:t>(1996).</w:t>
      </w:r>
      <w:r>
        <w:rPr>
          <w:spacing w:val="41"/>
        </w:rPr>
        <w:t> </w:t>
      </w:r>
      <w:r>
        <w:rPr/>
        <w:t>Properties</w:t>
      </w:r>
      <w:r>
        <w:rPr>
          <w:spacing w:val="37"/>
        </w:rPr>
        <w:t> </w:t>
      </w:r>
      <w:r>
        <w:rPr/>
        <w:t>and</w:t>
      </w:r>
      <w:r>
        <w:rPr>
          <w:spacing w:val="41"/>
        </w:rPr>
        <w:t> </w:t>
      </w:r>
      <w:r>
        <w:rPr/>
        <w:t>applications</w:t>
      </w:r>
      <w:r>
        <w:rPr>
          <w:spacing w:val="37"/>
        </w:rPr>
        <w:t> </w:t>
      </w:r>
      <w:r>
        <w:rPr/>
        <w:t>of</w:t>
      </w:r>
      <w:r>
        <w:rPr>
          <w:spacing w:val="41"/>
        </w:rPr>
        <w:t> </w:t>
      </w:r>
      <w:r>
        <w:rPr/>
        <w:t>Palygorskite</w:t>
      </w:r>
      <w:r>
        <w:rPr>
          <w:spacing w:val="38"/>
        </w:rPr>
        <w:t> </w:t>
      </w:r>
      <w:r>
        <w:rPr/>
        <w:t>±</w:t>
      </w:r>
      <w:r>
        <w:rPr>
          <w:spacing w:val="38"/>
        </w:rPr>
        <w:t> </w:t>
      </w:r>
      <w:r>
        <w:rPr/>
        <w:t>sepiolite</w:t>
      </w:r>
      <w:r>
        <w:rPr>
          <w:spacing w:val="37"/>
        </w:rPr>
        <w:t> </w:t>
      </w:r>
      <w:r>
        <w:rPr/>
        <w:t>clays.</w:t>
      </w:r>
    </w:p>
    <w:p>
      <w:pPr>
        <w:spacing w:before="41"/>
        <w:ind w:left="1025" w:right="0" w:firstLine="0"/>
        <w:jc w:val="both"/>
        <w:rPr>
          <w:sz w:val="24"/>
        </w:rPr>
      </w:pPr>
      <w:r>
        <w:rPr>
          <w:i/>
          <w:sz w:val="24"/>
        </w:rPr>
        <w:t>Clay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Mineral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31,</w:t>
      </w:r>
      <w:r>
        <w:rPr>
          <w:spacing w:val="-1"/>
          <w:sz w:val="24"/>
        </w:rPr>
        <w:t> </w:t>
      </w:r>
      <w:r>
        <w:rPr>
          <w:sz w:val="24"/>
        </w:rPr>
        <w:t>443-445.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13" w:right="314" w:hanging="706"/>
        <w:jc w:val="both"/>
      </w:pPr>
      <w:r>
        <w:rPr/>
        <w:t>Guggenheim, S., Martin, R. T., Alietti, A., Drits, V. A., Formoso, M., Galan, E.,</w:t>
      </w:r>
      <w:r>
        <w:rPr>
          <w:spacing w:val="1"/>
        </w:rPr>
        <w:t> </w:t>
      </w:r>
      <w:r>
        <w:rPr/>
        <w:t>Koster,</w:t>
      </w:r>
      <w:r>
        <w:rPr>
          <w:spacing w:val="-2"/>
        </w:rPr>
        <w:t> </w:t>
      </w:r>
      <w:r>
        <w:rPr/>
        <w:t>H.</w:t>
      </w:r>
      <w:r>
        <w:rPr>
          <w:spacing w:val="36"/>
        </w:rPr>
        <w:t> </w:t>
      </w:r>
      <w:r>
        <w:rPr/>
        <w:t>M.,</w:t>
      </w:r>
      <w:r>
        <w:rPr>
          <w:spacing w:val="3"/>
        </w:rPr>
        <w:t> </w:t>
      </w:r>
      <w:r>
        <w:rPr/>
        <w:t>Morgan,</w:t>
      </w:r>
      <w:r>
        <w:rPr>
          <w:spacing w:val="3"/>
        </w:rPr>
        <w:t> </w:t>
      </w:r>
      <w:r>
        <w:rPr/>
        <w:t>D.</w:t>
      </w:r>
      <w:r>
        <w:rPr>
          <w:spacing w:val="3"/>
        </w:rPr>
        <w:t> </w:t>
      </w:r>
      <w:r>
        <w:rPr/>
        <w:t>J.,</w:t>
      </w:r>
      <w:r>
        <w:rPr>
          <w:spacing w:val="3"/>
        </w:rPr>
        <w:t> </w:t>
      </w:r>
      <w:r>
        <w:rPr/>
        <w:t>Paquet,</w:t>
      </w:r>
      <w:r>
        <w:rPr>
          <w:spacing w:val="2"/>
        </w:rPr>
        <w:t> </w:t>
      </w:r>
      <w:r>
        <w:rPr/>
        <w:t>H., Watanabe,</w:t>
      </w:r>
      <w:r>
        <w:rPr>
          <w:spacing w:val="1"/>
        </w:rPr>
        <w:t> </w:t>
      </w:r>
      <w:r>
        <w:rPr/>
        <w:t>T., Bain,</w:t>
      </w:r>
      <w:r>
        <w:rPr>
          <w:spacing w:val="36"/>
        </w:rPr>
        <w:t> </w:t>
      </w:r>
      <w:r>
        <w:rPr/>
        <w:t>D.</w:t>
      </w:r>
      <w:r>
        <w:rPr>
          <w:spacing w:val="42"/>
        </w:rPr>
        <w:t> </w:t>
      </w:r>
      <w:r>
        <w:rPr/>
        <w:t>C.,</w:t>
      </w:r>
    </w:p>
    <w:p>
      <w:pPr>
        <w:pStyle w:val="BodyText"/>
        <w:spacing w:line="276" w:lineRule="auto"/>
        <w:ind w:left="1013" w:right="314"/>
        <w:jc w:val="both"/>
      </w:pPr>
      <w:r>
        <w:rPr/>
        <w:t>Ferrell, R. E., Bish, D., Fanning, D. S., Kodama, H., &amp; Wicks, F. J. (1995).</w:t>
      </w:r>
      <w:r>
        <w:rPr>
          <w:spacing w:val="-57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clay</w:t>
      </w:r>
      <w:r>
        <w:rPr>
          <w:spacing w:val="1"/>
        </w:rPr>
        <w:t> </w:t>
      </w:r>
      <w:r>
        <w:rPr/>
        <w:t>mineral: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AIPEA</w:t>
      </w:r>
      <w:r>
        <w:rPr>
          <w:spacing w:val="1"/>
        </w:rPr>
        <w:t> </w:t>
      </w:r>
      <w:r>
        <w:rPr/>
        <w:t>nomenclature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CMS</w:t>
      </w:r>
      <w:r>
        <w:rPr>
          <w:spacing w:val="1"/>
        </w:rPr>
        <w:t> </w:t>
      </w:r>
      <w:r>
        <w:rPr/>
        <w:t>nomenclature</w:t>
      </w:r>
      <w:r>
        <w:rPr>
          <w:spacing w:val="1"/>
        </w:rPr>
        <w:t> </w:t>
      </w:r>
      <w:r>
        <w:rPr/>
        <w:t>committees.</w:t>
      </w:r>
      <w:r>
        <w:rPr>
          <w:spacing w:val="1"/>
        </w:rPr>
        <w:t> </w:t>
      </w:r>
      <w:r>
        <w:rPr>
          <w:i/>
        </w:rPr>
        <w:t>Clay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61"/>
        </w:rPr>
        <w:t> </w:t>
      </w:r>
      <w:r>
        <w:rPr>
          <w:i/>
        </w:rPr>
        <w:t>Clay</w:t>
      </w:r>
      <w:r>
        <w:rPr>
          <w:i/>
          <w:spacing w:val="1"/>
        </w:rPr>
        <w:t> </w:t>
      </w:r>
      <w:r>
        <w:rPr>
          <w:i/>
        </w:rPr>
        <w:t>Minerals</w:t>
      </w:r>
      <w:r>
        <w:rPr/>
        <w:t>,</w:t>
      </w:r>
      <w:r>
        <w:rPr>
          <w:spacing w:val="-1"/>
        </w:rPr>
        <w:t> </w:t>
      </w:r>
      <w:r>
        <w:rPr/>
        <w:t>43, 255-256, doi:10.1346/CCMN.1995.0430213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3" w:lineRule="auto" w:before="1"/>
        <w:ind w:left="1013" w:right="338" w:hanging="706"/>
        <w:jc w:val="both"/>
      </w:pPr>
      <w:r>
        <w:rPr/>
        <w:t>Harvey, C. C., &amp; Lagaly, G. (2013). Developments in clay science. 5, 245-460,</w:t>
      </w:r>
      <w:r>
        <w:rPr>
          <w:spacing w:val="1"/>
        </w:rPr>
        <w:t> </w:t>
      </w:r>
      <w:r>
        <w:rPr/>
        <w:t>doi: 10.1346/00098600360733447.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13" w:right="321" w:hanging="706"/>
        <w:jc w:val="both"/>
      </w:pPr>
      <w:r>
        <w:rPr/>
        <w:t>Ike,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Ezeh,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Eyankware,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Haruna,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Mineralogical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Assessment of Edda Clays for Possible Use in the Ceramics</w:t>
      </w:r>
      <w:r>
        <w:rPr>
          <w:spacing w:val="-57"/>
        </w:rPr>
        <w:t> </w:t>
      </w:r>
      <w:r>
        <w:rPr/>
        <w:t>Industry, Afikpo Sub- Basin,</w:t>
      </w:r>
      <w:r>
        <w:rPr>
          <w:spacing w:val="1"/>
        </w:rPr>
        <w:t> </w:t>
      </w:r>
      <w:r>
        <w:rPr/>
        <w:t>Nigeria.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Geological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>
          <w:i/>
        </w:rPr>
        <w:t>3</w:t>
      </w:r>
      <w:r>
        <w:rPr/>
        <w:t>(2),</w:t>
      </w:r>
      <w:r>
        <w:rPr>
          <w:spacing w:val="-1"/>
        </w:rPr>
        <w:t> </w:t>
      </w:r>
      <w:r>
        <w:rPr/>
        <w:t>doi:10.3564/jgr.v3i2.2964.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1"/>
        <w:ind w:left="1013" w:right="318" w:hanging="706"/>
        <w:jc w:val="both"/>
        <w:rPr>
          <w:sz w:val="24"/>
        </w:rPr>
      </w:pPr>
      <w:r>
        <w:rPr>
          <w:sz w:val="24"/>
        </w:rPr>
        <w:t>Kefas, H. M., Patrick, O. D., &amp; Chiroma, M.T. (2007). Characterization of Mayo-</w:t>
      </w:r>
      <w:r>
        <w:rPr>
          <w:spacing w:val="1"/>
          <w:sz w:val="24"/>
        </w:rPr>
        <w:t> </w:t>
      </w:r>
      <w:r>
        <w:rPr>
          <w:sz w:val="24"/>
        </w:rPr>
        <w:t>Belwa clay. </w:t>
      </w:r>
      <w:r>
        <w:rPr>
          <w:i/>
          <w:sz w:val="24"/>
        </w:rPr>
        <w:t>Leonardo Electronic Journal of Practices and Technologies,</w:t>
      </w:r>
      <w:r>
        <w:rPr>
          <w:i/>
          <w:spacing w:val="1"/>
          <w:sz w:val="24"/>
        </w:rPr>
        <w:t> </w:t>
      </w:r>
      <w:r>
        <w:rPr>
          <w:sz w:val="24"/>
        </w:rPr>
        <w:t>6(11),</w:t>
      </w:r>
      <w:r>
        <w:rPr>
          <w:spacing w:val="-1"/>
          <w:sz w:val="24"/>
        </w:rPr>
        <w:t> </w:t>
      </w:r>
      <w:r>
        <w:rPr>
          <w:sz w:val="24"/>
        </w:rPr>
        <w:t>123–130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right="35"/>
        <w:jc w:val="center"/>
        <w:rPr>
          <w:i/>
        </w:rPr>
      </w:pPr>
      <w:r>
        <w:rPr/>
        <w:t>Keller,</w:t>
      </w:r>
      <w:r>
        <w:rPr>
          <w:spacing w:val="17"/>
        </w:rPr>
        <w:t> </w:t>
      </w:r>
      <w:r>
        <w:rPr/>
        <w:t>W.</w:t>
      </w:r>
      <w:r>
        <w:rPr>
          <w:spacing w:val="20"/>
        </w:rPr>
        <w:t> </w:t>
      </w:r>
      <w:r>
        <w:rPr/>
        <w:t>D.</w:t>
      </w:r>
      <w:r>
        <w:rPr>
          <w:spacing w:val="24"/>
        </w:rPr>
        <w:t> </w:t>
      </w:r>
      <w:r>
        <w:rPr/>
        <w:t>(1970).</w:t>
      </w:r>
      <w:r>
        <w:rPr>
          <w:spacing w:val="20"/>
        </w:rPr>
        <w:t> </w:t>
      </w:r>
      <w:r>
        <w:rPr/>
        <w:t>Environmental</w:t>
      </w:r>
      <w:r>
        <w:rPr>
          <w:spacing w:val="20"/>
        </w:rPr>
        <w:t> </w:t>
      </w:r>
      <w:r>
        <w:rPr/>
        <w:t>aspects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clay</w:t>
      </w:r>
      <w:r>
        <w:rPr>
          <w:spacing w:val="12"/>
        </w:rPr>
        <w:t> </w:t>
      </w:r>
      <w:r>
        <w:rPr/>
        <w:t>minerals.</w:t>
      </w:r>
      <w:r>
        <w:rPr>
          <w:spacing w:val="23"/>
        </w:rPr>
        <w:t> </w:t>
      </w:r>
      <w:r>
        <w:rPr/>
        <w:t>Sediment.</w:t>
      </w:r>
      <w:r>
        <w:rPr>
          <w:spacing w:val="24"/>
        </w:rPr>
        <w:t> </w:t>
      </w:r>
      <w:r>
        <w:rPr>
          <w:i/>
        </w:rPr>
        <w:t>Petrol,</w:t>
      </w:r>
    </w:p>
    <w:p>
      <w:pPr>
        <w:pStyle w:val="BodyText"/>
        <w:spacing w:before="40"/>
        <w:ind w:left="1013"/>
        <w:jc w:val="both"/>
      </w:pPr>
      <w:r>
        <w:rPr/>
        <w:t>40, 798–813.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570" w:right="603"/>
        <w:jc w:val="center"/>
      </w:pPr>
      <w:r>
        <w:rPr/>
        <w:t>72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spacing w:line="276" w:lineRule="auto" w:before="67"/>
        <w:ind w:left="1013" w:right="341" w:hanging="706"/>
        <w:jc w:val="both"/>
        <w:rPr>
          <w:sz w:val="24"/>
        </w:rPr>
      </w:pPr>
      <w:r>
        <w:rPr>
          <w:sz w:val="24"/>
        </w:rPr>
        <w:t>Kennedy, W. Q., (1965). </w:t>
      </w:r>
      <w:r>
        <w:rPr>
          <w:i/>
          <w:sz w:val="24"/>
        </w:rPr>
        <w:t>The influence of basement structure on the evolution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coastal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(Mesozoic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Tertiary)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Basins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 </w:t>
      </w:r>
      <w:r>
        <w:rPr>
          <w:sz w:val="24"/>
        </w:rPr>
        <w:t>(pp. 35-47). London: The Institute of Petroleum Geologists Society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1"/>
        <w:rPr>
          <w:sz w:val="26"/>
        </w:rPr>
      </w:pPr>
    </w:p>
    <w:p>
      <w:pPr>
        <w:spacing w:line="276" w:lineRule="auto" w:before="0"/>
        <w:ind w:left="1013" w:right="338" w:hanging="706"/>
        <w:jc w:val="both"/>
        <w:rPr>
          <w:sz w:val="24"/>
        </w:rPr>
      </w:pPr>
      <w:r>
        <w:rPr>
          <w:sz w:val="24"/>
        </w:rPr>
        <w:t>King,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(1950).</w:t>
      </w:r>
      <w:r>
        <w:rPr>
          <w:spacing w:val="1"/>
          <w:sz w:val="24"/>
        </w:rPr>
        <w:t> </w:t>
      </w:r>
      <w:r>
        <w:rPr>
          <w:sz w:val="24"/>
        </w:rPr>
        <w:t>Outline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Gondwanaland.</w:t>
      </w:r>
      <w:r>
        <w:rPr>
          <w:spacing w:val="1"/>
          <w:sz w:val="24"/>
        </w:rPr>
        <w:t> </w:t>
      </w:r>
      <w:r>
        <w:rPr>
          <w:i/>
          <w:sz w:val="24"/>
        </w:rPr>
        <w:t>Geological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Magazine</w:t>
      </w:r>
      <w:r>
        <w:rPr>
          <w:i/>
          <w:spacing w:val="-1"/>
          <w:sz w:val="24"/>
        </w:rPr>
        <w:t> </w:t>
      </w:r>
      <w:r>
        <w:rPr>
          <w:sz w:val="24"/>
        </w:rPr>
        <w:t>87,</w:t>
      </w:r>
      <w:r>
        <w:rPr>
          <w:spacing w:val="27"/>
          <w:sz w:val="24"/>
        </w:rPr>
        <w:t> </w:t>
      </w:r>
      <w:r>
        <w:rPr>
          <w:sz w:val="24"/>
        </w:rPr>
        <w:t>353-</w:t>
      </w:r>
      <w:r>
        <w:rPr>
          <w:spacing w:val="-1"/>
          <w:sz w:val="24"/>
        </w:rPr>
        <w:t> </w:t>
      </w:r>
      <w:r>
        <w:rPr>
          <w:sz w:val="24"/>
        </w:rPr>
        <w:t>35.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1013" w:right="317" w:hanging="706"/>
        <w:jc w:val="both"/>
      </w:pPr>
      <w:r>
        <w:rPr/>
        <w:t>Kogbe, C. A., Ajakaiye, D. E., &amp; Matheis, G., (1981). Confirmation of a Rift</w:t>
      </w:r>
      <w:r>
        <w:rPr>
          <w:spacing w:val="1"/>
        </w:rPr>
        <w:t> </w:t>
      </w:r>
      <w:r>
        <w:rPr/>
        <w:t>Structure along the Mid-Niger Valley, Nigeria.</w:t>
      </w:r>
      <w:r>
        <w:rPr>
          <w:spacing w:val="60"/>
        </w:rPr>
        <w:t> </w:t>
      </w:r>
      <w:r>
        <w:rPr>
          <w:i/>
        </w:rPr>
        <w:t>Journal of Earth Science,</w:t>
      </w:r>
      <w:r>
        <w:rPr>
          <w:i/>
          <w:spacing w:val="1"/>
        </w:rPr>
        <w:t> </w:t>
      </w:r>
      <w:r>
        <w:rPr/>
        <w:t>1, 127-131.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13" w:right="320" w:hanging="706"/>
        <w:jc w:val="both"/>
      </w:pPr>
      <w:r>
        <w:rPr/>
        <w:t>Konadu, D.S., Dodoo-Arhin, D., Annan, E., Buabeng, F.P., Yaya, A., &amp; Agyei-</w:t>
      </w:r>
      <w:r>
        <w:rPr>
          <w:spacing w:val="1"/>
        </w:rPr>
        <w:t> </w:t>
      </w:r>
      <w:r>
        <w:rPr/>
        <w:t>Tuffour, B.</w:t>
      </w:r>
      <w:r>
        <w:rPr>
          <w:spacing w:val="61"/>
        </w:rPr>
        <w:t> </w:t>
      </w:r>
      <w:r>
        <w:rPr/>
        <w:t>(2013).</w:t>
      </w:r>
      <w:r>
        <w:rPr>
          <w:spacing w:val="61"/>
        </w:rPr>
        <w:t> </w:t>
      </w:r>
      <w:r>
        <w:rPr/>
        <w:t>Fabrication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characterization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Ghanaian</w:t>
      </w:r>
      <w:r>
        <w:rPr>
          <w:spacing w:val="1"/>
        </w:rPr>
        <w:t> </w:t>
      </w:r>
      <w:r>
        <w:rPr/>
        <w:t>bauxite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mud-clay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bricks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applications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Mineral Material Science</w:t>
      </w:r>
      <w:r>
        <w:rPr/>
        <w:t>,</w:t>
      </w:r>
      <w:r>
        <w:rPr>
          <w:spacing w:val="-1"/>
        </w:rPr>
        <w:t> </w:t>
      </w:r>
      <w:r>
        <w:rPr/>
        <w:t>3,</w:t>
      </w:r>
      <w:r>
        <w:rPr>
          <w:spacing w:val="2"/>
        </w:rPr>
        <w:t> </w:t>
      </w:r>
      <w:r>
        <w:rPr/>
        <w:t>110–119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307"/>
      </w:pPr>
      <w:r>
        <w:rPr/>
        <w:t>Konta,</w:t>
      </w:r>
      <w:r>
        <w:rPr>
          <w:spacing w:val="40"/>
        </w:rPr>
        <w:t> </w:t>
      </w:r>
      <w:r>
        <w:rPr/>
        <w:t>J.</w:t>
      </w:r>
      <w:r>
        <w:rPr>
          <w:spacing w:val="41"/>
        </w:rPr>
        <w:t> </w:t>
      </w:r>
      <w:r>
        <w:rPr/>
        <w:t>(1995).</w:t>
      </w:r>
      <w:r>
        <w:rPr>
          <w:spacing w:val="41"/>
        </w:rPr>
        <w:t> </w:t>
      </w:r>
      <w:r>
        <w:rPr/>
        <w:t>Clays</w:t>
      </w:r>
      <w:r>
        <w:rPr>
          <w:spacing w:val="46"/>
        </w:rPr>
        <w:t> </w:t>
      </w:r>
      <w:r>
        <w:rPr/>
        <w:t>and</w:t>
      </w:r>
      <w:r>
        <w:rPr>
          <w:spacing w:val="43"/>
        </w:rPr>
        <w:t> </w:t>
      </w:r>
      <w:r>
        <w:rPr/>
        <w:t>Man:</w:t>
      </w:r>
      <w:r>
        <w:rPr>
          <w:spacing w:val="40"/>
        </w:rPr>
        <w:t> </w:t>
      </w:r>
      <w:r>
        <w:rPr/>
        <w:t>Clay</w:t>
      </w:r>
      <w:r>
        <w:rPr>
          <w:spacing w:val="32"/>
        </w:rPr>
        <w:t> </w:t>
      </w:r>
      <w:r>
        <w:rPr/>
        <w:t>Raw</w:t>
      </w:r>
      <w:r>
        <w:rPr>
          <w:spacing w:val="45"/>
        </w:rPr>
        <w:t> </w:t>
      </w:r>
      <w:r>
        <w:rPr/>
        <w:t>Materials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Service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Man.</w:t>
      </w:r>
    </w:p>
    <w:p>
      <w:pPr>
        <w:spacing w:before="41"/>
        <w:ind w:left="1013" w:right="0" w:firstLine="0"/>
        <w:jc w:val="left"/>
        <w:rPr>
          <w:sz w:val="24"/>
        </w:rPr>
      </w:pPr>
      <w:r>
        <w:rPr>
          <w:i/>
          <w:sz w:val="24"/>
        </w:rPr>
        <w:t>Apply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275-335.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13" w:right="317" w:hanging="706"/>
        <w:jc w:val="both"/>
      </w:pPr>
      <w:r>
        <w:rPr/>
        <w:t>Ladipo, K. O., Akande, S. O. &amp; Mucke, A. (1994). Genesis of Ironstones from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Sedimentary Basin,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Sedimentological</w:t>
      </w:r>
      <w:r>
        <w:rPr>
          <w:spacing w:val="1"/>
        </w:rPr>
        <w:t> </w:t>
      </w:r>
      <w:r>
        <w:rPr/>
        <w:t>Ore</w:t>
      </w:r>
      <w:r>
        <w:rPr>
          <w:spacing w:val="1"/>
        </w:rPr>
        <w:t> </w:t>
      </w:r>
      <w:r>
        <w:rPr/>
        <w:t>Microscope and Geochemical Studies. </w:t>
      </w:r>
      <w:r>
        <w:rPr>
          <w:i/>
        </w:rPr>
        <w:t>Journal of Mining and Geology</w:t>
      </w:r>
      <w:r>
        <w:rPr/>
        <w:t>, 30,</w:t>
      </w:r>
      <w:r>
        <w:rPr>
          <w:spacing w:val="-57"/>
        </w:rPr>
        <w:t> </w:t>
      </w:r>
      <w:r>
        <w:rPr/>
        <w:t>161-168.</w:t>
      </w:r>
    </w:p>
    <w:p>
      <w:pPr>
        <w:pStyle w:val="BodyText"/>
        <w:spacing w:before="4"/>
        <w:rPr>
          <w:sz w:val="27"/>
        </w:rPr>
      </w:pPr>
    </w:p>
    <w:p>
      <w:pPr>
        <w:spacing w:before="1"/>
        <w:ind w:left="305" w:right="0" w:firstLine="0"/>
        <w:jc w:val="left"/>
        <w:rPr>
          <w:sz w:val="24"/>
        </w:rPr>
      </w:pPr>
      <w:r>
        <w:rPr>
          <w:sz w:val="24"/>
        </w:rPr>
        <w:t>Li, Z.,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Jaroniec, M.</w:t>
      </w:r>
      <w:r>
        <w:rPr>
          <w:spacing w:val="-2"/>
          <w:sz w:val="24"/>
        </w:rPr>
        <w:t> </w:t>
      </w:r>
      <w:r>
        <w:rPr>
          <w:sz w:val="24"/>
        </w:rPr>
        <w:t>(2003).</w:t>
      </w:r>
      <w:r>
        <w:rPr>
          <w:spacing w:val="-3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materials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15(6),</w:t>
      </w:r>
      <w:r>
        <w:rPr>
          <w:spacing w:val="-2"/>
          <w:sz w:val="24"/>
        </w:rPr>
        <w:t> </w:t>
      </w:r>
      <w:r>
        <w:rPr>
          <w:sz w:val="24"/>
        </w:rPr>
        <w:t>1327-33.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025" w:right="316" w:hanging="718"/>
        <w:jc w:val="both"/>
      </w:pPr>
      <w:r>
        <w:rPr/>
        <w:t>López-Galindo, A., Viseras, C., &amp; Cerez, P. (2007). Compositional, technical and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specifications of clays to be used as</w:t>
      </w:r>
      <w:r>
        <w:rPr>
          <w:spacing w:val="1"/>
        </w:rPr>
        <w:t> </w:t>
      </w:r>
      <w:r>
        <w:rPr/>
        <w:t>pharmaceutical and cosmetic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Clay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/>
        <w:t>36(1-3),</w:t>
      </w:r>
      <w:r>
        <w:rPr>
          <w:spacing w:val="1"/>
        </w:rPr>
        <w:t> </w:t>
      </w:r>
      <w:r>
        <w:rPr/>
        <w:t>51-63,</w:t>
      </w:r>
      <w:r>
        <w:rPr>
          <w:spacing w:val="1"/>
        </w:rPr>
        <w:t> </w:t>
      </w:r>
      <w:r>
        <w:rPr/>
        <w:t>doi.org/10.1016/j.clay.2006.06.016.</w:t>
      </w:r>
    </w:p>
    <w:p>
      <w:pPr>
        <w:pStyle w:val="BodyText"/>
        <w:spacing w:before="4"/>
        <w:rPr>
          <w:sz w:val="27"/>
        </w:rPr>
      </w:pPr>
    </w:p>
    <w:p>
      <w:pPr>
        <w:spacing w:line="276" w:lineRule="auto" w:before="0"/>
        <w:ind w:left="1025" w:right="348" w:hanging="718"/>
        <w:jc w:val="both"/>
        <w:rPr>
          <w:sz w:val="24"/>
        </w:rPr>
      </w:pPr>
      <w:r>
        <w:rPr>
          <w:sz w:val="24"/>
        </w:rPr>
        <w:t>Malakul, P., Srinivasan, K.R., &amp; Wang, H.Y. (1998). </w:t>
      </w:r>
      <w:r>
        <w:rPr>
          <w:i/>
          <w:sz w:val="24"/>
        </w:rPr>
        <w:t>Industrial &amp;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37(11), 4296-4301.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025" w:right="341" w:hanging="718"/>
        <w:jc w:val="both"/>
      </w:pPr>
      <w:r>
        <w:rPr/>
        <w:t>McLennan, S., &amp; Taylor, S. (1991). Sedimentary rocks and crustal evolution:</w:t>
      </w:r>
      <w:r>
        <w:rPr>
          <w:spacing w:val="1"/>
        </w:rPr>
        <w:t> </w:t>
      </w:r>
      <w:r>
        <w:rPr/>
        <w:t>tectonic</w:t>
      </w:r>
      <w:r>
        <w:rPr>
          <w:spacing w:val="-3"/>
        </w:rPr>
        <w:t> </w:t>
      </w:r>
      <w:r>
        <w:rPr/>
        <w:t>setting and</w:t>
      </w:r>
      <w:r>
        <w:rPr>
          <w:spacing w:val="-2"/>
        </w:rPr>
        <w:t> </w:t>
      </w:r>
      <w:r>
        <w:rPr/>
        <w:t>secular</w:t>
      </w:r>
      <w:r>
        <w:rPr>
          <w:spacing w:val="-1"/>
        </w:rPr>
        <w:t> </w:t>
      </w:r>
      <w:r>
        <w:rPr/>
        <w:t>trends.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Geology,</w:t>
      </w:r>
      <w:r>
        <w:rPr>
          <w:i/>
          <w:spacing w:val="-2"/>
        </w:rPr>
        <w:t> </w:t>
      </w:r>
      <w:r>
        <w:rPr>
          <w:i/>
        </w:rPr>
        <w:t>99</w:t>
      </w:r>
      <w:r>
        <w:rPr/>
        <w:t>(1),</w:t>
      </w:r>
      <w:r>
        <w:rPr>
          <w:spacing w:val="1"/>
        </w:rPr>
        <w:t> </w:t>
      </w:r>
      <w:r>
        <w:rPr/>
        <w:t>1-21.</w:t>
      </w:r>
    </w:p>
    <w:p>
      <w:pPr>
        <w:pStyle w:val="BodyText"/>
        <w:spacing w:before="7"/>
        <w:rPr>
          <w:sz w:val="27"/>
        </w:rPr>
      </w:pPr>
    </w:p>
    <w:p>
      <w:pPr>
        <w:spacing w:line="273" w:lineRule="auto" w:before="0"/>
        <w:ind w:left="1025" w:right="343" w:hanging="718"/>
        <w:jc w:val="both"/>
        <w:rPr>
          <w:sz w:val="24"/>
        </w:rPr>
      </w:pPr>
      <w:r>
        <w:rPr>
          <w:sz w:val="24"/>
        </w:rPr>
        <w:t>Merriman,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Clay minerals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sedimentary basin</w:t>
      </w:r>
      <w:r>
        <w:rPr>
          <w:spacing w:val="1"/>
          <w:sz w:val="24"/>
        </w:rPr>
        <w:t> </w:t>
      </w:r>
      <w:r>
        <w:rPr>
          <w:sz w:val="24"/>
        </w:rPr>
        <w:t>theory.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Mineralogy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17,</w:t>
      </w:r>
      <w:r>
        <w:rPr>
          <w:spacing w:val="-1"/>
          <w:sz w:val="24"/>
        </w:rPr>
        <w:t> </w:t>
      </w:r>
      <w:r>
        <w:rPr>
          <w:sz w:val="24"/>
        </w:rPr>
        <w:t>7-20,</w:t>
      </w:r>
      <w:r>
        <w:rPr>
          <w:spacing w:val="-1"/>
          <w:sz w:val="24"/>
        </w:rPr>
        <w:t> </w:t>
      </w:r>
      <w:r>
        <w:rPr>
          <w:sz w:val="24"/>
        </w:rPr>
        <w:t>doi:10.1127/0935-1221/2005/0017-0007.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76" w:lineRule="auto"/>
        <w:ind w:left="1018" w:right="348" w:hanging="708"/>
        <w:jc w:val="both"/>
      </w:pPr>
      <w:r>
        <w:rPr/>
        <w:t>Murat, R. C., (1972). Stratigraphy and paleogeography of the Cretaceous and</w:t>
      </w:r>
      <w:r>
        <w:rPr>
          <w:spacing w:val="1"/>
        </w:rPr>
        <w:t> </w:t>
      </w:r>
      <w:r>
        <w:rPr/>
        <w:t>lower</w:t>
      </w:r>
      <w:r>
        <w:rPr>
          <w:spacing w:val="-2"/>
        </w:rPr>
        <w:t> </w:t>
      </w:r>
      <w:r>
        <w:rPr/>
        <w:t>Tertiary</w:t>
      </w:r>
      <w:r>
        <w:rPr>
          <w:spacing w:val="-6"/>
        </w:rPr>
        <w:t> </w:t>
      </w:r>
      <w:r>
        <w:rPr/>
        <w:t>in</w:t>
      </w:r>
      <w:r>
        <w:rPr>
          <w:spacing w:val="111"/>
        </w:rPr>
        <w:t> </w:t>
      </w:r>
      <w:r>
        <w:rPr/>
        <w:t>southern</w:t>
      </w:r>
      <w:r>
        <w:rPr>
          <w:spacing w:val="108"/>
        </w:rPr>
        <w:t> </w:t>
      </w:r>
      <w:r>
        <w:rPr/>
        <w:t>Nigeria.  </w:t>
      </w:r>
      <w:r>
        <w:rPr>
          <w:spacing w:val="1"/>
        </w:rPr>
        <w:t> </w:t>
      </w:r>
      <w:r>
        <w:rPr/>
        <w:t>In</w:t>
      </w:r>
      <w:r>
        <w:rPr>
          <w:spacing w:val="110"/>
        </w:rPr>
        <w:t> </w:t>
      </w:r>
      <w:r>
        <w:rPr/>
        <w:t>T.F.J.</w:t>
      </w:r>
      <w:r>
        <w:rPr>
          <w:spacing w:val="113"/>
        </w:rPr>
        <w:t> </w:t>
      </w:r>
      <w:r>
        <w:rPr/>
        <w:t>Dessauvagie,</w:t>
      </w:r>
      <w:r>
        <w:rPr>
          <w:spacing w:val="113"/>
        </w:rPr>
        <w:t> </w:t>
      </w:r>
      <w:r>
        <w:rPr/>
        <w:t>&amp;</w:t>
      </w:r>
      <w:r>
        <w:rPr>
          <w:spacing w:val="108"/>
        </w:rPr>
        <w:t> </w:t>
      </w:r>
      <w:r>
        <w:rPr/>
        <w:t>A.</w:t>
      </w:r>
      <w:r>
        <w:rPr>
          <w:spacing w:val="110"/>
        </w:rPr>
        <w:t> </w:t>
      </w:r>
      <w:r>
        <w:rPr/>
        <w:t>J.</w:t>
      </w:r>
    </w:p>
    <w:p>
      <w:pPr>
        <w:pStyle w:val="BodyText"/>
        <w:rPr>
          <w:sz w:val="26"/>
        </w:rPr>
      </w:pPr>
    </w:p>
    <w:p>
      <w:pPr>
        <w:pStyle w:val="BodyText"/>
        <w:spacing w:before="211"/>
        <w:ind w:left="570" w:right="603"/>
        <w:jc w:val="center"/>
      </w:pPr>
      <w:r>
        <w:rPr/>
        <w:t>73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line="276" w:lineRule="auto" w:before="67"/>
        <w:ind w:left="1025" w:right="340"/>
      </w:pPr>
      <w:r>
        <w:rPr/>
        <w:t>Whiteman</w:t>
      </w:r>
      <w:r>
        <w:rPr>
          <w:spacing w:val="11"/>
        </w:rPr>
        <w:t> </w:t>
      </w:r>
      <w:r>
        <w:rPr/>
        <w:t>(Eds),</w:t>
      </w:r>
      <w:r>
        <w:rPr>
          <w:spacing w:val="11"/>
        </w:rPr>
        <w:t> </w:t>
      </w:r>
      <w:r>
        <w:rPr/>
        <w:t>African</w:t>
      </w:r>
      <w:r>
        <w:rPr>
          <w:spacing w:val="16"/>
        </w:rPr>
        <w:t> </w:t>
      </w:r>
      <w:r>
        <w:rPr/>
        <w:t>Geology.</w:t>
      </w:r>
      <w:r>
        <w:rPr>
          <w:spacing w:val="13"/>
        </w:rPr>
        <w:t> </w:t>
      </w:r>
      <w:r>
        <w:rPr/>
        <w:t>(pp.</w:t>
      </w:r>
      <w:r>
        <w:rPr>
          <w:spacing w:val="10"/>
        </w:rPr>
        <w:t> </w:t>
      </w:r>
      <w:r>
        <w:rPr/>
        <w:t>251</w:t>
      </w:r>
      <w:r>
        <w:rPr>
          <w:spacing w:val="13"/>
        </w:rPr>
        <w:t> </w:t>
      </w:r>
      <w:r>
        <w:rPr/>
        <w:t>–</w:t>
      </w:r>
      <w:r>
        <w:rPr>
          <w:spacing w:val="11"/>
        </w:rPr>
        <w:t> </w:t>
      </w:r>
      <w:r>
        <w:rPr/>
        <w:t>266.)</w:t>
      </w:r>
      <w:r>
        <w:rPr>
          <w:spacing w:val="15"/>
        </w:rPr>
        <w:t> </w:t>
      </w:r>
      <w:r>
        <w:rPr/>
        <w:t>Ibadan:</w:t>
      </w:r>
      <w:r>
        <w:rPr>
          <w:spacing w:val="12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Ibadan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25" w:right="343" w:hanging="718"/>
        <w:jc w:val="both"/>
      </w:pPr>
      <w:r>
        <w:rPr/>
        <w:t>Murray, H. H. (2003). Clays and clay minerals in Jordan. </w:t>
      </w:r>
      <w:r>
        <w:rPr>
          <w:i/>
        </w:rPr>
        <w:t>Clay mineral. </w:t>
      </w:r>
      <w:r>
        <w:rPr/>
        <w:t>51-709,</w:t>
      </w:r>
      <w:r>
        <w:rPr>
          <w:spacing w:val="1"/>
        </w:rPr>
        <w:t> </w:t>
      </w:r>
      <w:r>
        <w:rPr/>
        <w:t>doi: 10.1346/00098600360733447.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025" w:right="336" w:hanging="718"/>
        <w:jc w:val="both"/>
      </w:pPr>
      <w:r>
        <w:rPr/>
        <w:t>Murray, H. H. (2006). Applied Clay Mineralogy: Occurrences, processing and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kaolins,</w:t>
      </w:r>
      <w:r>
        <w:rPr>
          <w:spacing w:val="1"/>
        </w:rPr>
        <w:t> </w:t>
      </w:r>
      <w:r>
        <w:rPr/>
        <w:t>bentonites,</w:t>
      </w:r>
      <w:r>
        <w:rPr>
          <w:spacing w:val="1"/>
        </w:rPr>
        <w:t> </w:t>
      </w:r>
      <w:r>
        <w:rPr/>
        <w:t>palygorskite-sepiolite,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common</w:t>
      </w:r>
      <w:r>
        <w:rPr>
          <w:spacing w:val="-57"/>
        </w:rPr>
        <w:t> </w:t>
      </w:r>
      <w:r>
        <w:rPr/>
        <w:t>clays. </w:t>
      </w:r>
      <w:r>
        <w:rPr>
          <w:i/>
        </w:rPr>
        <w:t>Developments in Clay Science</w:t>
      </w:r>
      <w:r>
        <w:rPr/>
        <w:t>, (pp.85-87). Rio de janeiro, Brazil:</w:t>
      </w:r>
      <w:r>
        <w:rPr>
          <w:spacing w:val="1"/>
        </w:rPr>
        <w:t> </w:t>
      </w:r>
      <w:r>
        <w:rPr/>
        <w:t>Elsevier</w:t>
      </w:r>
      <w:r>
        <w:rPr>
          <w:spacing w:val="-3"/>
        </w:rPr>
        <w:t> </w:t>
      </w:r>
      <w:r>
        <w:rPr/>
        <w:t>press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1025" w:right="319" w:hanging="718"/>
        <w:jc w:val="both"/>
      </w:pPr>
      <w:r>
        <w:rPr/>
        <w:t>Murray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Occurrences,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Kaolins,</w:t>
      </w:r>
      <w:r>
        <w:rPr>
          <w:spacing w:val="1"/>
        </w:rPr>
        <w:t> </w:t>
      </w:r>
      <w:r>
        <w:rPr/>
        <w:t>Bentonites,</w:t>
      </w:r>
      <w:r>
        <w:rPr>
          <w:spacing w:val="1"/>
        </w:rPr>
        <w:t> </w:t>
      </w:r>
      <w:r>
        <w:rPr/>
        <w:t>Palygorskite</w:t>
      </w:r>
      <w:r>
        <w:rPr>
          <w:spacing w:val="1"/>
        </w:rPr>
        <w:t> </w:t>
      </w:r>
      <w:r>
        <w:rPr/>
        <w:t>-Sepiolite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clays.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clay</w:t>
      </w:r>
      <w:r>
        <w:rPr>
          <w:i/>
          <w:spacing w:val="1"/>
        </w:rPr>
        <w:t> </w:t>
      </w:r>
      <w:r>
        <w:rPr>
          <w:i/>
        </w:rPr>
        <w:t>mineralogy.</w:t>
      </w:r>
      <w:r>
        <w:rPr>
          <w:i/>
          <w:spacing w:val="-1"/>
        </w:rPr>
        <w:t> </w:t>
      </w:r>
      <w:r>
        <w:rPr/>
        <w:t>55 (6), 644-645.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025" w:right="321" w:hanging="718"/>
        <w:jc w:val="both"/>
        <w:rPr>
          <w:sz w:val="24"/>
        </w:rPr>
      </w:pPr>
      <w:r>
        <w:rPr>
          <w:sz w:val="24"/>
        </w:rPr>
        <w:t>Nebsitt, H. W., &amp; Young, G. M. (1982). Chemical Process Affecting Alkalis and</w:t>
      </w:r>
      <w:r>
        <w:rPr>
          <w:spacing w:val="1"/>
          <w:sz w:val="24"/>
        </w:rPr>
        <w:t> </w:t>
      </w:r>
      <w:r>
        <w:rPr>
          <w:sz w:val="24"/>
        </w:rPr>
        <w:t>Alkaline</w:t>
      </w:r>
      <w:r>
        <w:rPr>
          <w:spacing w:val="1"/>
          <w:sz w:val="24"/>
        </w:rPr>
        <w:t> </w:t>
      </w:r>
      <w:r>
        <w:rPr>
          <w:sz w:val="24"/>
        </w:rPr>
        <w:t>Earth</w:t>
      </w:r>
      <w:r>
        <w:rPr>
          <w:spacing w:val="1"/>
          <w:sz w:val="24"/>
        </w:rPr>
        <w:t> </w:t>
      </w:r>
      <w:r>
        <w:rPr>
          <w:sz w:val="24"/>
        </w:rPr>
        <w:t>Metals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weathering.</w:t>
      </w:r>
      <w:r>
        <w:rPr>
          <w:spacing w:val="1"/>
          <w:sz w:val="24"/>
        </w:rPr>
        <w:t> </w:t>
      </w:r>
      <w:r>
        <w:rPr>
          <w:i/>
          <w:sz w:val="24"/>
        </w:rPr>
        <w:t>Geochemical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mineral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Composition.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44</w:t>
      </w:r>
      <w:r>
        <w:rPr>
          <w:sz w:val="24"/>
        </w:rPr>
        <w:t>, 1659-666.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025" w:right="324" w:hanging="718"/>
        <w:jc w:val="both"/>
        <w:rPr>
          <w:sz w:val="24"/>
        </w:rPr>
      </w:pPr>
      <w:r>
        <w:rPr>
          <w:sz w:val="24"/>
        </w:rPr>
        <w:t>Obaja, S. O., Omada, J. I., &amp; Dambatta, U. A. (2013). Clays and their industrial</w:t>
      </w:r>
      <w:r>
        <w:rPr>
          <w:spacing w:val="1"/>
          <w:sz w:val="24"/>
        </w:rPr>
        <w:t> </w:t>
      </w:r>
      <w:r>
        <w:rPr>
          <w:sz w:val="24"/>
        </w:rPr>
        <w:t>applications;</w:t>
      </w:r>
      <w:r>
        <w:rPr>
          <w:spacing w:val="1"/>
          <w:sz w:val="24"/>
        </w:rPr>
        <w:t> </w:t>
      </w:r>
      <w:r>
        <w:rPr>
          <w:sz w:val="24"/>
        </w:rPr>
        <w:t>Synoptic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technology. </w:t>
      </w:r>
      <w:r>
        <w:rPr>
          <w:sz w:val="24"/>
        </w:rPr>
        <w:t>3(5), 264-270.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025" w:right="314" w:hanging="718"/>
        <w:jc w:val="both"/>
      </w:pPr>
      <w:r>
        <w:rPr/>
        <w:t>Obaje N. G. (2009). Geology and Mineral Resources of Nigeria, Lecture Notes in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Sciences. </w:t>
      </w:r>
      <w:r>
        <w:rPr>
          <w:i/>
        </w:rPr>
        <w:t>C_Springer-Verlag Berlin Heidelberg</w:t>
      </w:r>
      <w:r>
        <w:rPr/>
        <w:t>, 120, 72 – 97, doi:</w:t>
      </w:r>
      <w:r>
        <w:rPr>
          <w:spacing w:val="1"/>
        </w:rPr>
        <w:t> </w:t>
      </w:r>
      <w:r>
        <w:rPr/>
        <w:t>10.1007/978-3-540-92685-6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1"/>
        <w:ind w:left="1025" w:right="341" w:hanging="718"/>
        <w:jc w:val="both"/>
        <w:rPr>
          <w:sz w:val="24"/>
        </w:rPr>
      </w:pPr>
      <w:r>
        <w:rPr>
          <w:sz w:val="24"/>
        </w:rPr>
        <w:t>Obaje, G., Ozoji, T., Nathaniel, G., &amp; Umar, M., &amp;</w:t>
      </w:r>
      <w:r>
        <w:rPr>
          <w:spacing w:val="1"/>
          <w:sz w:val="24"/>
        </w:rPr>
        <w:t> </w:t>
      </w:r>
      <w:r>
        <w:rPr>
          <w:sz w:val="24"/>
        </w:rPr>
        <w:t>Aweda, A. (2019). Mapping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Characterization of Some Industrial</w:t>
      </w:r>
      <w:r>
        <w:rPr>
          <w:spacing w:val="1"/>
          <w:sz w:val="24"/>
        </w:rPr>
        <w:t> </w:t>
      </w:r>
      <w:r>
        <w:rPr>
          <w:sz w:val="24"/>
        </w:rPr>
        <w:t>Mineral</w:t>
      </w:r>
      <w:r>
        <w:rPr>
          <w:spacing w:val="1"/>
          <w:sz w:val="24"/>
        </w:rPr>
        <w:t> </w:t>
      </w:r>
      <w:r>
        <w:rPr>
          <w:sz w:val="24"/>
        </w:rPr>
        <w:t>Deposits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North-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Industrialization.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Sciences: 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Research</w:t>
      </w:r>
      <w:r>
        <w:rPr>
          <w:i/>
          <w:spacing w:val="3"/>
          <w:sz w:val="24"/>
        </w:rPr>
        <w:t> </w:t>
      </w:r>
      <w:r>
        <w:rPr>
          <w:sz w:val="24"/>
        </w:rPr>
        <w:t>48. 160-</w:t>
      </w:r>
      <w:r>
        <w:rPr>
          <w:spacing w:val="47"/>
          <w:sz w:val="24"/>
        </w:rPr>
        <w:t> </w:t>
      </w:r>
      <w:r>
        <w:rPr>
          <w:sz w:val="24"/>
        </w:rPr>
        <w:t>182.</w:t>
      </w:r>
    </w:p>
    <w:p>
      <w:pPr>
        <w:pStyle w:val="BodyText"/>
        <w:spacing w:before="1"/>
        <w:rPr>
          <w:sz w:val="27"/>
        </w:rPr>
      </w:pPr>
    </w:p>
    <w:p>
      <w:pPr>
        <w:spacing w:line="276" w:lineRule="auto" w:before="0"/>
        <w:ind w:left="1025" w:right="334" w:hanging="718"/>
        <w:jc w:val="both"/>
        <w:rPr>
          <w:sz w:val="24"/>
        </w:rPr>
      </w:pPr>
      <w:r>
        <w:rPr>
          <w:sz w:val="24"/>
        </w:rPr>
        <w:t>Ojo,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(1992).</w:t>
      </w:r>
      <w:r>
        <w:rPr>
          <w:spacing w:val="1"/>
          <w:sz w:val="24"/>
        </w:rPr>
        <w:t> </w:t>
      </w:r>
      <w:r>
        <w:rPr>
          <w:i/>
          <w:sz w:val="24"/>
        </w:rPr>
        <w:t>Petroleum Geology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Sedimentology 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Patti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Formation,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Bida Basin,     Nigeria.</w:t>
      </w:r>
      <w:r>
        <w:rPr>
          <w:i/>
          <w:spacing w:val="60"/>
          <w:sz w:val="24"/>
        </w:rPr>
        <w:t> </w:t>
      </w:r>
      <w:r>
        <w:rPr>
          <w:sz w:val="24"/>
        </w:rPr>
        <w:t>In O.S. Adegoke (Editor). Cretaceous</w:t>
      </w:r>
      <w:r>
        <w:rPr>
          <w:spacing w:val="60"/>
          <w:sz w:val="24"/>
        </w:rPr>
        <w:t> </w:t>
      </w:r>
      <w:r>
        <w:rPr>
          <w:sz w:val="24"/>
        </w:rPr>
        <w:t>Sequences</w:t>
      </w:r>
      <w:r>
        <w:rPr>
          <w:spacing w:val="1"/>
          <w:sz w:val="24"/>
        </w:rPr>
        <w:t> </w:t>
      </w:r>
      <w:r>
        <w:rPr>
          <w:sz w:val="24"/>
        </w:rPr>
        <w:t>in the Southern Bida Basin,</w:t>
      </w:r>
      <w:r>
        <w:rPr>
          <w:spacing w:val="1"/>
          <w:sz w:val="24"/>
        </w:rPr>
        <w:t> </w:t>
      </w:r>
      <w:r>
        <w:rPr>
          <w:sz w:val="24"/>
        </w:rPr>
        <w:t>Nigeria (1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ed.). Ibadan, Nigeria: Mosorun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Publishers.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3" w:lineRule="auto"/>
        <w:ind w:left="1025" w:right="316" w:hanging="718"/>
        <w:jc w:val="both"/>
      </w:pPr>
      <w:r>
        <w:rPr/>
        <w:t>Ojo,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Akande,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Facies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Depositional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Lokoja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Basin,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Mining</w:t>
      </w:r>
      <w:r>
        <w:rPr>
          <w:i/>
          <w:spacing w:val="47"/>
        </w:rPr>
        <w:t> </w:t>
      </w:r>
      <w:r>
        <w:rPr>
          <w:i/>
        </w:rPr>
        <w:t>and Geology</w:t>
      </w:r>
      <w:r>
        <w:rPr/>
        <w:t>, 39, 39-48.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76" w:lineRule="auto"/>
        <w:ind w:left="1027" w:right="344" w:hanging="718"/>
        <w:jc w:val="both"/>
      </w:pPr>
      <w:r>
        <w:rPr/>
        <w:t>Ojo,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Suraj,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Temitope,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Aminat,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Sedimentological</w:t>
      </w:r>
      <w:r>
        <w:rPr>
          <w:spacing w:val="-3"/>
        </w:rPr>
        <w:t> </w:t>
      </w:r>
      <w:r>
        <w:rPr/>
        <w:t>and</w:t>
      </w:r>
      <w:r>
        <w:rPr>
          <w:spacing w:val="14"/>
        </w:rPr>
        <w:t> </w:t>
      </w:r>
      <w:r>
        <w:rPr/>
        <w:t>geochemical</w:t>
      </w:r>
      <w:r>
        <w:rPr>
          <w:spacing w:val="24"/>
        </w:rPr>
        <w:t> </w:t>
      </w:r>
      <w:r>
        <w:rPr/>
        <w:t>studies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/>
        <w:t>Maastrichtian</w:t>
      </w:r>
      <w:r>
        <w:rPr>
          <w:spacing w:val="26"/>
        </w:rPr>
        <w:t> </w:t>
      </w:r>
      <w:r>
        <w:rPr/>
        <w:t>clays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Bida</w:t>
      </w:r>
    </w:p>
    <w:p>
      <w:pPr>
        <w:pStyle w:val="BodyText"/>
        <w:rPr>
          <w:sz w:val="26"/>
        </w:rPr>
      </w:pPr>
    </w:p>
    <w:p>
      <w:pPr>
        <w:pStyle w:val="BodyText"/>
        <w:spacing w:before="209"/>
        <w:ind w:left="570" w:right="603"/>
        <w:jc w:val="center"/>
      </w:pPr>
      <w:r>
        <w:rPr/>
        <w:t>74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spacing w:line="276" w:lineRule="auto" w:before="67"/>
        <w:ind w:left="1025" w:right="0" w:firstLine="0"/>
        <w:jc w:val="left"/>
        <w:rPr>
          <w:sz w:val="24"/>
        </w:rPr>
      </w:pPr>
      <w:r>
        <w:rPr>
          <w:sz w:val="24"/>
        </w:rPr>
        <w:t>Basin,</w:t>
      </w:r>
      <w:r>
        <w:rPr>
          <w:spacing w:val="55"/>
          <w:sz w:val="24"/>
        </w:rPr>
        <w:t> </w:t>
      </w:r>
      <w:r>
        <w:rPr>
          <w:sz w:val="24"/>
        </w:rPr>
        <w:t>Nigeria:</w:t>
      </w:r>
      <w:r>
        <w:rPr>
          <w:spacing w:val="3"/>
          <w:sz w:val="24"/>
        </w:rPr>
        <w:t> </w:t>
      </w:r>
      <w:r>
        <w:rPr>
          <w:sz w:val="24"/>
        </w:rPr>
        <w:t>Implication</w:t>
      </w:r>
      <w:r>
        <w:rPr>
          <w:spacing w:val="55"/>
          <w:sz w:val="24"/>
        </w:rPr>
        <w:t> </w:t>
      </w:r>
      <w:r>
        <w:rPr>
          <w:sz w:val="24"/>
        </w:rPr>
        <w:t>for</w:t>
      </w:r>
      <w:r>
        <w:rPr>
          <w:spacing w:val="55"/>
          <w:sz w:val="24"/>
        </w:rPr>
        <w:t> </w:t>
      </w:r>
      <w:r>
        <w:rPr>
          <w:sz w:val="24"/>
        </w:rPr>
        <w:t>resource</w:t>
      </w:r>
      <w:r>
        <w:rPr>
          <w:spacing w:val="53"/>
          <w:sz w:val="24"/>
        </w:rPr>
        <w:t> </w:t>
      </w:r>
      <w:r>
        <w:rPr>
          <w:sz w:val="24"/>
        </w:rPr>
        <w:t>potential.</w:t>
      </w:r>
      <w:r>
        <w:rPr>
          <w:spacing w:val="58"/>
          <w:sz w:val="24"/>
        </w:rPr>
        <w:t> </w:t>
      </w:r>
      <w:r>
        <w:rPr>
          <w:i/>
          <w:sz w:val="24"/>
        </w:rPr>
        <w:t>Centrepoint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Edition), </w:t>
      </w:r>
      <w:r>
        <w:rPr>
          <w:sz w:val="24"/>
        </w:rPr>
        <w:t>17</w:t>
      </w:r>
      <w:r>
        <w:rPr>
          <w:spacing w:val="2"/>
          <w:sz w:val="24"/>
        </w:rPr>
        <w:t> </w:t>
      </w:r>
      <w:r>
        <w:rPr>
          <w:sz w:val="24"/>
        </w:rPr>
        <w:t>(2),</w:t>
      </w:r>
      <w:r>
        <w:rPr>
          <w:spacing w:val="3"/>
          <w:sz w:val="24"/>
        </w:rPr>
        <w:t> </w:t>
      </w:r>
      <w:r>
        <w:rPr>
          <w:sz w:val="24"/>
        </w:rPr>
        <w:t>71-88.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25" w:right="331" w:hanging="718"/>
        <w:jc w:val="both"/>
      </w:pPr>
      <w:r>
        <w:rPr/>
        <w:t>Ojo,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Ajakaye,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Measurement in the Middle Niger Basin Area, Nigeria. In C. A. Kogbe</w:t>
      </w:r>
      <w:r>
        <w:rPr>
          <w:spacing w:val="1"/>
        </w:rPr>
        <w:t> </w:t>
      </w:r>
      <w:r>
        <w:rPr/>
        <w:t>(Eds.), Geology of Nigeria,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edition.</w:t>
      </w:r>
      <w:r>
        <w:rPr>
          <w:spacing w:val="1"/>
        </w:rPr>
        <w:t> </w:t>
      </w:r>
      <w:r>
        <w:rPr/>
        <w:t>(pp.347</w:t>
      </w:r>
      <w:r>
        <w:rPr>
          <w:spacing w:val="1"/>
        </w:rPr>
        <w:t> </w:t>
      </w:r>
      <w:r>
        <w:rPr/>
        <w:t>–</w:t>
      </w:r>
      <w:r>
        <w:rPr>
          <w:spacing w:val="61"/>
        </w:rPr>
        <w:t> </w:t>
      </w:r>
      <w:r>
        <w:rPr/>
        <w:t>358).</w:t>
      </w:r>
      <w:r>
        <w:rPr>
          <w:spacing w:val="61"/>
        </w:rPr>
        <w:t> </w:t>
      </w:r>
      <w:r>
        <w:rPr/>
        <w:t>Lagos,</w:t>
      </w:r>
      <w:r>
        <w:rPr>
          <w:spacing w:val="1"/>
        </w:rPr>
        <w:t> </w:t>
      </w:r>
      <w:r>
        <w:rPr/>
        <w:t>Nigeria:</w:t>
      </w:r>
      <w:r>
        <w:rPr>
          <w:spacing w:val="-1"/>
        </w:rPr>
        <w:t> </w:t>
      </w:r>
      <w:r>
        <w:rPr/>
        <w:t>Elizabethan</w:t>
      </w:r>
      <w:r>
        <w:rPr>
          <w:spacing w:val="1"/>
        </w:rPr>
        <w:t> </w:t>
      </w:r>
      <w:r>
        <w:rPr/>
        <w:t>Publishing</w:t>
      </w:r>
      <w:r>
        <w:rPr>
          <w:spacing w:val="-3"/>
        </w:rPr>
        <w:t> </w:t>
      </w:r>
      <w:r>
        <w:rPr/>
        <w:t>Co.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025" w:right="318" w:hanging="718"/>
        <w:jc w:val="both"/>
      </w:pPr>
      <w:r>
        <w:rPr/>
        <w:t>Okosun, E. A., Goro, A. I., Olobaniyi, S. B., Shekwolo, P. D., &amp; Nwosu, J. E.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Stratigraphy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Formation,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Basin,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Borno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Geology,</w:t>
      </w:r>
      <w:r>
        <w:rPr>
          <w:i/>
          <w:spacing w:val="56"/>
        </w:rPr>
        <w:t> </w:t>
      </w:r>
      <w:r>
        <w:rPr/>
        <w:t>4(2), 23</w:t>
      </w:r>
      <w:r>
        <w:rPr>
          <w:spacing w:val="-1"/>
        </w:rPr>
        <w:t> </w:t>
      </w:r>
      <w:r>
        <w:rPr/>
        <w:t>– 37.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025" w:right="316" w:hanging="718"/>
        <w:jc w:val="both"/>
      </w:pPr>
      <w:r>
        <w:rPr/>
        <w:t>Olusola,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Suraj,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Alhassan,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Geochemical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Mineralogical Studies of Kaolinitic Clays in Parts of Ilorin, Southwestern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Area,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Universal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Geoscience.</w:t>
      </w:r>
      <w:r>
        <w:rPr>
          <w:i/>
          <w:spacing w:val="1"/>
        </w:rPr>
        <w:t> </w:t>
      </w:r>
      <w:r>
        <w:rPr/>
        <w:t>(2)7,</w:t>
      </w:r>
      <w:r>
        <w:rPr>
          <w:spacing w:val="-57"/>
        </w:rPr>
        <w:t> </w:t>
      </w:r>
      <w:r>
        <w:rPr/>
        <w:t>212-221,</w:t>
      </w:r>
      <w:r>
        <w:rPr>
          <w:spacing w:val="-1"/>
        </w:rPr>
        <w:t> </w:t>
      </w:r>
      <w:r>
        <w:rPr/>
        <w:t>doi:10.13189/ujg.2014.020704.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025" w:right="319" w:hanging="718"/>
        <w:jc w:val="both"/>
      </w:pPr>
      <w:r>
        <w:rPr/>
        <w:t>Omang, B.O., Kudamnya, E.A., Owolabi, A.O., Odey, J., Aniwetalu, E.A. and</w:t>
      </w:r>
      <w:r>
        <w:rPr>
          <w:spacing w:val="1"/>
        </w:rPr>
        <w:t> </w:t>
      </w:r>
      <w:r>
        <w:rPr/>
        <w:t>Ako,</w:t>
      </w:r>
      <w:r>
        <w:rPr>
          <w:spacing w:val="1"/>
        </w:rPr>
        <w:t> </w:t>
      </w:r>
      <w:r>
        <w:rPr/>
        <w:t>T.A.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kaolin</w:t>
      </w:r>
      <w:r>
        <w:rPr>
          <w:spacing w:val="1"/>
        </w:rPr>
        <w:t> </w:t>
      </w:r>
      <w:r>
        <w:rPr/>
        <w:t>deposits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Okpella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environs southern, Nigeria. </w:t>
      </w:r>
      <w:r>
        <w:rPr>
          <w:i/>
        </w:rPr>
        <w:t>International Journal of Geosciences</w:t>
      </w:r>
      <w:r>
        <w:rPr/>
        <w:t>, 10, 317-</w:t>
      </w:r>
      <w:r>
        <w:rPr>
          <w:spacing w:val="1"/>
        </w:rPr>
        <w:t> </w:t>
      </w:r>
      <w:r>
        <w:rPr/>
        <w:t>327.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/>
        <w:ind w:left="1025" w:right="316" w:hanging="718"/>
        <w:jc w:val="both"/>
      </w:pPr>
      <w:r>
        <w:rPr/>
        <w:t>Omotoyinbo,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Oluwole,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selected refractory</w:t>
      </w:r>
      <w:r>
        <w:rPr>
          <w:spacing w:val="1"/>
        </w:rPr>
        <w:t> </w:t>
      </w:r>
      <w:r>
        <w:rPr/>
        <w:t>clay deposits in South Western Nigeria. Journal of</w:t>
      </w:r>
      <w:r>
        <w:rPr>
          <w:spacing w:val="1"/>
        </w:rPr>
        <w:t> </w:t>
      </w:r>
      <w:r>
        <w:rPr/>
        <w:t>Minerals &amp; Materials</w:t>
      </w:r>
      <w:r>
        <w:rPr>
          <w:spacing w:val="33"/>
        </w:rPr>
        <w:t> </w:t>
      </w:r>
      <w:r>
        <w:rPr/>
        <w:t>Characterization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Engineering,</w:t>
      </w:r>
      <w:r>
        <w:rPr>
          <w:spacing w:val="-2"/>
        </w:rPr>
        <w:t> </w:t>
      </w:r>
      <w:r>
        <w:rPr/>
        <w:t>7(3),</w:t>
      </w:r>
      <w:r>
        <w:rPr>
          <w:spacing w:val="3"/>
        </w:rPr>
        <w:t> </w:t>
      </w:r>
      <w:r>
        <w:rPr/>
        <w:t>233–245.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/>
        <w:ind w:left="1025" w:right="340" w:hanging="718"/>
        <w:jc w:val="both"/>
      </w:pPr>
      <w:r>
        <w:rPr/>
        <w:t>Onyekuru, S. O., Iwuoha P. O., Iwuagwu C. J., Nwozor K. K., &amp; Opara K. D.</w:t>
      </w:r>
      <w:r>
        <w:rPr>
          <w:spacing w:val="1"/>
        </w:rPr>
        <w:t> </w:t>
      </w:r>
      <w:r>
        <w:rPr/>
        <w:t>(2018). Mineralogical and geochemical properties of clay deposits in 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60"/>
        </w:rPr>
        <w:t> </w:t>
      </w:r>
      <w:r>
        <w:rPr>
          <w:i/>
        </w:rPr>
        <w:t>Sciences,</w:t>
      </w:r>
      <w:r>
        <w:rPr>
          <w:i/>
          <w:spacing w:val="1"/>
        </w:rPr>
        <w:t> </w:t>
      </w:r>
      <w:r>
        <w:rPr/>
        <w:t>13(14),</w:t>
      </w:r>
      <w:r>
        <w:rPr>
          <w:spacing w:val="-1"/>
        </w:rPr>
        <w:t> </w:t>
      </w:r>
      <w:r>
        <w:rPr/>
        <w:t>217-229.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6" w:lineRule="auto"/>
        <w:ind w:left="1025" w:right="337" w:hanging="718"/>
        <w:jc w:val="both"/>
      </w:pPr>
      <w:r>
        <w:rPr/>
        <w:t>Onyeobi, T. U., Imeokparia, E. G., Ilegiuno, O.A., &amp; Egbuniwe, I. G. (2013).</w:t>
      </w:r>
      <w:r>
        <w:rPr>
          <w:spacing w:val="1"/>
        </w:rPr>
        <w:t> </w:t>
      </w:r>
      <w:r>
        <w:rPr/>
        <w:t>Compositional, geotechnical and industrial characteristics of some clay</w:t>
      </w:r>
      <w:r>
        <w:rPr>
          <w:spacing w:val="1"/>
        </w:rPr>
        <w:t> </w:t>
      </w:r>
      <w:r>
        <w:rPr/>
        <w:t>bodies in southern Nigeria. </w:t>
      </w:r>
      <w:r>
        <w:rPr>
          <w:i/>
        </w:rPr>
        <w:t>Journal of Geography and Geology</w:t>
      </w:r>
      <w:r>
        <w:rPr/>
        <w:t>, 5 (2), 73-</w:t>
      </w:r>
      <w:r>
        <w:rPr>
          <w:spacing w:val="1"/>
        </w:rPr>
        <w:t> </w:t>
      </w:r>
      <w:r>
        <w:rPr/>
        <w:t>84.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 w:before="1"/>
        <w:ind w:left="1025" w:right="340" w:hanging="718"/>
        <w:jc w:val="both"/>
      </w:pPr>
      <w:r>
        <w:rPr/>
        <w:t>Oyebanjo, O., Ekosse, G., &amp; Odiyo. J. (2020). Physio-Chemical, Mineralogical,</w:t>
      </w:r>
      <w:r>
        <w:rPr>
          <w:spacing w:val="1"/>
        </w:rPr>
        <w:t> </w:t>
      </w:r>
      <w:r>
        <w:rPr/>
        <w:t>and Chemical Characterization of Cretaceous–Paleogene/Neogene Kaolins</w:t>
      </w:r>
      <w:r>
        <w:rPr>
          <w:spacing w:val="-57"/>
        </w:rPr>
        <w:t> </w:t>
      </w:r>
      <w:r>
        <w:rPr/>
        <w:t>within Eastern Dahomey and Niger Delta Basins from Nigeria: Possible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Applications.</w:t>
      </w:r>
      <w:r>
        <w:rPr>
          <w:spacing w:val="3"/>
        </w:rPr>
        <w:t> </w:t>
      </w:r>
      <w:r>
        <w:rPr>
          <w:i/>
        </w:rPr>
        <w:t>Minerals,</w:t>
      </w:r>
      <w:r>
        <w:rPr>
          <w:i/>
          <w:spacing w:val="-1"/>
        </w:rPr>
        <w:t> </w:t>
      </w:r>
      <w:r>
        <w:rPr/>
        <w:t>10,</w:t>
      </w:r>
      <w:r>
        <w:rPr>
          <w:spacing w:val="-2"/>
        </w:rPr>
        <w:t> </w:t>
      </w:r>
      <w:r>
        <w:rPr/>
        <w:t>670,</w:t>
      </w:r>
      <w:r>
        <w:rPr>
          <w:spacing w:val="-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10.3390/min10080670.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1025" w:right="340" w:hanging="718"/>
        <w:jc w:val="both"/>
      </w:pPr>
      <w:r>
        <w:rPr/>
        <w:t>Punmia, B., Jain A. K., Jain-Arum, K. (2005). Soil mechanics and foundations.</w:t>
      </w:r>
      <w:r>
        <w:rPr>
          <w:spacing w:val="1"/>
        </w:rPr>
        <w:t> </w:t>
      </w:r>
      <w:r>
        <w:rPr/>
        <w:t>(16</w:t>
      </w:r>
      <w:r>
        <w:rPr>
          <w:vertAlign w:val="superscript"/>
        </w:rPr>
        <w:t>th</w:t>
      </w:r>
      <w:r>
        <w:rPr>
          <w:vertAlign w:val="baseline"/>
        </w:rPr>
        <w:t> ed). New</w:t>
      </w:r>
      <w:r>
        <w:rPr>
          <w:spacing w:val="-1"/>
          <w:vertAlign w:val="baseline"/>
        </w:rPr>
        <w:t> </w:t>
      </w:r>
      <w:r>
        <w:rPr>
          <w:vertAlign w:val="baseline"/>
        </w:rPr>
        <w:t>Delhi:</w:t>
      </w:r>
      <w:r>
        <w:rPr>
          <w:spacing w:val="5"/>
          <w:vertAlign w:val="baseline"/>
        </w:rPr>
        <w:t> </w:t>
      </w:r>
      <w:r>
        <w:rPr>
          <w:vertAlign w:val="baseline"/>
        </w:rPr>
        <w:t>Laxmi,</w:t>
      </w:r>
    </w:p>
    <w:p>
      <w:pPr>
        <w:pStyle w:val="BodyText"/>
        <w:spacing w:before="4"/>
        <w:rPr>
          <w:sz w:val="44"/>
        </w:rPr>
      </w:pPr>
    </w:p>
    <w:p>
      <w:pPr>
        <w:pStyle w:val="BodyText"/>
        <w:ind w:left="570" w:right="603"/>
        <w:jc w:val="center"/>
      </w:pPr>
      <w:r>
        <w:rPr/>
        <w:t>75</w:t>
      </w:r>
    </w:p>
    <w:p>
      <w:pPr>
        <w:spacing w:after="0"/>
        <w:jc w:val="center"/>
        <w:sectPr>
          <w:pgSz w:w="11910" w:h="16840"/>
          <w:pgMar w:header="0" w:footer="294" w:top="1320" w:bottom="480" w:left="1680" w:right="1640"/>
        </w:sectPr>
      </w:pPr>
    </w:p>
    <w:p>
      <w:pPr>
        <w:pStyle w:val="BodyText"/>
        <w:spacing w:before="67"/>
        <w:ind w:left="307"/>
        <w:jc w:val="both"/>
      </w:pPr>
      <w:r>
        <w:rPr/>
        <w:t>Rahaman,</w:t>
      </w:r>
      <w:r>
        <w:rPr>
          <w:spacing w:val="43"/>
        </w:rPr>
        <w:t> </w:t>
      </w:r>
      <w:r>
        <w:rPr/>
        <w:t>M.</w:t>
      </w:r>
      <w:r>
        <w:rPr>
          <w:spacing w:val="43"/>
        </w:rPr>
        <w:t> </w:t>
      </w:r>
      <w:r>
        <w:rPr/>
        <w:t>A.</w:t>
      </w:r>
      <w:r>
        <w:rPr>
          <w:spacing w:val="44"/>
        </w:rPr>
        <w:t> </w:t>
      </w:r>
      <w:r>
        <w:rPr/>
        <w:t>O.,</w:t>
      </w:r>
      <w:r>
        <w:rPr>
          <w:spacing w:val="46"/>
        </w:rPr>
        <w:t> </w:t>
      </w:r>
      <w:r>
        <w:rPr/>
        <w:t>Fadiya,</w:t>
      </w:r>
      <w:r>
        <w:rPr>
          <w:spacing w:val="43"/>
        </w:rPr>
        <w:t> </w:t>
      </w:r>
      <w:r>
        <w:rPr/>
        <w:t>S.</w:t>
      </w:r>
      <w:r>
        <w:rPr>
          <w:spacing w:val="48"/>
        </w:rPr>
        <w:t> </w:t>
      </w:r>
      <w:r>
        <w:rPr/>
        <w:t>L.,</w:t>
      </w:r>
      <w:r>
        <w:rPr>
          <w:spacing w:val="44"/>
        </w:rPr>
        <w:t> </w:t>
      </w:r>
      <w:r>
        <w:rPr/>
        <w:t>Adekola,</w:t>
      </w:r>
      <w:r>
        <w:rPr>
          <w:spacing w:val="43"/>
        </w:rPr>
        <w:t> </w:t>
      </w:r>
      <w:r>
        <w:rPr/>
        <w:t>S.</w:t>
      </w:r>
      <w:r>
        <w:rPr>
          <w:spacing w:val="46"/>
        </w:rPr>
        <w:t> </w:t>
      </w:r>
      <w:r>
        <w:rPr/>
        <w:t>A.,</w:t>
      </w:r>
      <w:r>
        <w:rPr>
          <w:spacing w:val="44"/>
        </w:rPr>
        <w:t> </w:t>
      </w:r>
      <w:r>
        <w:rPr/>
        <w:t>Coker,</w:t>
      </w:r>
      <w:r>
        <w:rPr>
          <w:spacing w:val="42"/>
        </w:rPr>
        <w:t> </w:t>
      </w:r>
      <w:r>
        <w:rPr/>
        <w:t>S.</w:t>
      </w:r>
      <w:r>
        <w:rPr>
          <w:spacing w:val="43"/>
        </w:rPr>
        <w:t> </w:t>
      </w:r>
      <w:r>
        <w:rPr/>
        <w:t>J.,</w:t>
      </w:r>
      <w:r>
        <w:rPr>
          <w:spacing w:val="46"/>
        </w:rPr>
        <w:t> </w:t>
      </w:r>
      <w:r>
        <w:rPr/>
        <w:t>Bale,</w:t>
      </w:r>
      <w:r>
        <w:rPr>
          <w:spacing w:val="44"/>
        </w:rPr>
        <w:t> </w:t>
      </w:r>
      <w:r>
        <w:rPr/>
        <w:t>R.</w:t>
      </w:r>
      <w:r>
        <w:rPr>
          <w:spacing w:val="43"/>
        </w:rPr>
        <w:t> </w:t>
      </w:r>
      <w:r>
        <w:rPr/>
        <w:t>B.,</w:t>
      </w:r>
    </w:p>
    <w:p>
      <w:pPr>
        <w:pStyle w:val="BodyText"/>
        <w:tabs>
          <w:tab w:pos="2513" w:val="left" w:leader="none"/>
          <w:tab w:pos="3442" w:val="left" w:leader="none"/>
          <w:tab w:pos="4904" w:val="left" w:leader="none"/>
          <w:tab w:pos="6193" w:val="left" w:leader="none"/>
          <w:tab w:pos="7825" w:val="left" w:leader="none"/>
        </w:tabs>
        <w:spacing w:line="273" w:lineRule="auto" w:before="41"/>
        <w:ind w:left="1025" w:right="337"/>
        <w:jc w:val="both"/>
      </w:pPr>
      <w:r>
        <w:rPr/>
        <w:t>Olawoki, O. A., Omada, I. J., Obaje, N. G., Akinsanpe, O. T., Ojo, G. A.,</w:t>
      </w:r>
      <w:r>
        <w:rPr>
          <w:spacing w:val="1"/>
        </w:rPr>
        <w:t> </w:t>
      </w:r>
      <w:r>
        <w:rPr/>
        <w:t>&amp; Akande, W. (2018). A revised stratigraphy of the Bida Basin, Nigeria.</w:t>
      </w:r>
      <w:r>
        <w:rPr>
          <w:spacing w:val="1"/>
        </w:rPr>
        <w:t> </w:t>
      </w:r>
      <w:r>
        <w:rPr>
          <w:i/>
        </w:rPr>
        <w:t>Journal</w:t>
        <w:tab/>
        <w:t>of</w:t>
        <w:tab/>
        <w:t>African</w:t>
        <w:tab/>
        <w:t>Earth</w:t>
        <w:tab/>
        <w:t>Sciences.</w:t>
        <w:tab/>
      </w:r>
      <w:r>
        <w:rPr>
          <w:spacing w:val="-1"/>
        </w:rPr>
        <w:t>151.</w:t>
      </w:r>
    </w:p>
    <w:p>
      <w:pPr>
        <w:pStyle w:val="BodyText"/>
        <w:spacing w:before="4"/>
        <w:ind w:left="1025"/>
      </w:pPr>
      <w:r>
        <w:rPr/>
        <w:t>doi:10.1016/j.jafrearsci.2018.11.016.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tabs>
          <w:tab w:pos="2712" w:val="left" w:leader="none"/>
          <w:tab w:pos="4443" w:val="left" w:leader="none"/>
          <w:tab w:pos="6056" w:val="left" w:leader="none"/>
          <w:tab w:pos="7873" w:val="left" w:leader="none"/>
        </w:tabs>
        <w:spacing w:line="276" w:lineRule="auto"/>
        <w:ind w:left="1025" w:right="317" w:hanging="718"/>
        <w:jc w:val="both"/>
      </w:pPr>
      <w:r>
        <w:rPr/>
        <w:t>Ratcliffe, K. T., Morton, A., Ritcey, D., &amp; Evenchick, C. E. (2007). Whole rock</w:t>
      </w:r>
      <w:r>
        <w:rPr>
          <w:spacing w:val="1"/>
        </w:rPr>
        <w:t> </w:t>
      </w:r>
      <w:r>
        <w:rPr/>
        <w:t>geochemistry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Bowser and</w:t>
      </w:r>
      <w:r>
        <w:rPr>
          <w:spacing w:val="1"/>
        </w:rPr>
        <w:t> </w:t>
      </w:r>
      <w:r>
        <w:rPr/>
        <w:t>Sustut</w:t>
      </w:r>
      <w:r>
        <w:rPr>
          <w:spacing w:val="1"/>
        </w:rPr>
        <w:t> </w:t>
      </w:r>
      <w:r>
        <w:rPr/>
        <w:t>Basins,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Colombia,</w:t>
      </w:r>
      <w:r>
        <w:rPr>
          <w:spacing w:val="1"/>
        </w:rPr>
        <w:t> </w:t>
      </w:r>
      <w:r>
        <w:rPr/>
        <w:t>Canada.</w:t>
      </w:r>
      <w:r>
        <w:rPr>
          <w:spacing w:val="6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Canadian</w:t>
        <w:tab/>
        <w:t>Petroleum</w:t>
        <w:tab/>
        <w:t>Geology,</w:t>
        <w:tab/>
      </w:r>
      <w:r>
        <w:rPr/>
        <w:t>55,320–37,</w:t>
        <w:tab/>
        <w:t>doi:</w:t>
      </w:r>
      <w:r>
        <w:rPr>
          <w:spacing w:val="-58"/>
        </w:rPr>
        <w:t> </w:t>
      </w:r>
      <w:r>
        <w:rPr/>
        <w:t>org/10.2113/gscpgbull.55.4.320.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76" w:lineRule="auto" w:before="1"/>
        <w:ind w:left="1025" w:right="321" w:hanging="718"/>
        <w:jc w:val="both"/>
      </w:pPr>
      <w:r>
        <w:rPr/>
        <w:t>Salihu, S. A., &amp; Suleiman, I. Y. (2018).</w:t>
      </w:r>
      <w:r>
        <w:rPr>
          <w:spacing w:val="1"/>
        </w:rPr>
        <w:t> </w:t>
      </w:r>
      <w:r>
        <w:rPr/>
        <w:t>Comparative analysis of physical and</w:t>
      </w:r>
      <w:r>
        <w:rPr>
          <w:spacing w:val="1"/>
        </w:rPr>
        <w:t> </w:t>
      </w:r>
      <w:r>
        <w:rPr/>
        <w:t>chemical characteristics of selected clays deposits found in Kebbi 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1"/>
        </w:rPr>
        <w:t> </w:t>
      </w:r>
      <w:r>
        <w:rPr>
          <w:i/>
        </w:rPr>
        <w:t>Sciences,</w:t>
      </w:r>
      <w:r>
        <w:rPr>
          <w:i/>
          <w:spacing w:val="1"/>
        </w:rPr>
        <w:t> </w:t>
      </w:r>
      <w:r>
        <w:rPr/>
        <w:t>13(10),</w:t>
      </w:r>
      <w:r>
        <w:rPr>
          <w:spacing w:val="1"/>
        </w:rPr>
        <w:t> </w:t>
      </w:r>
      <w:r>
        <w:rPr/>
        <w:t>163-17.</w:t>
      </w:r>
      <w:r>
        <w:rPr>
          <w:spacing w:val="1"/>
        </w:rPr>
        <w:t> </w:t>
      </w:r>
      <w:r>
        <w:rPr/>
        <w:t>doi:0.5897/IJPS2018.4727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1025" w:right="323" w:hanging="718"/>
        <w:jc w:val="both"/>
      </w:pPr>
      <w:r>
        <w:rPr/>
        <w:t>Semiz, B., &amp; Celik, S.   B. (2020). Mineralogical and geochemical characteristics</w:t>
      </w:r>
      <w:r>
        <w:rPr>
          <w:spacing w:val="1"/>
        </w:rPr>
        <w:t> </w:t>
      </w:r>
      <w:r>
        <w:rPr/>
        <w:t>of Belevi</w:t>
      </w:r>
      <w:r>
        <w:rPr>
          <w:spacing w:val="61"/>
        </w:rPr>
        <w:t> </w:t>
      </w:r>
      <w:r>
        <w:rPr/>
        <w:t>clay</w:t>
      </w:r>
      <w:r>
        <w:rPr>
          <w:spacing w:val="60"/>
        </w:rPr>
        <w:t> </w:t>
      </w:r>
      <w:r>
        <w:rPr/>
        <w:t>deposits</w:t>
      </w:r>
      <w:r>
        <w:rPr>
          <w:spacing w:val="61"/>
        </w:rPr>
        <w:t> </w:t>
      </w:r>
      <w:r>
        <w:rPr/>
        <w:t>at</w:t>
      </w:r>
      <w:r>
        <w:rPr>
          <w:spacing w:val="61"/>
        </w:rPr>
        <w:t> </w:t>
      </w:r>
      <w:r>
        <w:rPr/>
        <w:t>Denizli,</w:t>
      </w:r>
      <w:r>
        <w:rPr>
          <w:spacing w:val="61"/>
        </w:rPr>
        <w:t> </w:t>
      </w:r>
      <w:r>
        <w:rPr/>
        <w:t>SW</w:t>
      </w:r>
      <w:r>
        <w:rPr>
          <w:spacing w:val="61"/>
        </w:rPr>
        <w:t> </w:t>
      </w:r>
      <w:r>
        <w:rPr/>
        <w:t>Turkey:   industrial   raw</w:t>
      </w:r>
      <w:r>
        <w:rPr>
          <w:spacing w:val="1"/>
        </w:rPr>
        <w:t> </w:t>
      </w:r>
      <w:r>
        <w:rPr/>
        <w:t>material potential.</w:t>
      </w:r>
      <w:r>
        <w:rPr>
          <w:spacing w:val="1"/>
        </w:rPr>
        <w:t> </w:t>
      </w:r>
      <w:r>
        <w:rPr>
          <w:i/>
        </w:rPr>
        <w:t>Arabian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Geosciences,</w:t>
      </w:r>
      <w:r>
        <w:rPr>
          <w:i/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313,</w:t>
      </w:r>
      <w:r>
        <w:rPr>
          <w:spacing w:val="1"/>
        </w:rPr>
        <w:t> </w:t>
      </w:r>
      <w:r>
        <w:rPr/>
        <w:t>doi.org/10.1007/s12517-020-05292-z.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1025" w:right="341" w:hanging="718"/>
        <w:jc w:val="both"/>
      </w:pPr>
      <w:r>
        <w:rPr/>
        <w:t>Siddiqui, M. A., Ahmeda, Z., &amp; Saleemi, A. A. (2005). Evaluation of Swat kaolin</w:t>
      </w:r>
      <w:r>
        <w:rPr>
          <w:spacing w:val="1"/>
        </w:rPr>
        <w:t> </w:t>
      </w:r>
      <w:r>
        <w:rPr/>
        <w:t>deposits</w:t>
      </w:r>
      <w:r>
        <w:rPr>
          <w:spacing w:val="-2"/>
        </w:rPr>
        <w:t> </w:t>
      </w:r>
      <w:r>
        <w:rPr/>
        <w:t>of Pakistan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uses.</w:t>
      </w:r>
      <w:r>
        <w:rPr>
          <w:spacing w:val="2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Clay</w:t>
      </w:r>
      <w:r>
        <w:rPr>
          <w:i/>
          <w:spacing w:val="-2"/>
        </w:rPr>
        <w:t> </w:t>
      </w:r>
      <w:r>
        <w:rPr>
          <w:i/>
        </w:rPr>
        <w:t>Science.</w:t>
      </w:r>
      <w:r>
        <w:rPr>
          <w:i/>
          <w:spacing w:val="-1"/>
        </w:rPr>
        <w:t> </w:t>
      </w:r>
      <w:r>
        <w:rPr/>
        <w:t>29,</w:t>
      </w:r>
      <w:r>
        <w:rPr>
          <w:spacing w:val="-2"/>
        </w:rPr>
        <w:t> </w:t>
      </w:r>
      <w:r>
        <w:rPr/>
        <w:t>55-72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25" w:right="323" w:hanging="718"/>
        <w:jc w:val="both"/>
      </w:pPr>
      <w:r>
        <w:rPr/>
        <w:t>Tiburu, E. K., Kankpeyeng, B. W., Nkumbaan, S. N., Salifu, A. A., &amp; Zhuang, A.</w:t>
      </w:r>
      <w:r>
        <w:rPr>
          <w:spacing w:val="1"/>
        </w:rPr>
        <w:t> </w:t>
      </w:r>
      <w:r>
        <w:rPr/>
        <w:t>(2017). Biomaterials and Biomedical Engineering. </w:t>
      </w:r>
      <w:r>
        <w:rPr>
          <w:i/>
        </w:rPr>
        <w:t>Journal of Biomimetics,</w:t>
      </w:r>
      <w:r>
        <w:rPr>
          <w:i/>
          <w:spacing w:val="-57"/>
        </w:rPr>
        <w:t> </w:t>
      </w:r>
      <w:r>
        <w:rPr/>
        <w:t>30, 45-60.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025" w:right="336" w:hanging="718"/>
        <w:jc w:val="both"/>
      </w:pPr>
      <w:r>
        <w:rPr/>
        <w:t>Whiteman, A. (1982). Nigeria</w:t>
      </w:r>
      <w:r>
        <w:rPr>
          <w:i/>
        </w:rPr>
        <w:t>: </w:t>
      </w:r>
      <w:r>
        <w:rPr/>
        <w:t>Its Petroleum geology, Resources and potential.</w:t>
      </w:r>
      <w:r>
        <w:rPr>
          <w:spacing w:val="1"/>
        </w:rPr>
        <w:t> </w:t>
      </w:r>
      <w:r>
        <w:rPr/>
        <w:t>(pp.</w:t>
      </w:r>
      <w:r>
        <w:rPr>
          <w:spacing w:val="-1"/>
        </w:rPr>
        <w:t> </w:t>
      </w:r>
      <w:r>
        <w:rPr/>
        <w:t>82 – 86)</w:t>
      </w:r>
      <w:r>
        <w:rPr>
          <w:spacing w:val="1"/>
        </w:rPr>
        <w:t> </w:t>
      </w:r>
      <w:r>
        <w:rPr/>
        <w:t>London:</w:t>
      </w:r>
      <w:r>
        <w:rPr>
          <w:spacing w:val="-1"/>
        </w:rPr>
        <w:t> </w:t>
      </w:r>
      <w:r>
        <w:rPr/>
        <w:t>Graham and Trotman</w:t>
      </w:r>
      <w:r>
        <w:rPr>
          <w:spacing w:val="5"/>
        </w:rPr>
        <w:t> </w:t>
      </w:r>
      <w:r>
        <w:rPr/>
        <w:t>Ltd.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BodyText"/>
        <w:spacing w:before="1"/>
        <w:ind w:left="570" w:right="603"/>
        <w:jc w:val="center"/>
      </w:pPr>
      <w:r>
        <w:rPr/>
        <w:t>76</w:t>
      </w:r>
    </w:p>
    <w:sectPr>
      <w:pgSz w:w="11910" w:h="16840"/>
      <w:pgMar w:header="0" w:footer="294" w:top="1320" w:bottom="480" w:left="1680" w:right="1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309998pt;margin-top:730.255981pt;width:7.6pt;height:13.05pt;mso-position-horizontal-relative:page;mso-position-vertical-relative:page;z-index:-184775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90015pt;margin-top:816.200012pt;width:17.3pt;height:13.05pt;mso-position-horizontal-relative:page;mso-position-vertical-relative:page;z-index:-18477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90015pt;margin-top:816.200012pt;width:17.3pt;height:13.05pt;mso-position-horizontal-relative:page;mso-position-vertical-relative:page;z-index:-18476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5"/>
      <w:numFmt w:val="decimal"/>
      <w:lvlText w:val="%1"/>
      <w:lvlJc w:val="left"/>
      <w:pPr>
        <w:ind w:left="1865" w:hanging="15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65" w:hanging="15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5" w:hanging="1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7" w:hanging="1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0" w:hanging="1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1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5" w:hanging="1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8" w:hanging="1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41" w:hanging="15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332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25" w:hanging="288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9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525" w:hanging="720"/>
        <w:jc w:val="left"/>
      </w:pPr>
      <w:rPr>
        <w:rFonts w:hint="default"/>
        <w:spacing w:val="-1"/>
        <w:w w:val="9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9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5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3325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25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25" w:hanging="720"/>
        <w:jc w:val="left"/>
      </w:pPr>
      <w:rPr>
        <w:rFonts w:hint="default" w:ascii="Times New Roman" w:hAnsi="Times New Roman" w:eastAsia="Times New Roman" w:cs="Times New Roman"/>
        <w:spacing w:val="-1"/>
        <w:w w:val="97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9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3625" w:hanging="31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25" w:hanging="3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1" w:hanging="3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21" w:hanging="3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2" w:hanging="3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3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3" w:hanging="3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5" w:hanging="318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"/>
      <w:lvlJc w:val="left"/>
      <w:pPr>
        <w:ind w:left="445" w:hanging="394"/>
        <w:jc w:val="left"/>
      </w:pPr>
      <w:rPr>
        <w:rFonts w:hint="default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885" w:hanging="1080"/>
        <w:jc w:val="left"/>
      </w:pPr>
      <w:rPr>
        <w:rFonts w:hint="default" w:ascii="Times New Roman" w:hAnsi="Times New Roman" w:eastAsia="Times New Roman" w:cs="Times New Roman"/>
        <w:spacing w:val="-1"/>
        <w:w w:val="97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10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1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2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2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4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10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445" w:hanging="21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8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7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5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4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3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1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70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89" w:hanging="21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385" w:hanging="29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85" w:hanging="29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25" w:hanging="720"/>
        <w:jc w:val="left"/>
      </w:pPr>
      <w:rPr>
        <w:rFonts w:hint="default"/>
        <w:spacing w:val="-1"/>
        <w:w w:val="9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4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8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8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8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82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7" w:hanging="72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7"/>
      <w:ind w:left="882" w:hanging="7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2"/>
      <w:ind w:left="882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1165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82" w:hanging="72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footer" Target="footer3.xml"/><Relationship Id="rId50" Type="http://schemas.openxmlformats.org/officeDocument/2006/relationships/footer" Target="footer4.xml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2023-11-04T08:30:49Z</dcterms:created>
  <dcterms:modified xsi:type="dcterms:W3CDTF">2023-11-04T08:30:49Z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